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406" w:rsidRDefault="007F0406" w:rsidP="007F0406">
      <w:pPr>
        <w:spacing w:line="360" w:lineRule="auto"/>
        <w:jc w:val="both"/>
        <w:rPr>
          <w:rFonts w:cstheme="minorHAnsi"/>
          <w:b/>
          <w:sz w:val="24"/>
          <w:szCs w:val="24"/>
          <w:u w:val="single"/>
          <w:lang w:val="en-GB"/>
        </w:rPr>
      </w:pPr>
      <w:r>
        <w:rPr>
          <w:rFonts w:cstheme="minorHAnsi"/>
          <w:b/>
          <w:sz w:val="24"/>
          <w:szCs w:val="24"/>
          <w:u w:val="single"/>
          <w:lang w:val="en-GB"/>
        </w:rPr>
        <w:t xml:space="preserve">Supplementary Material: </w:t>
      </w:r>
    </w:p>
    <w:p w:rsidR="007F0406" w:rsidRPr="007F0406" w:rsidRDefault="007F0406" w:rsidP="007F0406">
      <w:pPr>
        <w:spacing w:line="360" w:lineRule="auto"/>
        <w:jc w:val="both"/>
        <w:rPr>
          <w:sz w:val="28"/>
          <w:szCs w:val="28"/>
          <w:lang w:val="en-GB"/>
        </w:rPr>
      </w:pPr>
      <w:r w:rsidRPr="007F0406">
        <w:rPr>
          <w:sz w:val="28"/>
          <w:szCs w:val="28"/>
          <w:lang w:val="en-GB"/>
        </w:rPr>
        <w:t>Long-term quality of life after ETV in hydrocephalic pediatric patients</w:t>
      </w:r>
    </w:p>
    <w:p w:rsidR="007F0406" w:rsidRDefault="007F0406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  <w:lang w:val="en-GB"/>
        </w:rPr>
      </w:pPr>
      <w:r>
        <w:rPr>
          <w:rFonts w:cstheme="minorHAnsi"/>
          <w:b/>
          <w:sz w:val="24"/>
          <w:szCs w:val="24"/>
          <w:u w:val="single"/>
          <w:lang w:val="en-GB"/>
        </w:rPr>
        <w:t>Background</w:t>
      </w:r>
    </w:p>
    <w:p w:rsidR="00176988" w:rsidRPr="00176988" w:rsidRDefault="007F0406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176988">
        <w:rPr>
          <w:rFonts w:cstheme="minorHAnsi"/>
          <w:sz w:val="24"/>
          <w:szCs w:val="24"/>
          <w:lang w:val="en-GB"/>
        </w:rPr>
        <w:t xml:space="preserve">The manuscript that has been </w:t>
      </w:r>
      <w:r w:rsidR="00176988" w:rsidRPr="00176988">
        <w:rPr>
          <w:rFonts w:cstheme="minorHAnsi"/>
          <w:sz w:val="24"/>
          <w:szCs w:val="24"/>
          <w:lang w:val="en-GB"/>
        </w:rPr>
        <w:t>created</w:t>
      </w:r>
      <w:r w:rsidR="00176988">
        <w:rPr>
          <w:rFonts w:cstheme="minorHAnsi"/>
          <w:sz w:val="24"/>
          <w:szCs w:val="24"/>
          <w:lang w:val="en-GB"/>
        </w:rPr>
        <w:t xml:space="preserve"> and uploaded</w:t>
      </w:r>
      <w:r w:rsidRPr="00176988">
        <w:rPr>
          <w:rFonts w:cstheme="minorHAnsi"/>
          <w:sz w:val="24"/>
          <w:szCs w:val="24"/>
          <w:lang w:val="en-GB"/>
        </w:rPr>
        <w:t xml:space="preserve"> includes all pediatric patients with at least one </w:t>
      </w:r>
      <w:r w:rsidR="00176988">
        <w:rPr>
          <w:rFonts w:cstheme="minorHAnsi"/>
          <w:sz w:val="24"/>
          <w:szCs w:val="24"/>
          <w:lang w:val="en-GB"/>
        </w:rPr>
        <w:t>ETV</w:t>
      </w:r>
      <w:r w:rsidRPr="00176988">
        <w:rPr>
          <w:rFonts w:cstheme="minorHAnsi"/>
          <w:sz w:val="24"/>
          <w:szCs w:val="24"/>
          <w:lang w:val="en-GB"/>
        </w:rPr>
        <w:t xml:space="preserve">. Often the medical history of the </w:t>
      </w:r>
      <w:proofErr w:type="spellStart"/>
      <w:r w:rsidRPr="00176988">
        <w:rPr>
          <w:rFonts w:cstheme="minorHAnsi"/>
          <w:sz w:val="24"/>
          <w:szCs w:val="24"/>
          <w:lang w:val="en-GB"/>
        </w:rPr>
        <w:t>patiens</w:t>
      </w:r>
      <w:proofErr w:type="spellEnd"/>
      <w:r w:rsidRPr="00176988">
        <w:rPr>
          <w:rFonts w:cstheme="minorHAnsi"/>
          <w:sz w:val="24"/>
          <w:szCs w:val="24"/>
          <w:lang w:val="en-GB"/>
        </w:rPr>
        <w:t xml:space="preserve"> is very complex, so </w:t>
      </w:r>
      <w:proofErr w:type="spellStart"/>
      <w:proofErr w:type="gramStart"/>
      <w:r w:rsidRPr="00176988">
        <w:rPr>
          <w:rFonts w:cstheme="minorHAnsi"/>
          <w:sz w:val="24"/>
          <w:szCs w:val="24"/>
          <w:lang w:val="en-GB"/>
        </w:rPr>
        <w:t>vp</w:t>
      </w:r>
      <w:proofErr w:type="spellEnd"/>
      <w:proofErr w:type="gramEnd"/>
      <w:r w:rsidRPr="00176988">
        <w:rPr>
          <w:rFonts w:cstheme="minorHAnsi"/>
          <w:sz w:val="24"/>
          <w:szCs w:val="24"/>
          <w:lang w:val="en-GB"/>
        </w:rPr>
        <w:t xml:space="preserve"> shunt insertions</w:t>
      </w:r>
      <w:r w:rsidR="00176988" w:rsidRPr="00176988">
        <w:rPr>
          <w:rFonts w:cstheme="minorHAnsi"/>
          <w:sz w:val="24"/>
          <w:szCs w:val="24"/>
          <w:lang w:val="en-GB"/>
        </w:rPr>
        <w:t xml:space="preserve"> or placement of external ventricle drains</w:t>
      </w:r>
      <w:r w:rsidRPr="00176988">
        <w:rPr>
          <w:rFonts w:cstheme="minorHAnsi"/>
          <w:sz w:val="24"/>
          <w:szCs w:val="24"/>
          <w:lang w:val="en-GB"/>
        </w:rPr>
        <w:t xml:space="preserve"> before or after ETV were performed</w:t>
      </w:r>
      <w:r w:rsidR="00176988" w:rsidRPr="00176988">
        <w:rPr>
          <w:rFonts w:cstheme="minorHAnsi"/>
          <w:sz w:val="24"/>
          <w:szCs w:val="24"/>
          <w:lang w:val="en-GB"/>
        </w:rPr>
        <w:t xml:space="preserve">. Retrospective evaluated, the significance of ETV is hard to </w:t>
      </w:r>
      <w:r w:rsidR="000B5439">
        <w:rPr>
          <w:rFonts w:cstheme="minorHAnsi"/>
          <w:sz w:val="24"/>
          <w:szCs w:val="24"/>
          <w:lang w:val="en-GB"/>
        </w:rPr>
        <w:t>identify</w:t>
      </w:r>
      <w:r w:rsidR="00176988" w:rsidRPr="00176988">
        <w:rPr>
          <w:rFonts w:cstheme="minorHAnsi"/>
          <w:sz w:val="24"/>
          <w:szCs w:val="24"/>
          <w:lang w:val="en-GB"/>
        </w:rPr>
        <w:t>. With focusing on patients that have only been treated with ETV in</w:t>
      </w:r>
      <w:r w:rsidR="000B5439">
        <w:rPr>
          <w:rFonts w:cstheme="minorHAnsi"/>
          <w:sz w:val="24"/>
          <w:szCs w:val="24"/>
          <w:lang w:val="en-GB"/>
        </w:rPr>
        <w:t xml:space="preserve"> </w:t>
      </w:r>
      <w:r w:rsidR="00176988" w:rsidRPr="00176988">
        <w:rPr>
          <w:rFonts w:cstheme="minorHAnsi"/>
          <w:sz w:val="24"/>
          <w:szCs w:val="24"/>
          <w:lang w:val="en-GB"/>
        </w:rPr>
        <w:t>medical history a very small subgroup resulted</w:t>
      </w:r>
      <w:r w:rsidR="000B5439">
        <w:rPr>
          <w:rFonts w:cstheme="minorHAnsi"/>
          <w:sz w:val="24"/>
          <w:szCs w:val="24"/>
          <w:lang w:val="en-GB"/>
        </w:rPr>
        <w:t>.</w:t>
      </w:r>
      <w:r w:rsidR="00176988" w:rsidRPr="00176988">
        <w:rPr>
          <w:rFonts w:cstheme="minorHAnsi"/>
          <w:sz w:val="24"/>
          <w:szCs w:val="24"/>
          <w:lang w:val="en-GB"/>
        </w:rPr>
        <w:t xml:space="preserve"> </w:t>
      </w:r>
      <w:r w:rsidR="000B5439">
        <w:rPr>
          <w:rFonts w:cstheme="minorHAnsi"/>
          <w:sz w:val="24"/>
          <w:szCs w:val="24"/>
          <w:lang w:val="en-GB"/>
        </w:rPr>
        <w:t>W</w:t>
      </w:r>
      <w:r w:rsidR="00176988" w:rsidRPr="00176988">
        <w:rPr>
          <w:rFonts w:cstheme="minorHAnsi"/>
          <w:sz w:val="24"/>
          <w:szCs w:val="24"/>
          <w:lang w:val="en-GB"/>
        </w:rPr>
        <w:t>e</w:t>
      </w:r>
      <w:r w:rsidR="000B5439">
        <w:rPr>
          <w:rFonts w:cstheme="minorHAnsi"/>
          <w:sz w:val="24"/>
          <w:szCs w:val="24"/>
          <w:lang w:val="en-GB"/>
        </w:rPr>
        <w:t xml:space="preserve"> therefore</w:t>
      </w:r>
      <w:r w:rsidR="00176988" w:rsidRPr="00176988">
        <w:rPr>
          <w:rFonts w:cstheme="minorHAnsi"/>
          <w:sz w:val="24"/>
          <w:szCs w:val="24"/>
          <w:lang w:val="en-GB"/>
        </w:rPr>
        <w:t xml:space="preserve"> decided to examine all pediatric hydrocephalic patients with at least ETV treatment to gain insights about their quality of life. </w:t>
      </w:r>
    </w:p>
    <w:p w:rsidR="007F0406" w:rsidRPr="00176988" w:rsidRDefault="00176988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176988">
        <w:rPr>
          <w:rFonts w:cstheme="minorHAnsi"/>
          <w:sz w:val="24"/>
          <w:szCs w:val="24"/>
          <w:lang w:val="en-GB"/>
        </w:rPr>
        <w:t>In case of interest in study characteristics of the patients only treated with ETV we collected and evaluated these patients. Because of the small group we abstained</w:t>
      </w:r>
      <w:r w:rsidR="000B5439">
        <w:rPr>
          <w:rFonts w:cstheme="minorHAnsi"/>
          <w:sz w:val="24"/>
          <w:szCs w:val="24"/>
          <w:lang w:val="en-GB"/>
        </w:rPr>
        <w:t xml:space="preserve"> publishing these results but would like to share the results for better understanding.</w:t>
      </w:r>
    </w:p>
    <w:p w:rsidR="00176988" w:rsidRDefault="00176988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  <w:lang w:val="en-GB"/>
        </w:rPr>
      </w:pP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u w:val="single"/>
          <w:lang w:val="en-GB"/>
        </w:rPr>
      </w:pPr>
      <w:r w:rsidRPr="00D21009">
        <w:rPr>
          <w:rFonts w:cstheme="minorHAnsi"/>
          <w:b/>
          <w:sz w:val="24"/>
          <w:szCs w:val="24"/>
          <w:u w:val="single"/>
          <w:lang w:val="en-GB"/>
        </w:rPr>
        <w:t>Results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>Study group characteristics</w:t>
      </w:r>
    </w:p>
    <w:p w:rsidR="002F3594" w:rsidRPr="00FD37D0" w:rsidRDefault="00FD37D0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By focusing patients only treated with ETV, 47 patients were treated also with</w:t>
      </w:r>
      <w:r w:rsidR="007F0406">
        <w:rPr>
          <w:rFonts w:cstheme="minorHAnsi"/>
          <w:sz w:val="24"/>
          <w:szCs w:val="24"/>
          <w:lang w:val="en-GB"/>
        </w:rPr>
        <w:t xml:space="preserve"> </w:t>
      </w:r>
      <w:proofErr w:type="spellStart"/>
      <w:proofErr w:type="gramStart"/>
      <w:r w:rsidR="007F0406">
        <w:rPr>
          <w:rFonts w:cstheme="minorHAnsi"/>
          <w:sz w:val="24"/>
          <w:szCs w:val="24"/>
          <w:lang w:val="en-GB"/>
        </w:rPr>
        <w:t>vp</w:t>
      </w:r>
      <w:proofErr w:type="spellEnd"/>
      <w:proofErr w:type="gramEnd"/>
      <w:r w:rsidR="007F0406">
        <w:rPr>
          <w:rFonts w:cstheme="minorHAnsi"/>
          <w:sz w:val="24"/>
          <w:szCs w:val="24"/>
          <w:lang w:val="en-GB"/>
        </w:rPr>
        <w:t xml:space="preserve"> shunt in further follow up and were excluded. 16 patients did not response, so 26 patients only with treatment by ETV answered the questionnaire.</w:t>
      </w:r>
      <w:r w:rsidR="002F3594" w:rsidRPr="00FD37D0">
        <w:rPr>
          <w:rFonts w:cstheme="minorHAnsi"/>
          <w:sz w:val="24"/>
          <w:szCs w:val="24"/>
          <w:lang w:val="en-GB"/>
        </w:rPr>
        <w:t xml:space="preserve"> Patient’s characteristics are given in Table </w:t>
      </w:r>
      <w:r w:rsidR="007F0406">
        <w:rPr>
          <w:rFonts w:cstheme="minorHAnsi"/>
          <w:sz w:val="24"/>
          <w:szCs w:val="24"/>
          <w:lang w:val="en-GB"/>
        </w:rPr>
        <w:t>1</w:t>
      </w:r>
      <w:r w:rsidR="002F3594" w:rsidRPr="00FD37D0">
        <w:rPr>
          <w:rFonts w:cstheme="minorHAnsi"/>
          <w:sz w:val="24"/>
          <w:szCs w:val="24"/>
          <w:lang w:val="en-GB"/>
        </w:rPr>
        <w:t>.</w:t>
      </w:r>
      <w:r w:rsidR="007F0406">
        <w:rPr>
          <w:rFonts w:cstheme="minorHAnsi"/>
          <w:sz w:val="24"/>
          <w:szCs w:val="24"/>
          <w:lang w:val="en-GB"/>
        </w:rPr>
        <w:t xml:space="preserve"> Overview about the scheme of evaluation is given in Figure 1.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p w:rsidR="002F3594" w:rsidRDefault="00FD37D0" w:rsidP="00FD37D0">
      <w:pPr>
        <w:spacing w:after="0" w:line="360" w:lineRule="auto"/>
        <w:jc w:val="center"/>
        <w:rPr>
          <w:rFonts w:cstheme="minorHAnsi"/>
          <w:b/>
          <w:sz w:val="24"/>
          <w:szCs w:val="24"/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 wp14:anchorId="1D263BE7" wp14:editId="25C87321">
            <wp:extent cx="3543300" cy="4054436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05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594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 xml:space="preserve">Fig. 1 </w:t>
      </w:r>
      <w:r w:rsidRPr="00D21009">
        <w:rPr>
          <w:rFonts w:cstheme="minorHAnsi"/>
          <w:sz w:val="24"/>
          <w:szCs w:val="24"/>
          <w:lang w:val="en-GB"/>
        </w:rPr>
        <w:t>Flow chart about the response and the scheme of evaluation</w:t>
      </w:r>
      <w:r>
        <w:rPr>
          <w:rFonts w:cstheme="minorHAnsi"/>
          <w:sz w:val="24"/>
          <w:szCs w:val="24"/>
          <w:lang w:val="en-GB"/>
        </w:rPr>
        <w:t xml:space="preserve"> of patients treated </w:t>
      </w:r>
      <w:r w:rsidR="00FD37D0">
        <w:rPr>
          <w:rFonts w:cstheme="minorHAnsi"/>
          <w:sz w:val="24"/>
          <w:szCs w:val="24"/>
          <w:lang w:val="en-GB"/>
        </w:rPr>
        <w:t xml:space="preserve">only </w:t>
      </w:r>
      <w:r>
        <w:rPr>
          <w:rFonts w:cstheme="minorHAnsi"/>
          <w:sz w:val="24"/>
          <w:szCs w:val="24"/>
          <w:lang w:val="en-GB"/>
        </w:rPr>
        <w:t xml:space="preserve">with ETV during 1993-2016. 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tbl>
      <w:tblPr>
        <w:tblStyle w:val="HelleSchattierung"/>
        <w:tblW w:w="4484" w:type="pct"/>
        <w:tblLayout w:type="fixed"/>
        <w:tblLook w:val="04A0" w:firstRow="1" w:lastRow="0" w:firstColumn="1" w:lastColumn="0" w:noHBand="0" w:noVBand="1"/>
      </w:tblPr>
      <w:tblGrid>
        <w:gridCol w:w="3084"/>
        <w:gridCol w:w="2269"/>
        <w:gridCol w:w="1418"/>
        <w:gridCol w:w="1558"/>
      </w:tblGrid>
      <w:tr w:rsidR="00FD37D0" w:rsidRPr="00D21009" w:rsidTr="007F0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3" w:type="pct"/>
            <w:gridSpan w:val="2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color w:val="auto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color w:val="auto"/>
                <w:sz w:val="24"/>
                <w:szCs w:val="24"/>
                <w:lang w:eastAsia="de-DE"/>
              </w:rPr>
              <w:t>categorical variables</w:t>
            </w:r>
          </w:p>
        </w:tc>
        <w:tc>
          <w:tcPr>
            <w:tcW w:w="851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n QoL </w:t>
            </w: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study </w:t>
            </w: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group</w:t>
            </w: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</w:t>
            </w: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(%)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n total study group</w:t>
            </w: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 xml:space="preserve"> </w:t>
            </w: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(%)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total number</w:t>
            </w:r>
          </w:p>
        </w:tc>
        <w:tc>
          <w:tcPr>
            <w:tcW w:w="1362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851" w:type="pct"/>
            <w:noWrap/>
            <w:hideMark/>
          </w:tcPr>
          <w:p w:rsidR="00FD37D0" w:rsidRPr="00FD37D0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FD37D0">
              <w:rPr>
                <w:rFonts w:eastAsia="Times New Roman" w:cstheme="minorHAnsi"/>
                <w:sz w:val="24"/>
                <w:szCs w:val="24"/>
                <w:lang w:eastAsia="de-DE"/>
              </w:rPr>
              <w:t>26</w:t>
            </w:r>
          </w:p>
        </w:tc>
        <w:tc>
          <w:tcPr>
            <w:tcW w:w="935" w:type="pct"/>
          </w:tcPr>
          <w:p w:rsidR="00FD37D0" w:rsidRPr="00FD37D0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FD37D0">
              <w:rPr>
                <w:rFonts w:eastAsia="Times New Roman" w:cstheme="minorHAnsi"/>
                <w:sz w:val="24"/>
                <w:szCs w:val="24"/>
                <w:lang w:eastAsia="de-DE"/>
              </w:rPr>
              <w:t>107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gender</w:t>
            </w:r>
          </w:p>
        </w:tc>
        <w:tc>
          <w:tcPr>
            <w:tcW w:w="1362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male</w:t>
            </w:r>
          </w:p>
        </w:tc>
        <w:tc>
          <w:tcPr>
            <w:tcW w:w="851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>14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53 (49.5)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1362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female</w:t>
            </w:r>
          </w:p>
        </w:tc>
        <w:tc>
          <w:tcPr>
            <w:tcW w:w="851" w:type="pct"/>
            <w:noWrap/>
            <w:hideMark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54 (50.5)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ratio m:f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eastAsia="de-DE"/>
              </w:rPr>
              <w:t>1:0.86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1:1.02</w:t>
            </w:r>
          </w:p>
        </w:tc>
      </w:tr>
      <w:tr w:rsidR="00FD37D0" w:rsidRPr="00162B1B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age at QoL evaluation (yrs)</w:t>
            </w: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eastAsia="de-DE"/>
              </w:rPr>
              <w:t>mean ± SD</w:t>
            </w:r>
          </w:p>
        </w:tc>
        <w:tc>
          <w:tcPr>
            <w:tcW w:w="851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22.7 </w:t>
            </w: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±</w:t>
            </w: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 9.0</w:t>
            </w:r>
          </w:p>
        </w:tc>
        <w:tc>
          <w:tcPr>
            <w:tcW w:w="935" w:type="pct"/>
          </w:tcPr>
          <w:p w:rsidR="00FD37D0" w:rsidRPr="00162B1B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FD37D0" w:rsidRPr="00162B1B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&lt; 6 </w:t>
            </w:r>
          </w:p>
        </w:tc>
        <w:tc>
          <w:tcPr>
            <w:tcW w:w="851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>1</w:t>
            </w:r>
          </w:p>
        </w:tc>
        <w:tc>
          <w:tcPr>
            <w:tcW w:w="935" w:type="pct"/>
          </w:tcPr>
          <w:p w:rsidR="00FD37D0" w:rsidRPr="00162B1B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FD37D0" w:rsidRPr="00162B1B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>6-14</w:t>
            </w:r>
          </w:p>
        </w:tc>
        <w:tc>
          <w:tcPr>
            <w:tcW w:w="851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>4</w:t>
            </w:r>
          </w:p>
        </w:tc>
        <w:tc>
          <w:tcPr>
            <w:tcW w:w="935" w:type="pct"/>
          </w:tcPr>
          <w:p w:rsidR="00FD37D0" w:rsidRPr="00162B1B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FD37D0" w:rsidRPr="00162B1B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>&gt; 14</w:t>
            </w:r>
          </w:p>
        </w:tc>
        <w:tc>
          <w:tcPr>
            <w:tcW w:w="851" w:type="pct"/>
            <w:noWrap/>
          </w:tcPr>
          <w:p w:rsidR="00FD37D0" w:rsidRPr="00162B1B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162B1B">
              <w:rPr>
                <w:rFonts w:eastAsia="Times New Roman" w:cstheme="minorHAnsi"/>
                <w:sz w:val="24"/>
                <w:szCs w:val="24"/>
                <w:lang w:val="en-GB" w:eastAsia="de-DE"/>
              </w:rPr>
              <w:t>21</w:t>
            </w:r>
          </w:p>
        </w:tc>
        <w:tc>
          <w:tcPr>
            <w:tcW w:w="935" w:type="pct"/>
          </w:tcPr>
          <w:p w:rsidR="00FD37D0" w:rsidRPr="00162B1B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</w:tr>
      <w:tr w:rsidR="00FD37D0" w:rsidRPr="00162B1B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age at time of ETV (yrs)</w:t>
            </w: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mean ± SD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8,0 </w:t>
            </w: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±</w:t>
            </w: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 5,9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6.9 ± 5.9</w:t>
            </w:r>
          </w:p>
        </w:tc>
      </w:tr>
      <w:tr w:rsidR="00FD37D0" w:rsidRPr="00162B1B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&lt; 6 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9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53 (49.5)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6-14 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11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36 (33.6)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&gt; 14 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6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18 (16.8)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lastRenderedPageBreak/>
              <w:t>order of surgeries</w:t>
            </w: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ETV was first surgery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18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65 (60.7)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surgeries before ETV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8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42 (39.3)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etiologies</w:t>
            </w: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brain tumor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10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40 (37.4)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cstheme="minorHAnsi"/>
                <w:sz w:val="24"/>
                <w:szCs w:val="24"/>
                <w:lang w:val="en-GB"/>
              </w:rPr>
              <w:t>brain abnormalitiy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9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29 (27.1)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cstheme="minorHAnsi"/>
                <w:sz w:val="24"/>
                <w:szCs w:val="24"/>
                <w:lang w:val="en-GB"/>
              </w:rPr>
            </w:pPr>
            <w:r w:rsidRPr="00D21009">
              <w:rPr>
                <w:rFonts w:cstheme="minorHAnsi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posthemorrhagic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5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22 (20.6)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arachnoidal cyst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1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3 (2.8)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postinfectious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1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11 (10.3)</w:t>
            </w:r>
          </w:p>
        </w:tc>
      </w:tr>
      <w:tr w:rsidR="00FD37D0" w:rsidRPr="00D21009" w:rsidTr="007F04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posttraumatic</w:t>
            </w: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0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2 (1.9)</w:t>
            </w:r>
          </w:p>
        </w:tc>
      </w:tr>
      <w:tr w:rsidR="00FD37D0" w:rsidRPr="00D21009" w:rsidTr="007F0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>follow-up (years) ± SD</w:t>
            </w:r>
          </w:p>
        </w:tc>
        <w:tc>
          <w:tcPr>
            <w:tcW w:w="1362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</w:p>
        </w:tc>
        <w:tc>
          <w:tcPr>
            <w:tcW w:w="851" w:type="pct"/>
            <w:noWrap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color w:val="auto"/>
                <w:sz w:val="24"/>
                <w:szCs w:val="24"/>
                <w:lang w:val="en-GB" w:eastAsia="de-DE"/>
              </w:rPr>
              <w:t>12,2</w:t>
            </w:r>
          </w:p>
        </w:tc>
        <w:tc>
          <w:tcPr>
            <w:tcW w:w="935" w:type="pct"/>
          </w:tcPr>
          <w:p w:rsidR="00FD37D0" w:rsidRPr="00D21009" w:rsidRDefault="00FD37D0" w:rsidP="00831898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  <w:lang w:val="en-GB" w:eastAsia="de-DE"/>
              </w:rPr>
            </w:pPr>
            <w:r>
              <w:rPr>
                <w:rFonts w:eastAsia="Times New Roman" w:cstheme="minorHAnsi"/>
                <w:sz w:val="24"/>
                <w:szCs w:val="24"/>
                <w:lang w:val="en-GB" w:eastAsia="de-DE"/>
              </w:rPr>
              <w:t>9</w:t>
            </w:r>
            <w:r w:rsidRPr="00D21009">
              <w:rPr>
                <w:rFonts w:eastAsia="Times New Roman" w:cstheme="minorHAnsi"/>
                <w:sz w:val="24"/>
                <w:szCs w:val="24"/>
                <w:lang w:val="en-GB" w:eastAsia="de-DE"/>
              </w:rPr>
              <w:t xml:space="preserve">.9 </w:t>
            </w:r>
            <w:r w:rsidRPr="00D21009">
              <w:rPr>
                <w:rFonts w:eastAsia="Times New Roman" w:cstheme="minorHAnsi"/>
                <w:color w:val="auto"/>
                <w:sz w:val="24"/>
                <w:szCs w:val="24"/>
                <w:lang w:val="en-GB" w:eastAsia="de-DE"/>
              </w:rPr>
              <w:t>± 7.5</w:t>
            </w:r>
          </w:p>
        </w:tc>
      </w:tr>
    </w:tbl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 xml:space="preserve">Table </w:t>
      </w:r>
      <w:r w:rsidR="007F0406">
        <w:rPr>
          <w:rFonts w:cstheme="minorHAnsi"/>
          <w:b/>
          <w:sz w:val="24"/>
          <w:szCs w:val="24"/>
          <w:lang w:val="en-GB"/>
        </w:rPr>
        <w:t>1</w:t>
      </w:r>
      <w:r w:rsidRPr="00D21009">
        <w:rPr>
          <w:rFonts w:cstheme="minorHAnsi"/>
          <w:b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Patients’</w:t>
      </w:r>
      <w:r w:rsidRPr="00D21009">
        <w:rPr>
          <w:rFonts w:cstheme="minorHAnsi"/>
          <w:sz w:val="24"/>
          <w:szCs w:val="24"/>
          <w:lang w:val="en-GB"/>
        </w:rPr>
        <w:t xml:space="preserve"> characteristics</w:t>
      </w:r>
      <w:r>
        <w:rPr>
          <w:rFonts w:cstheme="minorHAnsi"/>
          <w:sz w:val="24"/>
          <w:szCs w:val="24"/>
          <w:lang w:val="en-GB"/>
        </w:rPr>
        <w:t xml:space="preserve"> of QoL</w:t>
      </w:r>
      <w:r w:rsidR="007F0406">
        <w:rPr>
          <w:rFonts w:cstheme="minorHAnsi"/>
          <w:sz w:val="24"/>
          <w:szCs w:val="24"/>
          <w:lang w:val="en-GB"/>
        </w:rPr>
        <w:t>-ETV-</w:t>
      </w:r>
      <w:r>
        <w:rPr>
          <w:rFonts w:cstheme="minorHAnsi"/>
          <w:sz w:val="24"/>
          <w:szCs w:val="24"/>
          <w:lang w:val="en-GB"/>
        </w:rPr>
        <w:t>group and total study group. Statistical significance set at p&lt;0.05. Statistical tests were done with Mann-Whitney U-test and Chi-square test.</w:t>
      </w:r>
    </w:p>
    <w:p w:rsidR="002F3594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>Quality of Life</w:t>
      </w:r>
    </w:p>
    <w:p w:rsidR="002F3594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In general, 25</w:t>
      </w:r>
      <w:r w:rsidRPr="00D21009">
        <w:rPr>
          <w:rFonts w:cstheme="minorHAnsi"/>
          <w:sz w:val="24"/>
          <w:szCs w:val="24"/>
          <w:lang w:val="en-GB"/>
        </w:rPr>
        <w:t xml:space="preserve"> patients (9</w:t>
      </w:r>
      <w:r>
        <w:rPr>
          <w:rFonts w:cstheme="minorHAnsi"/>
          <w:sz w:val="24"/>
          <w:szCs w:val="24"/>
          <w:lang w:val="en-GB"/>
        </w:rPr>
        <w:t>6</w:t>
      </w:r>
      <w:r w:rsidRPr="00D21009">
        <w:rPr>
          <w:rFonts w:cstheme="minorHAnsi"/>
          <w:sz w:val="24"/>
          <w:szCs w:val="24"/>
          <w:lang w:val="en-GB"/>
        </w:rPr>
        <w:t>.</w:t>
      </w:r>
      <w:r>
        <w:rPr>
          <w:rFonts w:cstheme="minorHAnsi"/>
          <w:sz w:val="24"/>
          <w:szCs w:val="24"/>
          <w:lang w:val="en-GB"/>
        </w:rPr>
        <w:t>2</w:t>
      </w:r>
      <w:r w:rsidRPr="00D21009">
        <w:rPr>
          <w:rFonts w:cstheme="minorHAnsi"/>
          <w:sz w:val="24"/>
          <w:szCs w:val="24"/>
          <w:lang w:val="en-GB"/>
        </w:rPr>
        <w:t xml:space="preserve">%) described their health status at least as “good”. Only </w:t>
      </w:r>
      <w:r>
        <w:rPr>
          <w:rFonts w:cstheme="minorHAnsi"/>
          <w:sz w:val="24"/>
          <w:szCs w:val="24"/>
          <w:lang w:val="en-GB"/>
        </w:rPr>
        <w:t>1</w:t>
      </w:r>
      <w:r w:rsidRPr="00D21009">
        <w:rPr>
          <w:rFonts w:cstheme="minorHAnsi"/>
          <w:sz w:val="24"/>
          <w:szCs w:val="24"/>
          <w:lang w:val="en-GB"/>
        </w:rPr>
        <w:t xml:space="preserve"> patient</w:t>
      </w:r>
      <w:r>
        <w:rPr>
          <w:rFonts w:cstheme="minorHAnsi"/>
          <w:sz w:val="24"/>
          <w:szCs w:val="24"/>
          <w:lang w:val="en-GB"/>
        </w:rPr>
        <w:t xml:space="preserve"> (3.8%) reported subjective</w:t>
      </w:r>
      <w:r w:rsidRPr="00D21009">
        <w:rPr>
          <w:rFonts w:cstheme="minorHAnsi"/>
          <w:sz w:val="24"/>
          <w:szCs w:val="24"/>
          <w:lang w:val="en-GB"/>
        </w:rPr>
        <w:t xml:space="preserve"> health as “average”. N</w:t>
      </w:r>
      <w:r>
        <w:rPr>
          <w:rFonts w:cstheme="minorHAnsi"/>
          <w:sz w:val="24"/>
          <w:szCs w:val="24"/>
          <w:lang w:val="en-GB"/>
        </w:rPr>
        <w:t>one of our tests led to</w:t>
      </w:r>
      <w:r w:rsidRPr="00D210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 xml:space="preserve">statistical significant </w:t>
      </w:r>
      <w:r w:rsidRPr="00D21009">
        <w:rPr>
          <w:rFonts w:cstheme="minorHAnsi"/>
          <w:sz w:val="24"/>
          <w:szCs w:val="24"/>
          <w:lang w:val="en-GB"/>
        </w:rPr>
        <w:t>difference</w:t>
      </w:r>
      <w:r>
        <w:rPr>
          <w:rFonts w:cstheme="minorHAnsi"/>
          <w:sz w:val="24"/>
          <w:szCs w:val="24"/>
          <w:lang w:val="en-GB"/>
        </w:rPr>
        <w:t>s</w:t>
      </w:r>
      <w:r w:rsidRPr="00D21009">
        <w:rPr>
          <w:rFonts w:cstheme="minorHAnsi"/>
          <w:sz w:val="24"/>
          <w:szCs w:val="24"/>
          <w:lang w:val="en-GB"/>
        </w:rPr>
        <w:t xml:space="preserve"> between males and females, that’s why we show</w:t>
      </w:r>
      <w:r>
        <w:rPr>
          <w:rFonts w:cstheme="minorHAnsi"/>
          <w:sz w:val="24"/>
          <w:szCs w:val="24"/>
          <w:lang w:val="en-GB"/>
        </w:rPr>
        <w:t xml:space="preserve"> the following</w:t>
      </w:r>
      <w:r w:rsidRPr="00D21009">
        <w:rPr>
          <w:rFonts w:cstheme="minorHAnsi"/>
          <w:sz w:val="24"/>
          <w:szCs w:val="24"/>
          <w:lang w:val="en-GB"/>
        </w:rPr>
        <w:t xml:space="preserve"> results without gender differentiation.</w:t>
      </w:r>
      <w:r w:rsidRPr="00D21009">
        <w:rPr>
          <w:rFonts w:cstheme="minorHAnsi"/>
          <w:b/>
          <w:color w:val="C0504D" w:themeColor="accent2"/>
          <w:sz w:val="24"/>
          <w:szCs w:val="24"/>
          <w:lang w:val="en-GB"/>
        </w:rPr>
        <w:t xml:space="preserve"> 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>Patients younger than 14 years</w:t>
      </w:r>
    </w:p>
    <w:p w:rsidR="002F3594" w:rsidRPr="00D21009" w:rsidRDefault="002F3594" w:rsidP="002F3594">
      <w:pPr>
        <w:pStyle w:val="Listenabsatz"/>
        <w:tabs>
          <w:tab w:val="left" w:pos="1905"/>
        </w:tabs>
        <w:spacing w:after="0" w:line="360" w:lineRule="auto"/>
        <w:ind w:left="0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5</w:t>
      </w:r>
      <w:r w:rsidRPr="00D21009">
        <w:rPr>
          <w:rFonts w:cstheme="minorHAnsi"/>
          <w:sz w:val="24"/>
          <w:szCs w:val="24"/>
          <w:lang w:val="en-GB"/>
        </w:rPr>
        <w:t>/</w:t>
      </w:r>
      <w:r>
        <w:rPr>
          <w:rFonts w:cstheme="minorHAnsi"/>
          <w:sz w:val="24"/>
          <w:szCs w:val="24"/>
          <w:lang w:val="en-GB"/>
        </w:rPr>
        <w:t>26</w:t>
      </w:r>
      <w:r w:rsidRPr="00D21009">
        <w:rPr>
          <w:rFonts w:cstheme="minorHAnsi"/>
          <w:sz w:val="24"/>
          <w:szCs w:val="24"/>
          <w:lang w:val="en-GB"/>
        </w:rPr>
        <w:t xml:space="preserve"> patients (</w:t>
      </w:r>
      <w:r>
        <w:rPr>
          <w:rFonts w:cstheme="minorHAnsi"/>
          <w:sz w:val="24"/>
          <w:szCs w:val="24"/>
          <w:lang w:val="en-GB"/>
        </w:rPr>
        <w:t>1</w:t>
      </w:r>
      <w:r w:rsidRPr="00D21009">
        <w:rPr>
          <w:rFonts w:cstheme="minorHAnsi"/>
          <w:sz w:val="24"/>
          <w:szCs w:val="24"/>
          <w:lang w:val="en-GB"/>
        </w:rPr>
        <w:t xml:space="preserve">f, </w:t>
      </w:r>
      <w:r>
        <w:rPr>
          <w:rFonts w:cstheme="minorHAnsi"/>
          <w:sz w:val="24"/>
          <w:szCs w:val="24"/>
          <w:lang w:val="en-GB"/>
        </w:rPr>
        <w:t>4</w:t>
      </w:r>
      <w:r w:rsidRPr="00D21009">
        <w:rPr>
          <w:rFonts w:cstheme="minorHAnsi"/>
          <w:sz w:val="24"/>
          <w:szCs w:val="24"/>
          <w:lang w:val="en-GB"/>
        </w:rPr>
        <w:t xml:space="preserve">m) received the KINDL-R questionnaire that was completed by their parents. </w:t>
      </w:r>
      <w:r>
        <w:rPr>
          <w:rFonts w:cstheme="minorHAnsi"/>
          <w:sz w:val="24"/>
          <w:szCs w:val="24"/>
          <w:lang w:val="en-GB"/>
        </w:rPr>
        <w:t>M</w:t>
      </w:r>
      <w:r w:rsidRPr="00D21009">
        <w:rPr>
          <w:rFonts w:cstheme="minorHAnsi"/>
          <w:sz w:val="24"/>
          <w:szCs w:val="24"/>
          <w:lang w:val="en-GB"/>
        </w:rPr>
        <w:t xml:space="preserve">ean age </w:t>
      </w:r>
      <w:r>
        <w:rPr>
          <w:rFonts w:cstheme="minorHAnsi"/>
          <w:sz w:val="24"/>
          <w:szCs w:val="24"/>
          <w:lang w:val="en-GB"/>
        </w:rPr>
        <w:t xml:space="preserve">at evaluation </w:t>
      </w:r>
      <w:r w:rsidRPr="00D21009">
        <w:rPr>
          <w:rFonts w:cstheme="minorHAnsi"/>
          <w:sz w:val="24"/>
          <w:szCs w:val="24"/>
          <w:lang w:val="en-GB"/>
        </w:rPr>
        <w:t xml:space="preserve">was </w:t>
      </w:r>
      <w:r>
        <w:rPr>
          <w:rFonts w:cstheme="minorHAnsi"/>
          <w:sz w:val="24"/>
          <w:szCs w:val="24"/>
          <w:lang w:val="en-GB"/>
        </w:rPr>
        <w:t>12.2 years</w:t>
      </w:r>
      <w:r w:rsidRPr="00D21009">
        <w:rPr>
          <w:rFonts w:cstheme="minorHAnsi"/>
          <w:sz w:val="24"/>
          <w:szCs w:val="24"/>
          <w:lang w:val="en-GB"/>
        </w:rPr>
        <w:t xml:space="preserve">. </w:t>
      </w:r>
      <w:r>
        <w:rPr>
          <w:rFonts w:cstheme="minorHAnsi"/>
          <w:sz w:val="24"/>
          <w:szCs w:val="24"/>
          <w:lang w:val="en-GB"/>
        </w:rPr>
        <w:t xml:space="preserve">Mean age at ETV was 3.4 years. </w:t>
      </w:r>
      <w:r w:rsidRPr="00D21009">
        <w:rPr>
          <w:rFonts w:cstheme="minorHAnsi"/>
          <w:sz w:val="24"/>
          <w:szCs w:val="24"/>
          <w:lang w:val="en-GB"/>
        </w:rPr>
        <w:t xml:space="preserve">Noteworthy, </w:t>
      </w:r>
      <w:r>
        <w:rPr>
          <w:rFonts w:cstheme="minorHAnsi"/>
          <w:sz w:val="24"/>
          <w:szCs w:val="24"/>
          <w:lang w:val="en-GB"/>
        </w:rPr>
        <w:t>3</w:t>
      </w:r>
      <w:r w:rsidRPr="00D21009">
        <w:rPr>
          <w:rFonts w:cstheme="minorHAnsi"/>
          <w:sz w:val="24"/>
          <w:szCs w:val="24"/>
          <w:lang w:val="en-GB"/>
        </w:rPr>
        <w:t>/</w:t>
      </w:r>
      <w:r>
        <w:rPr>
          <w:rFonts w:cstheme="minorHAnsi"/>
          <w:sz w:val="24"/>
          <w:szCs w:val="24"/>
          <w:lang w:val="en-GB"/>
        </w:rPr>
        <w:t>4</w:t>
      </w:r>
      <w:r w:rsidRPr="00D21009">
        <w:rPr>
          <w:rFonts w:cstheme="minorHAnsi"/>
          <w:sz w:val="24"/>
          <w:szCs w:val="24"/>
          <w:lang w:val="en-GB"/>
        </w:rPr>
        <w:t xml:space="preserve"> school-aged children attend a special school for handicapped</w:t>
      </w:r>
      <w:r w:rsidRPr="00D21009">
        <w:rPr>
          <w:rFonts w:cstheme="minorHAnsi"/>
          <w:color w:val="4F81BD" w:themeColor="accent1"/>
          <w:sz w:val="24"/>
          <w:szCs w:val="24"/>
          <w:lang w:val="en-GB"/>
        </w:rPr>
        <w:t xml:space="preserve"> </w:t>
      </w:r>
      <w:r w:rsidRPr="00D21009">
        <w:rPr>
          <w:rFonts w:cstheme="minorHAnsi"/>
          <w:sz w:val="24"/>
          <w:szCs w:val="24"/>
          <w:lang w:val="en-GB"/>
        </w:rPr>
        <w:t xml:space="preserve">children, only 1 child attends the middle school. </w:t>
      </w:r>
      <w:r w:rsidRPr="003C2C92">
        <w:rPr>
          <w:rFonts w:cstheme="minorHAnsi"/>
          <w:sz w:val="24"/>
          <w:szCs w:val="24"/>
          <w:lang w:val="en-GB"/>
        </w:rPr>
        <w:t xml:space="preserve">The results of the KINDL-R are shown in Figure 2. All evaluated dimensions (body, psyche, self-esteem, family, friends, school and total score) are located below the corresponding scores of the reference group </w:t>
      </w:r>
      <w:r w:rsidRPr="003C2C92">
        <w:rPr>
          <w:rFonts w:cstheme="minorHAnsi"/>
          <w:sz w:val="24"/>
          <w:szCs w:val="24"/>
          <w:lang w:val="en-GB"/>
        </w:rPr>
        <w:fldChar w:fldCharType="begin"/>
      </w:r>
      <w:r w:rsidRPr="003C2C92">
        <w:rPr>
          <w:rFonts w:cstheme="minorHAnsi"/>
          <w:sz w:val="24"/>
          <w:szCs w:val="24"/>
          <w:lang w:val="en-GB"/>
        </w:rPr>
        <w:instrText>ADDIN CITAVI.PLACEHOLDER bdcf2e28-7933-4457-9e77-175650364b10 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</w:instrText>
      </w:r>
      <w:r w:rsidRPr="003C2C92">
        <w:rPr>
          <w:rFonts w:cstheme="minorHAnsi"/>
          <w:sz w:val="24"/>
          <w:szCs w:val="24"/>
          <w:lang w:val="en-GB"/>
        </w:rPr>
        <w:fldChar w:fldCharType="separate"/>
      </w:r>
      <w:bookmarkStart w:id="0" w:name="_CTVP001bdcf2e28793344579e77175650364b10"/>
      <w:r w:rsidRPr="003C2C92">
        <w:rPr>
          <w:rFonts w:cstheme="minorHAnsi"/>
          <w:sz w:val="24"/>
          <w:szCs w:val="24"/>
          <w:vertAlign w:val="superscript"/>
          <w:lang w:val="en-GB"/>
        </w:rPr>
        <w:fldChar w:fldCharType="begin"/>
      </w:r>
      <w:r w:rsidRPr="003C2C92">
        <w:rPr>
          <w:rFonts w:cstheme="minorHAnsi"/>
          <w:sz w:val="24"/>
          <w:szCs w:val="24"/>
          <w:vertAlign w:val="superscript"/>
          <w:lang w:val="en-GB"/>
        </w:rPr>
        <w:instrText>HYPERLINK "#_CTVL00103fba933f1af4e9e9f529b94f0665edd" \o "https://www.KINDL-R.org/deutsch/referenz-normwerte-validierungen/."</w:instrText>
      </w:r>
      <w:r w:rsidRPr="003C2C92">
        <w:rPr>
          <w:rFonts w:cstheme="minorHAnsi"/>
          <w:sz w:val="24"/>
          <w:szCs w:val="24"/>
          <w:vertAlign w:val="superscript"/>
          <w:lang w:val="en-GB"/>
        </w:rPr>
        <w:fldChar w:fldCharType="separate"/>
      </w:r>
      <w:r w:rsidRPr="003C2C92">
        <w:rPr>
          <w:rFonts w:cstheme="minorHAnsi"/>
          <w:sz w:val="24"/>
          <w:szCs w:val="24"/>
          <w:vertAlign w:val="superscript"/>
          <w:lang w:val="en-GB"/>
        </w:rPr>
        <w:t>18</w:t>
      </w:r>
      <w:r w:rsidRPr="003C2C92">
        <w:rPr>
          <w:rFonts w:cstheme="minorHAnsi"/>
          <w:sz w:val="24"/>
          <w:szCs w:val="24"/>
          <w:vertAlign w:val="superscript"/>
          <w:lang w:val="en-GB"/>
        </w:rPr>
        <w:fldChar w:fldCharType="end"/>
      </w:r>
      <w:bookmarkEnd w:id="0"/>
      <w:r w:rsidRPr="003C2C92">
        <w:rPr>
          <w:rFonts w:cstheme="minorHAnsi"/>
          <w:sz w:val="24"/>
          <w:szCs w:val="24"/>
          <w:lang w:val="en-GB"/>
        </w:rPr>
        <w:fldChar w:fldCharType="end"/>
      </w:r>
      <w:r w:rsidRPr="003C2C92">
        <w:rPr>
          <w:rFonts w:cstheme="minorHAnsi"/>
          <w:sz w:val="24"/>
          <w:szCs w:val="24"/>
          <w:lang w:val="en-GB"/>
        </w:rPr>
        <w:t>. None of the dimensions showed a statistical significant difference.</w:t>
      </w:r>
      <w:r w:rsidRPr="00D21009">
        <w:rPr>
          <w:rFonts w:cstheme="minorHAnsi"/>
          <w:sz w:val="24"/>
          <w:szCs w:val="24"/>
          <w:lang w:val="en-GB"/>
        </w:rPr>
        <w:t xml:space="preserve"> 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 wp14:anchorId="24F7C850" wp14:editId="50CC7982">
            <wp:extent cx="6979376" cy="3569826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91488" cy="357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594" w:rsidRPr="00D21009" w:rsidRDefault="002F3594" w:rsidP="002F3594">
      <w:pPr>
        <w:pStyle w:val="Listenabsatz"/>
        <w:tabs>
          <w:tab w:val="left" w:pos="1905"/>
        </w:tabs>
        <w:spacing w:after="0" w:line="360" w:lineRule="auto"/>
        <w:ind w:left="0"/>
        <w:jc w:val="both"/>
        <w:rPr>
          <w:rFonts w:cstheme="minorHAnsi"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 xml:space="preserve">Fig. </w:t>
      </w:r>
      <w:r>
        <w:rPr>
          <w:rFonts w:cstheme="minorHAnsi"/>
          <w:b/>
          <w:sz w:val="24"/>
          <w:szCs w:val="24"/>
          <w:lang w:val="en-GB"/>
        </w:rPr>
        <w:t>2</w:t>
      </w:r>
      <w:r w:rsidRPr="00D210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Average h</w:t>
      </w:r>
      <w:r w:rsidRPr="00571A17">
        <w:rPr>
          <w:rFonts w:cstheme="minorHAnsi"/>
          <w:sz w:val="24"/>
          <w:szCs w:val="24"/>
          <w:lang w:val="en-GB"/>
        </w:rPr>
        <w:t xml:space="preserve">ealth dimensions evaluated with KINDL-R questionnaire in children. Statistical significance set at p&lt;0.05. Statistical tests were done with </w:t>
      </w:r>
      <w:r>
        <w:rPr>
          <w:rFonts w:cstheme="minorHAnsi"/>
          <w:sz w:val="24"/>
          <w:szCs w:val="24"/>
          <w:lang w:val="en-GB"/>
        </w:rPr>
        <w:t>Welch’s t-test</w:t>
      </w:r>
      <w:r w:rsidRPr="00571A17">
        <w:rPr>
          <w:rFonts w:cstheme="minorHAnsi"/>
          <w:sz w:val="24"/>
          <w:szCs w:val="24"/>
          <w:lang w:val="en-GB"/>
        </w:rPr>
        <w:t>.</w:t>
      </w:r>
    </w:p>
    <w:p w:rsidR="002F3594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</w:p>
    <w:tbl>
      <w:tblPr>
        <w:tblStyle w:val="HelleSchattierung"/>
        <w:tblW w:w="5000" w:type="pct"/>
        <w:tblLook w:val="04A0" w:firstRow="1" w:lastRow="0" w:firstColumn="1" w:lastColumn="0" w:noHBand="0" w:noVBand="1"/>
      </w:tblPr>
      <w:tblGrid>
        <w:gridCol w:w="2210"/>
        <w:gridCol w:w="2211"/>
        <w:gridCol w:w="2655"/>
        <w:gridCol w:w="2212"/>
      </w:tblGrid>
      <w:tr w:rsidR="002F3594" w:rsidRPr="000C1A89" w:rsidTr="003165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study group (n=5)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reference</w:t>
            </w:r>
            <w:proofErr w:type="spellEnd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group (n=14836)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p value</w:t>
            </w:r>
          </w:p>
        </w:tc>
      </w:tr>
      <w:tr w:rsidR="002F3594" w:rsidRPr="000C1A89" w:rsidTr="00316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body</w:t>
            </w:r>
            <w:proofErr w:type="spellEnd"/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79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77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0.876</w:t>
            </w:r>
          </w:p>
        </w:tc>
      </w:tr>
      <w:tr w:rsidR="002F3594" w:rsidRPr="000C1A89" w:rsidTr="003165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psyche</w:t>
            </w:r>
            <w:proofErr w:type="spellEnd"/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81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0.728</w:t>
            </w:r>
          </w:p>
        </w:tc>
      </w:tr>
      <w:tr w:rsidR="002F3594" w:rsidRPr="000C1A89" w:rsidTr="00316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self-esteem</w:t>
            </w:r>
            <w:proofErr w:type="spellEnd"/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64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70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0.481</w:t>
            </w:r>
          </w:p>
        </w:tc>
      </w:tr>
      <w:tr w:rsidR="002F3594" w:rsidRPr="000C1A89" w:rsidTr="003165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family</w:t>
            </w:r>
            <w:proofErr w:type="spellEnd"/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69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0.341</w:t>
            </w:r>
          </w:p>
        </w:tc>
      </w:tr>
      <w:tr w:rsidR="002F3594" w:rsidRPr="000C1A89" w:rsidTr="00316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friends</w:t>
            </w:r>
            <w:proofErr w:type="spellEnd"/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56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0.070</w:t>
            </w:r>
          </w:p>
        </w:tc>
      </w:tr>
      <w:tr w:rsidR="002F3594" w:rsidRPr="000C1A89" w:rsidTr="0031654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school</w:t>
            </w:r>
            <w:proofErr w:type="spellEnd"/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74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77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0.551</w:t>
            </w:r>
          </w:p>
        </w:tc>
      </w:tr>
      <w:tr w:rsidR="002F3594" w:rsidRPr="000C1A89" w:rsidTr="003165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0" w:type="pct"/>
            <w:noWrap/>
            <w:hideMark/>
          </w:tcPr>
          <w:p w:rsidR="002F3594" w:rsidRPr="000C1A89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total</w:t>
            </w:r>
          </w:p>
        </w:tc>
        <w:tc>
          <w:tcPr>
            <w:tcW w:w="1190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70</w:t>
            </w:r>
          </w:p>
        </w:tc>
        <w:tc>
          <w:tcPr>
            <w:tcW w:w="1429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77</w:t>
            </w:r>
          </w:p>
        </w:tc>
        <w:tc>
          <w:tcPr>
            <w:tcW w:w="1191" w:type="pct"/>
            <w:noWrap/>
            <w:hideMark/>
          </w:tcPr>
          <w:p w:rsidR="002F3594" w:rsidRPr="000C1A89" w:rsidRDefault="002F3594" w:rsidP="008318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lang w:eastAsia="de-DE"/>
              </w:rPr>
              <w:t>0.</w:t>
            </w:r>
            <w:r w:rsidRPr="000C1A89">
              <w:rPr>
                <w:rFonts w:ascii="Calibri" w:eastAsia="Times New Roman" w:hAnsi="Calibri" w:cs="Calibri"/>
                <w:color w:val="000000"/>
                <w:lang w:eastAsia="de-DE"/>
              </w:rPr>
              <w:t>298</w:t>
            </w:r>
          </w:p>
        </w:tc>
      </w:tr>
    </w:tbl>
    <w:p w:rsidR="00E16BFB" w:rsidRDefault="0031654A" w:rsidP="002F35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1654A">
        <w:rPr>
          <w:rFonts w:cstheme="minorHAnsi"/>
          <w:b/>
          <w:sz w:val="24"/>
          <w:szCs w:val="24"/>
          <w:lang w:val="en-GB"/>
        </w:rPr>
        <w:t>Table 2</w:t>
      </w:r>
      <w:r>
        <w:rPr>
          <w:rFonts w:cstheme="minorHAnsi"/>
          <w:sz w:val="24"/>
          <w:szCs w:val="24"/>
          <w:lang w:val="en-GB"/>
        </w:rPr>
        <w:t xml:space="preserve"> </w:t>
      </w:r>
      <w:r w:rsidR="00E16BFB" w:rsidRPr="0042625E">
        <w:rPr>
          <w:rFonts w:ascii="Times New Roman" w:hAnsi="Times New Roman" w:cs="Times New Roman"/>
          <w:sz w:val="24"/>
          <w:szCs w:val="24"/>
          <w:lang w:val="en-GB"/>
        </w:rPr>
        <w:t xml:space="preserve">Average health dimensions evaluated with KINDL-R questionnaire in children. Statistical significance set at p&lt;0.05. Statistical tests were done with Welch’s t-test. </w:t>
      </w:r>
    </w:p>
    <w:p w:rsidR="00E16BFB" w:rsidRDefault="00E16BFB" w:rsidP="002F359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>Patients older than 14 years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>The SF-12 was completed by</w:t>
      </w:r>
      <w:bookmarkStart w:id="1" w:name="_GoBack"/>
      <w:bookmarkEnd w:id="1"/>
      <w:r>
        <w:rPr>
          <w:rFonts w:cstheme="minorHAnsi"/>
          <w:sz w:val="24"/>
          <w:szCs w:val="24"/>
          <w:lang w:val="en-GB"/>
        </w:rPr>
        <w:t xml:space="preserve"> 21</w:t>
      </w:r>
      <w:r w:rsidRPr="00D21009">
        <w:rPr>
          <w:rFonts w:cstheme="minorHAnsi"/>
          <w:sz w:val="24"/>
          <w:szCs w:val="24"/>
          <w:lang w:val="en-GB"/>
        </w:rPr>
        <w:t>/</w:t>
      </w:r>
      <w:r>
        <w:rPr>
          <w:rFonts w:cstheme="minorHAnsi"/>
          <w:sz w:val="24"/>
          <w:szCs w:val="24"/>
          <w:lang w:val="en-GB"/>
        </w:rPr>
        <w:t>26</w:t>
      </w:r>
      <w:r w:rsidRPr="00D21009">
        <w:rPr>
          <w:rFonts w:cstheme="minorHAnsi"/>
          <w:sz w:val="24"/>
          <w:szCs w:val="24"/>
          <w:lang w:val="en-GB"/>
        </w:rPr>
        <w:t xml:space="preserve"> patients (1</w:t>
      </w:r>
      <w:r>
        <w:rPr>
          <w:rFonts w:cstheme="minorHAnsi"/>
          <w:sz w:val="24"/>
          <w:szCs w:val="24"/>
          <w:lang w:val="en-GB"/>
        </w:rPr>
        <w:t>1</w:t>
      </w:r>
      <w:r w:rsidRPr="00D21009">
        <w:rPr>
          <w:rFonts w:cstheme="minorHAnsi"/>
          <w:sz w:val="24"/>
          <w:szCs w:val="24"/>
          <w:lang w:val="en-GB"/>
        </w:rPr>
        <w:t>f, 1</w:t>
      </w:r>
      <w:r>
        <w:rPr>
          <w:rFonts w:cstheme="minorHAnsi"/>
          <w:sz w:val="24"/>
          <w:szCs w:val="24"/>
          <w:lang w:val="en-GB"/>
        </w:rPr>
        <w:t>0</w:t>
      </w:r>
      <w:r w:rsidRPr="00D21009">
        <w:rPr>
          <w:rFonts w:cstheme="minorHAnsi"/>
          <w:sz w:val="24"/>
          <w:szCs w:val="24"/>
          <w:lang w:val="en-GB"/>
        </w:rPr>
        <w:t>m). The mean age of the survey responders was 2</w:t>
      </w:r>
      <w:r>
        <w:rPr>
          <w:rFonts w:cstheme="minorHAnsi"/>
          <w:sz w:val="24"/>
          <w:szCs w:val="24"/>
          <w:lang w:val="en-GB"/>
        </w:rPr>
        <w:t>2</w:t>
      </w:r>
      <w:r w:rsidRPr="00D21009">
        <w:rPr>
          <w:rFonts w:cstheme="minorHAnsi"/>
          <w:sz w:val="24"/>
          <w:szCs w:val="24"/>
          <w:lang w:val="en-GB"/>
        </w:rPr>
        <w:t>.</w:t>
      </w:r>
      <w:r>
        <w:rPr>
          <w:rFonts w:cstheme="minorHAnsi"/>
          <w:sz w:val="24"/>
          <w:szCs w:val="24"/>
          <w:lang w:val="en-GB"/>
        </w:rPr>
        <w:t>7</w:t>
      </w:r>
      <w:r w:rsidRPr="00D210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years (±9.0 years</w:t>
      </w:r>
      <w:r w:rsidRPr="00D21009">
        <w:rPr>
          <w:rFonts w:cstheme="minorHAnsi"/>
          <w:sz w:val="24"/>
          <w:szCs w:val="24"/>
          <w:lang w:val="en-GB"/>
        </w:rPr>
        <w:t xml:space="preserve">). </w:t>
      </w:r>
      <w:r>
        <w:rPr>
          <w:rFonts w:cstheme="minorHAnsi"/>
          <w:sz w:val="24"/>
          <w:szCs w:val="24"/>
          <w:lang w:val="en-GB"/>
        </w:rPr>
        <w:t xml:space="preserve">Mean age at time of operation was 8.0 years (±5.9 years). </w:t>
      </w:r>
      <w:r w:rsidRPr="00D21009">
        <w:rPr>
          <w:rFonts w:cstheme="minorHAnsi"/>
          <w:sz w:val="24"/>
          <w:szCs w:val="24"/>
          <w:lang w:val="en-GB"/>
        </w:rPr>
        <w:t>The physical dimension of the study g</w:t>
      </w:r>
      <w:r>
        <w:rPr>
          <w:rFonts w:cstheme="minorHAnsi"/>
          <w:sz w:val="24"/>
          <w:szCs w:val="24"/>
          <w:lang w:val="en-GB"/>
        </w:rPr>
        <w:t>roup (PCS) reached a score of 48</w:t>
      </w:r>
      <w:r w:rsidRPr="00D21009">
        <w:rPr>
          <w:rFonts w:cstheme="minorHAnsi"/>
          <w:sz w:val="24"/>
          <w:szCs w:val="24"/>
          <w:lang w:val="en-GB"/>
        </w:rPr>
        <w:t>.</w:t>
      </w:r>
      <w:r>
        <w:rPr>
          <w:rFonts w:cstheme="minorHAnsi"/>
          <w:sz w:val="24"/>
          <w:szCs w:val="24"/>
          <w:lang w:val="en-GB"/>
        </w:rPr>
        <w:t>9</w:t>
      </w:r>
      <w:r w:rsidRPr="00D21009">
        <w:rPr>
          <w:rFonts w:cstheme="minorHAnsi"/>
          <w:sz w:val="24"/>
          <w:szCs w:val="24"/>
          <w:lang w:val="en-GB"/>
        </w:rPr>
        <w:t xml:space="preserve"> vs. 49</w:t>
      </w:r>
      <w:r>
        <w:rPr>
          <w:rFonts w:cstheme="minorHAnsi"/>
          <w:sz w:val="24"/>
          <w:szCs w:val="24"/>
          <w:lang w:val="en-GB"/>
        </w:rPr>
        <w:t>.0 of the reference group (p=0.8</w:t>
      </w:r>
      <w:r w:rsidRPr="00D21009">
        <w:rPr>
          <w:rFonts w:cstheme="minorHAnsi"/>
          <w:sz w:val="24"/>
          <w:szCs w:val="24"/>
          <w:lang w:val="en-GB"/>
        </w:rPr>
        <w:t>8</w:t>
      </w:r>
      <w:r>
        <w:rPr>
          <w:rFonts w:cstheme="minorHAnsi"/>
          <w:sz w:val="24"/>
          <w:szCs w:val="24"/>
          <w:lang w:val="en-GB"/>
        </w:rPr>
        <w:t>3</w:t>
      </w:r>
      <w:r w:rsidRPr="00D21009">
        <w:rPr>
          <w:rFonts w:cstheme="minorHAnsi"/>
          <w:sz w:val="24"/>
          <w:szCs w:val="24"/>
          <w:lang w:val="en-GB"/>
        </w:rPr>
        <w:t>).</w:t>
      </w:r>
      <w:r w:rsidRPr="00D21009">
        <w:rPr>
          <w:rFonts w:cstheme="minorHAnsi"/>
          <w:color w:val="4F81BD" w:themeColor="accent1"/>
          <w:sz w:val="24"/>
          <w:szCs w:val="24"/>
          <w:lang w:val="en-GB"/>
        </w:rPr>
        <w:t xml:space="preserve"> </w:t>
      </w:r>
      <w:r w:rsidRPr="00D21009">
        <w:rPr>
          <w:rFonts w:cstheme="minorHAnsi"/>
          <w:sz w:val="24"/>
          <w:szCs w:val="24"/>
          <w:lang w:val="en-GB"/>
        </w:rPr>
        <w:t>The mental well-being of the study group shows a score of 5</w:t>
      </w:r>
      <w:r>
        <w:rPr>
          <w:rFonts w:cstheme="minorHAnsi"/>
          <w:sz w:val="24"/>
          <w:szCs w:val="24"/>
          <w:lang w:val="en-GB"/>
        </w:rPr>
        <w:t>0</w:t>
      </w:r>
      <w:r w:rsidRPr="00D21009">
        <w:rPr>
          <w:rFonts w:cstheme="minorHAnsi"/>
          <w:sz w:val="24"/>
          <w:szCs w:val="24"/>
          <w:lang w:val="en-GB"/>
        </w:rPr>
        <w:t>.5 vs. 52.2 of the reference group (p=0.</w:t>
      </w:r>
      <w:r>
        <w:rPr>
          <w:rFonts w:cstheme="minorHAnsi"/>
          <w:sz w:val="24"/>
          <w:szCs w:val="24"/>
          <w:lang w:val="en-GB"/>
        </w:rPr>
        <w:t>834</w:t>
      </w:r>
      <w:r w:rsidRPr="00D21009">
        <w:rPr>
          <w:rFonts w:cstheme="minorHAnsi"/>
          <w:sz w:val="24"/>
          <w:szCs w:val="24"/>
          <w:lang w:val="en-GB"/>
        </w:rPr>
        <w:t xml:space="preserve">). So, neither the PCS nor the MCS of the observed study group show a significant lower result (see overview given in </w:t>
      </w:r>
      <w:r>
        <w:rPr>
          <w:rFonts w:cstheme="minorHAnsi"/>
          <w:sz w:val="24"/>
          <w:szCs w:val="24"/>
          <w:lang w:val="en-GB"/>
        </w:rPr>
        <w:t>Figure</w:t>
      </w:r>
      <w:r w:rsidRPr="00D210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3</w:t>
      </w:r>
      <w:r w:rsidRPr="00D21009">
        <w:rPr>
          <w:rFonts w:cstheme="minorHAnsi"/>
          <w:sz w:val="24"/>
          <w:szCs w:val="24"/>
          <w:lang w:val="en-GB"/>
        </w:rPr>
        <w:t>).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rFonts w:cstheme="minorHAnsi"/>
          <w:sz w:val="24"/>
          <w:szCs w:val="24"/>
          <w:lang w:val="en-GB"/>
        </w:rPr>
        <w:t xml:space="preserve">Statistical values are given in </w:t>
      </w:r>
      <w:r w:rsidRPr="00E16BFB">
        <w:rPr>
          <w:rFonts w:cstheme="minorHAnsi"/>
          <w:sz w:val="24"/>
          <w:szCs w:val="24"/>
          <w:lang w:val="en-GB"/>
        </w:rPr>
        <w:t xml:space="preserve">Table </w:t>
      </w:r>
      <w:r w:rsidR="00E16BFB">
        <w:rPr>
          <w:rFonts w:cstheme="minorHAnsi"/>
          <w:sz w:val="24"/>
          <w:szCs w:val="24"/>
          <w:lang w:val="en-GB"/>
        </w:rPr>
        <w:t>3</w:t>
      </w:r>
      <w:r>
        <w:rPr>
          <w:rFonts w:cstheme="minorHAnsi"/>
          <w:sz w:val="24"/>
          <w:szCs w:val="24"/>
          <w:lang w:val="en-GB"/>
        </w:rPr>
        <w:t>;</w:t>
      </w:r>
      <w:r w:rsidRPr="00D21009">
        <w:rPr>
          <w:rFonts w:cstheme="minorHAnsi"/>
          <w:sz w:val="24"/>
          <w:szCs w:val="24"/>
          <w:lang w:val="en-GB"/>
        </w:rPr>
        <w:t xml:space="preserve"> overview is given in </w:t>
      </w:r>
      <w:r>
        <w:rPr>
          <w:rFonts w:cstheme="minorHAnsi"/>
          <w:sz w:val="24"/>
          <w:szCs w:val="24"/>
          <w:lang w:val="en-GB"/>
        </w:rPr>
        <w:t>Figure</w:t>
      </w:r>
      <w:r w:rsidRPr="00D210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>3</w:t>
      </w:r>
      <w:r w:rsidRPr="00D21009">
        <w:rPr>
          <w:rFonts w:cstheme="minorHAnsi"/>
          <w:sz w:val="24"/>
          <w:szCs w:val="24"/>
          <w:lang w:val="en-GB"/>
        </w:rPr>
        <w:t>.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  <w:r>
        <w:rPr>
          <w:noProof/>
          <w:lang w:eastAsia="de-DE"/>
        </w:rPr>
        <w:lastRenderedPageBreak/>
        <w:drawing>
          <wp:inline distT="0" distB="0" distL="0" distR="0" wp14:anchorId="4F5E3EE7" wp14:editId="6D9FF31D">
            <wp:extent cx="4953000" cy="2708721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1363" cy="270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3594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  <w:r w:rsidRPr="00D21009">
        <w:rPr>
          <w:rFonts w:cstheme="minorHAnsi"/>
          <w:b/>
          <w:sz w:val="24"/>
          <w:szCs w:val="24"/>
          <w:lang w:val="en-GB"/>
        </w:rPr>
        <w:t xml:space="preserve">Fig. </w:t>
      </w:r>
      <w:r>
        <w:rPr>
          <w:rFonts w:cstheme="minorHAnsi"/>
          <w:b/>
          <w:sz w:val="24"/>
          <w:szCs w:val="24"/>
          <w:lang w:val="en-GB"/>
        </w:rPr>
        <w:t>3</w:t>
      </w:r>
      <w:r w:rsidRPr="00D21009">
        <w:rPr>
          <w:rFonts w:cstheme="minorHAnsi"/>
          <w:sz w:val="24"/>
          <w:szCs w:val="24"/>
          <w:lang w:val="en-GB"/>
        </w:rPr>
        <w:t xml:space="preserve"> PCS and MCS of patients </w:t>
      </w:r>
      <w:r>
        <w:rPr>
          <w:rFonts w:cstheme="minorHAnsi"/>
          <w:sz w:val="24"/>
          <w:szCs w:val="24"/>
          <w:lang w:val="en-GB"/>
        </w:rPr>
        <w:t>compared to</w:t>
      </w:r>
      <w:r w:rsidRPr="00D21009">
        <w:rPr>
          <w:rFonts w:cstheme="minorHAnsi"/>
          <w:sz w:val="24"/>
          <w:szCs w:val="24"/>
          <w:lang w:val="en-GB"/>
        </w:rPr>
        <w:t xml:space="preserve"> reference group. Significance level set at p&lt;0.05. Statistical analysis was done</w:t>
      </w:r>
      <w:r>
        <w:rPr>
          <w:rFonts w:cstheme="minorHAnsi"/>
          <w:sz w:val="24"/>
          <w:szCs w:val="24"/>
          <w:lang w:val="en-GB"/>
        </w:rPr>
        <w:t xml:space="preserve"> in pairwise comparisons of the ETV groups with the normal reference group using</w:t>
      </w:r>
      <w:r w:rsidRPr="00D21009">
        <w:rPr>
          <w:rFonts w:cstheme="minorHAnsi"/>
          <w:sz w:val="24"/>
          <w:szCs w:val="24"/>
          <w:lang w:val="en-GB"/>
        </w:rPr>
        <w:t xml:space="preserve"> Mann-Whitney </w:t>
      </w:r>
      <w:r>
        <w:rPr>
          <w:rFonts w:cstheme="minorHAnsi"/>
          <w:sz w:val="24"/>
          <w:szCs w:val="24"/>
          <w:lang w:val="en-GB"/>
        </w:rPr>
        <w:t>U-</w:t>
      </w:r>
      <w:r w:rsidRPr="00D21009">
        <w:rPr>
          <w:rFonts w:cstheme="minorHAnsi"/>
          <w:sz w:val="24"/>
          <w:szCs w:val="24"/>
          <w:lang w:val="en-GB"/>
        </w:rPr>
        <w:t>test</w:t>
      </w:r>
      <w:r>
        <w:rPr>
          <w:rFonts w:cstheme="minorHAnsi"/>
          <w:sz w:val="24"/>
          <w:szCs w:val="24"/>
          <w:lang w:val="en-GB"/>
        </w:rPr>
        <w:t>s</w:t>
      </w:r>
      <w:r w:rsidRPr="00D21009">
        <w:rPr>
          <w:rFonts w:cstheme="minorHAnsi"/>
          <w:sz w:val="24"/>
          <w:szCs w:val="24"/>
          <w:lang w:val="en-GB"/>
        </w:rPr>
        <w:t>.</w:t>
      </w:r>
    </w:p>
    <w:p w:rsidR="002F3594" w:rsidRPr="00CF7B53" w:rsidRDefault="002F3594" w:rsidP="002F3594">
      <w:pPr>
        <w:spacing w:after="0" w:line="360" w:lineRule="auto"/>
        <w:jc w:val="both"/>
        <w:rPr>
          <w:rFonts w:cstheme="minorHAnsi"/>
          <w:b/>
          <w:sz w:val="24"/>
          <w:szCs w:val="24"/>
          <w:lang w:val="en-GB"/>
        </w:rPr>
      </w:pPr>
    </w:p>
    <w:tbl>
      <w:tblPr>
        <w:tblStyle w:val="HelleSchattierung"/>
        <w:tblW w:w="5000" w:type="pct"/>
        <w:tblLook w:val="04A0" w:firstRow="1" w:lastRow="0" w:firstColumn="1" w:lastColumn="0" w:noHBand="0" w:noVBand="1"/>
      </w:tblPr>
      <w:tblGrid>
        <w:gridCol w:w="3917"/>
        <w:gridCol w:w="1791"/>
        <w:gridCol w:w="1791"/>
        <w:gridCol w:w="1789"/>
      </w:tblGrid>
      <w:tr w:rsidR="002F3594" w:rsidRPr="00FB7AC1" w:rsidTr="008318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noWrap/>
            <w:hideMark/>
          </w:tcPr>
          <w:p w:rsidR="002F3594" w:rsidRPr="00FB7AC1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study group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proofErr w:type="spellStart"/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reference</w:t>
            </w:r>
            <w:proofErr w:type="spellEnd"/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 group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p value</w:t>
            </w:r>
          </w:p>
        </w:tc>
      </w:tr>
      <w:tr w:rsidR="002F3594" w:rsidRPr="00FB7AC1" w:rsidTr="008318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noWrap/>
            <w:hideMark/>
          </w:tcPr>
          <w:p w:rsidR="002F3594" w:rsidRPr="00FB7AC1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 xml:space="preserve">physical component </w:t>
            </w:r>
            <w:proofErr w:type="spellStart"/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scale</w:t>
            </w:r>
            <w:proofErr w:type="spellEnd"/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48.92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49.03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0.954</w:t>
            </w:r>
          </w:p>
        </w:tc>
      </w:tr>
      <w:tr w:rsidR="002F3594" w:rsidRPr="00FB7AC1" w:rsidTr="0083189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noWrap/>
            <w:hideMark/>
          </w:tcPr>
          <w:p w:rsidR="002F3594" w:rsidRPr="00FB7AC1" w:rsidRDefault="002F3594" w:rsidP="00831898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mental component summary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50.53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52.24</w:t>
            </w:r>
          </w:p>
        </w:tc>
        <w:tc>
          <w:tcPr>
            <w:tcW w:w="964" w:type="pct"/>
            <w:noWrap/>
            <w:hideMark/>
          </w:tcPr>
          <w:p w:rsidR="002F3594" w:rsidRPr="00FB7AC1" w:rsidRDefault="002F3594" w:rsidP="008318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FB7AC1">
              <w:rPr>
                <w:rFonts w:ascii="Calibri" w:eastAsia="Times New Roman" w:hAnsi="Calibri" w:cs="Calibri"/>
                <w:color w:val="000000"/>
                <w:lang w:eastAsia="de-DE"/>
              </w:rPr>
              <w:t>0.421</w:t>
            </w:r>
          </w:p>
        </w:tc>
      </w:tr>
    </w:tbl>
    <w:p w:rsidR="00E16BFB" w:rsidRPr="0042625E" w:rsidRDefault="00E16BFB" w:rsidP="00E16BFB">
      <w:pPr>
        <w:spacing w:line="360" w:lineRule="auto"/>
        <w:jc w:val="both"/>
        <w:rPr>
          <w:sz w:val="24"/>
          <w:szCs w:val="24"/>
          <w:lang w:val="en-GB"/>
        </w:rPr>
      </w:pPr>
      <w:r w:rsidRPr="00E16BFB">
        <w:rPr>
          <w:rFonts w:cstheme="minorHAnsi"/>
          <w:b/>
          <w:sz w:val="24"/>
          <w:szCs w:val="24"/>
          <w:lang w:val="en-GB"/>
        </w:rPr>
        <w:t>Table 3</w:t>
      </w:r>
      <w:r>
        <w:rPr>
          <w:rFonts w:cstheme="minorHAnsi"/>
          <w:sz w:val="24"/>
          <w:szCs w:val="24"/>
          <w:lang w:val="en-GB"/>
        </w:rPr>
        <w:t xml:space="preserve"> </w:t>
      </w:r>
      <w:r w:rsidRPr="0042625E">
        <w:rPr>
          <w:sz w:val="24"/>
          <w:szCs w:val="24"/>
          <w:lang w:val="en-GB"/>
        </w:rPr>
        <w:t>Comparisons between PCS and MCS of patients with ETV and reference group. Significance level set at p&lt;0.05. Statistical analysis was done using Mann-Whitney U-tests.</w:t>
      </w:r>
      <w:r>
        <w:rPr>
          <w:sz w:val="24"/>
          <w:szCs w:val="24"/>
          <w:lang w:val="en-GB"/>
        </w:rPr>
        <w:t xml:space="preserve"> </w:t>
      </w:r>
    </w:p>
    <w:p w:rsidR="002F3594" w:rsidRPr="00D21009" w:rsidRDefault="002F3594" w:rsidP="002F3594">
      <w:pPr>
        <w:spacing w:after="0" w:line="360" w:lineRule="auto"/>
        <w:jc w:val="both"/>
        <w:rPr>
          <w:rFonts w:cstheme="minorHAnsi"/>
          <w:sz w:val="24"/>
          <w:szCs w:val="24"/>
          <w:lang w:val="en-GB"/>
        </w:rPr>
      </w:pPr>
    </w:p>
    <w:sectPr w:rsidR="002F3594" w:rsidRPr="00D2100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594"/>
    <w:rsid w:val="000B5439"/>
    <w:rsid w:val="00176988"/>
    <w:rsid w:val="002F3594"/>
    <w:rsid w:val="0031654A"/>
    <w:rsid w:val="003C2D0D"/>
    <w:rsid w:val="00530CF2"/>
    <w:rsid w:val="005A4E08"/>
    <w:rsid w:val="005C0BBB"/>
    <w:rsid w:val="007F0406"/>
    <w:rsid w:val="00E16BFB"/>
    <w:rsid w:val="00FD3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359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F3594"/>
    <w:pPr>
      <w:ind w:left="720"/>
      <w:contextualSpacing/>
    </w:pPr>
  </w:style>
  <w:style w:type="table" w:styleId="HelleSchattierung">
    <w:name w:val="Light Shading"/>
    <w:basedOn w:val="NormaleTabelle"/>
    <w:uiPriority w:val="60"/>
    <w:rsid w:val="002F35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2F35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35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3594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3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3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F359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F3594"/>
    <w:pPr>
      <w:ind w:left="720"/>
      <w:contextualSpacing/>
    </w:pPr>
  </w:style>
  <w:style w:type="table" w:styleId="HelleSchattierung">
    <w:name w:val="Light Shading"/>
    <w:basedOn w:val="NormaleTabelle"/>
    <w:uiPriority w:val="60"/>
    <w:rsid w:val="002F359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2F35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35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3594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F3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F3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906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Vicky</cp:lastModifiedBy>
  <cp:revision>2</cp:revision>
  <dcterms:created xsi:type="dcterms:W3CDTF">2022-02-19T08:13:00Z</dcterms:created>
  <dcterms:modified xsi:type="dcterms:W3CDTF">2022-02-19T08:13:00Z</dcterms:modified>
</cp:coreProperties>
</file>