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DC51E" w14:textId="77777777" w:rsidR="00263B8D" w:rsidRPr="00263B8D" w:rsidRDefault="00263B8D" w:rsidP="00263B8D">
      <w:pPr>
        <w:spacing w:before="0" w:line="240" w:lineRule="auto"/>
        <w:jc w:val="center"/>
        <w:rPr>
          <w:b/>
          <w:sz w:val="36"/>
          <w:lang w:val="en-GB"/>
        </w:rPr>
      </w:pPr>
      <w:r w:rsidRPr="00263B8D">
        <w:rPr>
          <w:b/>
          <w:sz w:val="36"/>
          <w:lang w:val="en-GB"/>
        </w:rPr>
        <w:t>Supplement to:</w:t>
      </w:r>
    </w:p>
    <w:p w14:paraId="5A59916A" w14:textId="35CC2A03" w:rsidR="00263B8D" w:rsidRDefault="00263B8D" w:rsidP="00263B8D">
      <w:pPr>
        <w:jc w:val="center"/>
        <w:rPr>
          <w:b/>
          <w:sz w:val="32"/>
          <w:lang w:val="en-GB"/>
        </w:rPr>
      </w:pPr>
      <w:r w:rsidRPr="00AC5FA8">
        <w:rPr>
          <w:b/>
          <w:sz w:val="32"/>
          <w:lang w:val="en-GB"/>
        </w:rPr>
        <w:t xml:space="preserve">Influence of glacial ice sheets on the Atlantic meridional overturning circulation through surface wind change </w:t>
      </w:r>
    </w:p>
    <w:p w14:paraId="0C81DA53" w14:textId="77777777" w:rsidR="00D81FE9" w:rsidRDefault="00D81FE9" w:rsidP="00263B8D">
      <w:pPr>
        <w:jc w:val="center"/>
        <w:rPr>
          <w:b/>
          <w:sz w:val="32"/>
          <w:lang w:val="en-GB"/>
        </w:rPr>
      </w:pPr>
    </w:p>
    <w:p w14:paraId="39A88B80" w14:textId="5E6DCD55" w:rsidR="00D81FE9" w:rsidRPr="00AC5FA8" w:rsidRDefault="00D81FE9" w:rsidP="00263B8D">
      <w:pPr>
        <w:jc w:val="center"/>
        <w:rPr>
          <w:b/>
          <w:sz w:val="32"/>
          <w:lang w:val="en-GB"/>
        </w:rPr>
      </w:pPr>
      <w:r>
        <w:rPr>
          <w:b/>
          <w:sz w:val="32"/>
          <w:lang w:val="en-GB"/>
        </w:rPr>
        <w:t>Climate Dynamics</w:t>
      </w:r>
    </w:p>
    <w:p w14:paraId="392C7988" w14:textId="77777777" w:rsidR="00263B8D" w:rsidRDefault="00263B8D" w:rsidP="00263B8D">
      <w:pPr>
        <w:rPr>
          <w:lang w:val="en-GB"/>
        </w:rPr>
      </w:pPr>
    </w:p>
    <w:p w14:paraId="7A3F3111" w14:textId="77777777" w:rsidR="00263B8D" w:rsidRDefault="00263B8D" w:rsidP="00263B8D">
      <w:pPr>
        <w:pStyle w:val="a7"/>
        <w:rPr>
          <w:rFonts w:ascii="Times New Roman" w:hAnsi="Times New Roman" w:cs="Times New Roman"/>
          <w:b w:val="0"/>
          <w:lang w:val="en-GB"/>
        </w:rPr>
      </w:pPr>
      <w:r w:rsidRPr="00054C25">
        <w:rPr>
          <w:rFonts w:ascii="Times New Roman" w:hAnsi="Times New Roman" w:cs="Times New Roman"/>
          <w:b w:val="0"/>
          <w:lang w:val="en-GB"/>
        </w:rPr>
        <w:t>S</w:t>
      </w:r>
      <w:r>
        <w:rPr>
          <w:rFonts w:ascii="Times New Roman" w:hAnsi="Times New Roman" w:cs="Times New Roman"/>
          <w:b w:val="0"/>
          <w:lang w:val="en-GB"/>
        </w:rPr>
        <w:t>am</w:t>
      </w:r>
      <w:r w:rsidRPr="00054C25">
        <w:rPr>
          <w:rFonts w:ascii="Times New Roman" w:hAnsi="Times New Roman" w:cs="Times New Roman"/>
          <w:b w:val="0"/>
          <w:lang w:val="en-GB"/>
        </w:rPr>
        <w:t xml:space="preserve"> Sherriff-Tadano</w:t>
      </w:r>
      <w:r w:rsidRPr="00054C25">
        <w:rPr>
          <w:rFonts w:ascii="Times New Roman" w:hAnsi="Times New Roman" w:cs="Times New Roman"/>
          <w:b w:val="0"/>
          <w:vertAlign w:val="superscript"/>
          <w:lang w:val="en-GB"/>
        </w:rPr>
        <w:t>1</w:t>
      </w:r>
      <w:r w:rsidRPr="00054C25">
        <w:rPr>
          <w:rFonts w:ascii="Times New Roman" w:hAnsi="Times New Roman" w:cs="Times New Roman"/>
          <w:b w:val="0"/>
          <w:lang w:val="en-GB"/>
        </w:rPr>
        <w:t>, A</w:t>
      </w:r>
      <w:r>
        <w:rPr>
          <w:rFonts w:ascii="Times New Roman" w:hAnsi="Times New Roman" w:cs="Times New Roman"/>
          <w:b w:val="0"/>
          <w:lang w:val="en-GB"/>
        </w:rPr>
        <w:t>yako</w:t>
      </w:r>
      <w:r w:rsidRPr="00054C25">
        <w:rPr>
          <w:rFonts w:ascii="Times New Roman" w:hAnsi="Times New Roman" w:cs="Times New Roman"/>
          <w:b w:val="0"/>
          <w:lang w:val="en-GB"/>
        </w:rPr>
        <w:t xml:space="preserve"> Abe-Ouchi</w:t>
      </w:r>
      <w:r w:rsidRPr="00054C25">
        <w:rPr>
          <w:rFonts w:ascii="Times New Roman" w:hAnsi="Times New Roman" w:cs="Times New Roman"/>
          <w:b w:val="0"/>
          <w:vertAlign w:val="superscript"/>
          <w:lang w:val="en-GB"/>
        </w:rPr>
        <w:t>1</w:t>
      </w:r>
      <w:r w:rsidRPr="00054C25">
        <w:rPr>
          <w:rFonts w:ascii="Times New Roman" w:hAnsi="Times New Roman" w:cs="Times New Roman"/>
          <w:b w:val="0"/>
          <w:lang w:val="en-GB"/>
        </w:rPr>
        <w:t>, M</w:t>
      </w:r>
      <w:r>
        <w:rPr>
          <w:rFonts w:ascii="Times New Roman" w:hAnsi="Times New Roman" w:cs="Times New Roman"/>
          <w:b w:val="0"/>
          <w:lang w:val="en-GB"/>
        </w:rPr>
        <w:t>asakazu</w:t>
      </w:r>
      <w:r w:rsidRPr="00054C25">
        <w:rPr>
          <w:rFonts w:ascii="Times New Roman" w:hAnsi="Times New Roman" w:cs="Times New Roman"/>
          <w:b w:val="0"/>
          <w:lang w:val="en-GB"/>
        </w:rPr>
        <w:t xml:space="preserve"> Yoshimori</w:t>
      </w:r>
      <w:r w:rsidRPr="00054C25">
        <w:rPr>
          <w:rFonts w:ascii="Times New Roman" w:hAnsi="Times New Roman" w:cs="Times New Roman"/>
          <w:b w:val="0"/>
          <w:vertAlign w:val="superscript"/>
          <w:lang w:val="en-GB"/>
        </w:rPr>
        <w:t>2</w:t>
      </w:r>
      <w:r w:rsidRPr="00054C25">
        <w:rPr>
          <w:rFonts w:ascii="Times New Roman" w:hAnsi="Times New Roman" w:cs="Times New Roman"/>
          <w:b w:val="0"/>
          <w:lang w:val="en-GB"/>
        </w:rPr>
        <w:t>, A</w:t>
      </w:r>
      <w:r>
        <w:rPr>
          <w:rFonts w:ascii="Times New Roman" w:hAnsi="Times New Roman" w:cs="Times New Roman"/>
          <w:b w:val="0"/>
          <w:lang w:val="en-GB"/>
        </w:rPr>
        <w:t>kira</w:t>
      </w:r>
      <w:r w:rsidRPr="00054C25">
        <w:rPr>
          <w:rFonts w:ascii="Times New Roman" w:hAnsi="Times New Roman" w:cs="Times New Roman"/>
          <w:b w:val="0"/>
          <w:lang w:val="en-GB"/>
        </w:rPr>
        <w:t xml:space="preserve"> Oka</w:t>
      </w:r>
      <w:r w:rsidRPr="00054C25">
        <w:rPr>
          <w:rFonts w:ascii="Times New Roman" w:hAnsi="Times New Roman" w:cs="Times New Roman"/>
          <w:b w:val="0"/>
          <w:vertAlign w:val="superscript"/>
          <w:lang w:val="en-GB"/>
        </w:rPr>
        <w:t>1</w:t>
      </w:r>
      <w:r w:rsidRPr="00054C25">
        <w:rPr>
          <w:rFonts w:ascii="Times New Roman" w:hAnsi="Times New Roman" w:cs="Times New Roman"/>
          <w:b w:val="0"/>
          <w:lang w:val="en-GB"/>
        </w:rPr>
        <w:t xml:space="preserve">, </w:t>
      </w:r>
    </w:p>
    <w:p w14:paraId="654A5122" w14:textId="77777777" w:rsidR="00263B8D" w:rsidRPr="00054C25" w:rsidRDefault="00263B8D" w:rsidP="00263B8D">
      <w:pPr>
        <w:pStyle w:val="a7"/>
        <w:rPr>
          <w:rFonts w:ascii="Times New Roman" w:hAnsi="Times New Roman" w:cs="Times New Roman"/>
          <w:b w:val="0"/>
          <w:lang w:val="en-GB"/>
        </w:rPr>
      </w:pPr>
      <w:r w:rsidRPr="00054C25">
        <w:rPr>
          <w:rFonts w:ascii="Times New Roman" w:hAnsi="Times New Roman" w:cs="Times New Roman"/>
          <w:b w:val="0"/>
          <w:lang w:val="en-GB"/>
        </w:rPr>
        <w:t>W</w:t>
      </w:r>
      <w:r>
        <w:rPr>
          <w:rFonts w:ascii="Times New Roman" w:hAnsi="Times New Roman" w:cs="Times New Roman"/>
          <w:b w:val="0"/>
          <w:lang w:val="en-GB"/>
        </w:rPr>
        <w:t>ing</w:t>
      </w:r>
      <w:r w:rsidRPr="00054C25">
        <w:rPr>
          <w:rFonts w:ascii="Times New Roman" w:hAnsi="Times New Roman" w:cs="Times New Roman"/>
          <w:b w:val="0"/>
          <w:lang w:val="en-GB"/>
        </w:rPr>
        <w:t>-</w:t>
      </w:r>
      <w:r>
        <w:rPr>
          <w:rFonts w:ascii="Times New Roman" w:hAnsi="Times New Roman" w:cs="Times New Roman"/>
          <w:b w:val="0"/>
          <w:lang w:val="en-GB"/>
        </w:rPr>
        <w:t>Le</w:t>
      </w:r>
      <w:r w:rsidRPr="00054C25">
        <w:rPr>
          <w:rFonts w:ascii="Times New Roman" w:hAnsi="Times New Roman" w:cs="Times New Roman"/>
          <w:b w:val="0"/>
          <w:lang w:val="en-GB"/>
        </w:rPr>
        <w:t xml:space="preserve"> Chan</w:t>
      </w:r>
      <w:r w:rsidRPr="00054C25">
        <w:rPr>
          <w:rFonts w:ascii="Times New Roman" w:hAnsi="Times New Roman" w:cs="Times New Roman"/>
          <w:b w:val="0"/>
          <w:vertAlign w:val="superscript"/>
          <w:lang w:val="en-GB"/>
        </w:rPr>
        <w:t>1</w:t>
      </w:r>
    </w:p>
    <w:p w14:paraId="6F177E35" w14:textId="77777777" w:rsidR="00263B8D" w:rsidRDefault="00263B8D" w:rsidP="00263B8D">
      <w:pPr>
        <w:pStyle w:val="a7"/>
        <w:rPr>
          <w:lang w:val="en-GB"/>
        </w:rPr>
      </w:pPr>
    </w:p>
    <w:p w14:paraId="7351B6EE" w14:textId="77777777" w:rsidR="00263B8D" w:rsidRDefault="00263B8D" w:rsidP="00263B8D">
      <w:pPr>
        <w:rPr>
          <w:lang w:val="en-GB"/>
        </w:rPr>
      </w:pPr>
      <w:r>
        <w:rPr>
          <w:lang w:val="en-GB"/>
        </w:rPr>
        <w:t>[1]{Atmosphere and Ocean Research Institute, University of Tokyo, Kashiwa, Japan}</w:t>
      </w:r>
    </w:p>
    <w:p w14:paraId="20E3B615" w14:textId="23CF975B" w:rsidR="00263B8D" w:rsidRDefault="00263B8D" w:rsidP="00263B8D">
      <w:pPr>
        <w:rPr>
          <w:lang w:val="en-GB" w:eastAsia="ja-JP"/>
        </w:rPr>
      </w:pPr>
      <w:r>
        <w:rPr>
          <w:rFonts w:hint="eastAsia"/>
          <w:lang w:val="en-GB" w:eastAsia="ja-JP"/>
        </w:rPr>
        <w:t>[</w:t>
      </w:r>
      <w:r>
        <w:rPr>
          <w:lang w:val="en-GB" w:eastAsia="ja-JP"/>
        </w:rPr>
        <w:t>2</w:t>
      </w:r>
      <w:r>
        <w:rPr>
          <w:rFonts w:hint="eastAsia"/>
          <w:lang w:val="en-GB" w:eastAsia="ja-JP"/>
        </w:rPr>
        <w:t>]</w:t>
      </w:r>
      <w:r>
        <w:rPr>
          <w:lang w:eastAsia="ja-JP"/>
        </w:rPr>
        <w:t>{</w:t>
      </w:r>
      <w:r w:rsidR="00610263" w:rsidRPr="006C3183">
        <w:rPr>
          <w:lang w:val="en-GB" w:eastAsia="ja-JP"/>
        </w:rPr>
        <w:t>Faculty of Environmental Earth Science</w:t>
      </w:r>
      <w:r w:rsidR="00610263">
        <w:rPr>
          <w:lang w:val="en-GB" w:eastAsia="ja-JP"/>
        </w:rPr>
        <w:t>, Global Institute for Collaborative Research and Education, and Arctic Research Center</w:t>
      </w:r>
      <w:r w:rsidR="00610263">
        <w:rPr>
          <w:rFonts w:hint="eastAsia"/>
          <w:lang w:val="en-GB" w:eastAsia="ja-JP"/>
        </w:rPr>
        <w:t xml:space="preserve">, </w:t>
      </w:r>
      <w:r w:rsidR="00610263" w:rsidRPr="006C3183">
        <w:rPr>
          <w:lang w:val="en-GB" w:eastAsia="ja-JP"/>
        </w:rPr>
        <w:t>Hokkaido University</w:t>
      </w:r>
      <w:r w:rsidR="00610263">
        <w:rPr>
          <w:rFonts w:hint="eastAsia"/>
          <w:lang w:val="en-GB" w:eastAsia="ja-JP"/>
        </w:rPr>
        <w:t>, Sapporo, Japan</w:t>
      </w:r>
      <w:r w:rsidR="00610263">
        <w:rPr>
          <w:lang w:val="en-GB" w:eastAsia="ja-JP"/>
        </w:rPr>
        <w:t xml:space="preserve"> </w:t>
      </w:r>
      <w:r>
        <w:rPr>
          <w:lang w:val="en-GB" w:eastAsia="ja-JP"/>
        </w:rPr>
        <w:t>}</w:t>
      </w:r>
    </w:p>
    <w:p w14:paraId="60993D72" w14:textId="77777777" w:rsidR="00D81FE9" w:rsidRDefault="00D81FE9" w:rsidP="00263B8D">
      <w:pPr>
        <w:rPr>
          <w:lang w:val="en-GB" w:eastAsia="ja-JP"/>
        </w:rPr>
      </w:pPr>
    </w:p>
    <w:p w14:paraId="2707E18A" w14:textId="77777777" w:rsidR="00D81FE9" w:rsidRDefault="00D81FE9" w:rsidP="00D81FE9">
      <w:pPr>
        <w:rPr>
          <w:lang w:val="en-GB"/>
        </w:rPr>
      </w:pPr>
      <w:r>
        <w:rPr>
          <w:lang w:val="en-GB"/>
        </w:rPr>
        <w:t>Correspondence to: S. Sherriff-Tadano (tadano@aori.u-tokyo.ac.jp)</w:t>
      </w:r>
    </w:p>
    <w:p w14:paraId="74642BB8" w14:textId="77777777" w:rsidR="00D81FE9" w:rsidRDefault="00D81FE9" w:rsidP="00D81FE9">
      <w:pPr>
        <w:rPr>
          <w:lang w:val="en-GB"/>
        </w:rPr>
      </w:pPr>
      <w:r>
        <w:rPr>
          <w:lang w:val="en-GB"/>
        </w:rPr>
        <w:t>Atmosphere and Ocean Research Institute, University of Tokyo,</w:t>
      </w:r>
    </w:p>
    <w:p w14:paraId="53AA084C" w14:textId="41EE21B6" w:rsidR="00D81FE9" w:rsidRDefault="00D81FE9" w:rsidP="00D81FE9">
      <w:pPr>
        <w:rPr>
          <w:lang w:val="en-GB" w:eastAsia="ja-JP"/>
        </w:rPr>
      </w:pPr>
      <w:r>
        <w:rPr>
          <w:lang w:val="en-GB"/>
        </w:rPr>
        <w:t>5-1-5 Kashiwanoha, Kashiwa, 277-8568, Japan</w:t>
      </w:r>
    </w:p>
    <w:p w14:paraId="7F5DF82A" w14:textId="55CAB0B6" w:rsidR="004009B1" w:rsidRDefault="004009B1">
      <w:pPr>
        <w:spacing w:before="0" w:line="240" w:lineRule="auto"/>
        <w:jc w:val="left"/>
        <w:rPr>
          <w:lang w:val="en-GB" w:eastAsia="ja-JP"/>
        </w:rPr>
      </w:pPr>
      <w:r>
        <w:rPr>
          <w:lang w:val="en-GB" w:eastAsia="ja-JP"/>
        </w:rPr>
        <w:br w:type="page"/>
      </w:r>
    </w:p>
    <w:p w14:paraId="5BEA186C" w14:textId="4C25AC11" w:rsidR="004009B1" w:rsidRDefault="004009B1" w:rsidP="00263B8D">
      <w:pPr>
        <w:rPr>
          <w:b/>
          <w:lang w:val="en-GB" w:eastAsia="ja-JP"/>
        </w:rPr>
      </w:pPr>
      <w:r w:rsidRPr="004009B1">
        <w:rPr>
          <w:b/>
          <w:lang w:val="en-GB" w:eastAsia="ja-JP"/>
        </w:rPr>
        <w:lastRenderedPageBreak/>
        <w:t>List of figures</w:t>
      </w:r>
    </w:p>
    <w:p w14:paraId="6DCD31E0" w14:textId="31E2BCCC" w:rsidR="00241F13" w:rsidRPr="00241F13" w:rsidRDefault="006B1177" w:rsidP="00241F13">
      <w:pPr>
        <w:autoSpaceDE w:val="0"/>
        <w:autoSpaceDN w:val="0"/>
        <w:adjustRightInd w:val="0"/>
        <w:rPr>
          <w:color w:val="auto"/>
        </w:rPr>
      </w:pPr>
      <w:r w:rsidRPr="003C5C75">
        <w:rPr>
          <w:b/>
          <w:lang w:val="en-GB" w:eastAsia="ja-JP"/>
        </w:rPr>
        <w:t>Supplementary Fig.</w:t>
      </w:r>
      <w:r>
        <w:rPr>
          <w:b/>
          <w:lang w:val="en-GB" w:eastAsia="ja-JP"/>
        </w:rPr>
        <w:t>1</w:t>
      </w:r>
      <w:r>
        <w:rPr>
          <w:lang w:val="en-GB" w:eastAsia="ja-JP"/>
        </w:rPr>
        <w:t xml:space="preserve"> </w:t>
      </w:r>
      <w:r w:rsidR="00241F13" w:rsidRPr="00241F13">
        <w:rPr>
          <w:color w:val="auto"/>
        </w:rPr>
        <w:t>Evolution of the strength of the AMOC (bold) and AABW (dashed) in uncoupled OGCM experiments. (a) O-PI, (b) O-HEAT, (c) O-NOICE, (d) O-FULLICE, (e) O-NAFULL, (f) O-LGM, (g) O-LOW, (h) O-MIDDLE, (i) O-HIGH and (j) O-EUFULL.</w:t>
      </w:r>
    </w:p>
    <w:p w14:paraId="73FF5B5A" w14:textId="77777777" w:rsidR="00241F13" w:rsidRDefault="00241F13" w:rsidP="00241F13">
      <w:pPr>
        <w:spacing w:before="0" w:line="240" w:lineRule="auto"/>
        <w:jc w:val="left"/>
        <w:rPr>
          <w:lang w:val="en-GB"/>
        </w:rPr>
      </w:pPr>
    </w:p>
    <w:p w14:paraId="608B4391" w14:textId="42631298" w:rsidR="006B1177" w:rsidRDefault="006B1177" w:rsidP="00036EA9">
      <w:pPr>
        <w:spacing w:before="0" w:line="480" w:lineRule="auto"/>
        <w:rPr>
          <w:b/>
          <w:lang w:val="en-GB" w:eastAsia="ja-JP"/>
        </w:rPr>
      </w:pPr>
    </w:p>
    <w:p w14:paraId="04E97476" w14:textId="089A78DB" w:rsidR="003A409E" w:rsidRPr="00FA6E8C" w:rsidRDefault="003A409E" w:rsidP="00036EA9">
      <w:pPr>
        <w:spacing w:before="0" w:line="480" w:lineRule="auto"/>
        <w:rPr>
          <w:color w:val="auto"/>
        </w:rPr>
      </w:pPr>
      <w:r w:rsidRPr="003C5C75">
        <w:rPr>
          <w:b/>
          <w:lang w:val="en-GB" w:eastAsia="ja-JP"/>
        </w:rPr>
        <w:t>Supplementary Fig.</w:t>
      </w:r>
      <w:r w:rsidR="002A67E3">
        <w:rPr>
          <w:b/>
          <w:lang w:val="en-GB" w:eastAsia="ja-JP"/>
        </w:rPr>
        <w:t>2</w:t>
      </w:r>
      <w:r>
        <w:rPr>
          <w:lang w:val="en-GB" w:eastAsia="ja-JP"/>
        </w:rPr>
        <w:t xml:space="preserve"> </w:t>
      </w:r>
      <w:r w:rsidR="00036EA9">
        <w:rPr>
          <w:color w:val="auto"/>
          <w:lang w:val="en-GB"/>
        </w:rPr>
        <w:t xml:space="preserve">The meridional streamfunction in the North Atlantic </w:t>
      </w:r>
      <w:r w:rsidR="00036EA9" w:rsidRPr="00527FFE">
        <w:rPr>
          <w:color w:val="auto"/>
        </w:rPr>
        <w:t>for (</w:t>
      </w:r>
      <w:r w:rsidR="00036EA9">
        <w:rPr>
          <w:color w:val="auto"/>
        </w:rPr>
        <w:t>a</w:t>
      </w:r>
      <w:r w:rsidR="00036EA9" w:rsidRPr="00527FFE">
        <w:rPr>
          <w:color w:val="auto"/>
        </w:rPr>
        <w:t>) O-HEAT, (</w:t>
      </w:r>
      <w:r w:rsidR="00036EA9">
        <w:rPr>
          <w:color w:val="auto"/>
        </w:rPr>
        <w:t>b</w:t>
      </w:r>
      <w:r w:rsidR="00036EA9" w:rsidRPr="00527FFE">
        <w:rPr>
          <w:color w:val="auto"/>
        </w:rPr>
        <w:t>) O-NOICE, (</w:t>
      </w:r>
      <w:r w:rsidR="00036EA9">
        <w:rPr>
          <w:color w:val="auto"/>
        </w:rPr>
        <w:t>c</w:t>
      </w:r>
      <w:r w:rsidR="00036EA9" w:rsidRPr="00527FFE">
        <w:rPr>
          <w:color w:val="auto"/>
        </w:rPr>
        <w:t>) O-FULLICE, (</w:t>
      </w:r>
      <w:r w:rsidR="00036EA9">
        <w:rPr>
          <w:color w:val="auto"/>
        </w:rPr>
        <w:t>d</w:t>
      </w:r>
      <w:r w:rsidR="00036EA9" w:rsidRPr="00527FFE">
        <w:rPr>
          <w:color w:val="auto"/>
        </w:rPr>
        <w:t>) O-MIDDLE, (</w:t>
      </w:r>
      <w:r w:rsidR="00036EA9">
        <w:rPr>
          <w:color w:val="auto"/>
        </w:rPr>
        <w:t>e</w:t>
      </w:r>
      <w:r w:rsidR="00036EA9" w:rsidRPr="00527FFE">
        <w:rPr>
          <w:color w:val="auto"/>
        </w:rPr>
        <w:t>) O-HIGH, (</w:t>
      </w:r>
      <w:r w:rsidR="00036EA9">
        <w:rPr>
          <w:color w:val="auto"/>
        </w:rPr>
        <w:t>f</w:t>
      </w:r>
      <w:r w:rsidR="00036EA9" w:rsidRPr="00527FFE">
        <w:rPr>
          <w:color w:val="auto"/>
        </w:rPr>
        <w:t>) O-NAFULL and (</w:t>
      </w:r>
      <w:r w:rsidR="00036EA9">
        <w:rPr>
          <w:color w:val="auto"/>
        </w:rPr>
        <w:t>g</w:t>
      </w:r>
      <w:r w:rsidR="00036EA9" w:rsidRPr="00527FFE">
        <w:rPr>
          <w:color w:val="auto"/>
        </w:rPr>
        <w:t>) O-EUFULL.</w:t>
      </w:r>
      <w:r w:rsidRPr="00FA6E8C">
        <w:rPr>
          <w:color w:val="auto"/>
        </w:rPr>
        <w:t xml:space="preserve"> </w:t>
      </w:r>
    </w:p>
    <w:p w14:paraId="6EE807B5" w14:textId="77777777" w:rsidR="003A409E" w:rsidRDefault="003A409E" w:rsidP="004009B1">
      <w:pPr>
        <w:spacing w:line="480" w:lineRule="auto"/>
        <w:rPr>
          <w:b/>
          <w:lang w:val="en-GB" w:eastAsia="ja-JP"/>
        </w:rPr>
      </w:pPr>
    </w:p>
    <w:p w14:paraId="54CED755" w14:textId="7FB2A5A6" w:rsidR="004009B1" w:rsidRPr="00FA6E8C" w:rsidRDefault="003C5C75" w:rsidP="004009B1">
      <w:pPr>
        <w:spacing w:line="480" w:lineRule="auto"/>
        <w:rPr>
          <w:color w:val="auto"/>
        </w:rPr>
      </w:pPr>
      <w:r w:rsidRPr="003C5C75">
        <w:rPr>
          <w:b/>
          <w:lang w:val="en-GB" w:eastAsia="ja-JP"/>
        </w:rPr>
        <w:t>Supplementary Fig.</w:t>
      </w:r>
      <w:r w:rsidR="002A67E3">
        <w:rPr>
          <w:b/>
          <w:lang w:val="en-GB" w:eastAsia="ja-JP"/>
        </w:rPr>
        <w:t>3</w:t>
      </w:r>
      <w:r w:rsidR="004009B1">
        <w:rPr>
          <w:lang w:val="en-GB" w:eastAsia="ja-JP"/>
        </w:rPr>
        <w:t xml:space="preserve"> </w:t>
      </w:r>
      <w:r w:rsidR="004009B1" w:rsidRPr="00FA6E8C">
        <w:rPr>
          <w:color w:val="auto"/>
        </w:rPr>
        <w:t xml:space="preserve">Differences of (a) Potential density, (b) salinity and (c) potential temperature in O-FULLICE and O-NOICE, zonally averaged across the Atlantic basin. </w:t>
      </w:r>
    </w:p>
    <w:p w14:paraId="4C15A174" w14:textId="42551336" w:rsidR="004009B1" w:rsidRDefault="004009B1" w:rsidP="00263B8D">
      <w:pPr>
        <w:rPr>
          <w:lang w:val="en-GB" w:eastAsia="ja-JP"/>
        </w:rPr>
      </w:pPr>
    </w:p>
    <w:p w14:paraId="2CEC4E57" w14:textId="517854EF" w:rsidR="004009B1" w:rsidRPr="00FA6E8C" w:rsidRDefault="003C5C75" w:rsidP="004009B1">
      <w:pPr>
        <w:spacing w:line="480" w:lineRule="auto"/>
        <w:rPr>
          <w:color w:val="auto"/>
        </w:rPr>
      </w:pPr>
      <w:r w:rsidRPr="003C5C75">
        <w:rPr>
          <w:b/>
          <w:lang w:val="en-GB" w:eastAsia="ja-JP"/>
        </w:rPr>
        <w:t>Supplementary Fig.</w:t>
      </w:r>
      <w:r w:rsidR="002A67E3">
        <w:rPr>
          <w:b/>
          <w:lang w:val="en-GB" w:eastAsia="ja-JP"/>
        </w:rPr>
        <w:t>4</w:t>
      </w:r>
      <w:r w:rsidR="004009B1" w:rsidRPr="00FA6E8C">
        <w:rPr>
          <w:color w:val="auto"/>
        </w:rPr>
        <w:t xml:space="preserve"> Differences of surface salinity (color, psu) and baratropic streamfunction (contour; m</w:t>
      </w:r>
      <w:r w:rsidR="004009B1" w:rsidRPr="00FA6E8C">
        <w:rPr>
          <w:color w:val="auto"/>
          <w:vertAlign w:val="superscript"/>
        </w:rPr>
        <w:t>2</w:t>
      </w:r>
      <w:r w:rsidR="004009B1" w:rsidRPr="00FA6E8C">
        <w:rPr>
          <w:color w:val="auto"/>
        </w:rPr>
        <w:t xml:space="preserve">/s) </w:t>
      </w:r>
      <w:r w:rsidR="004009B1">
        <w:rPr>
          <w:color w:val="auto"/>
        </w:rPr>
        <w:t>in O-FULLICE</w:t>
      </w:r>
      <w:r w:rsidR="004009B1" w:rsidRPr="00FA6E8C">
        <w:rPr>
          <w:color w:val="auto"/>
        </w:rPr>
        <w:t xml:space="preserve"> and O-NOICE. </w:t>
      </w:r>
    </w:p>
    <w:p w14:paraId="31087EAB" w14:textId="77777777" w:rsidR="004009B1" w:rsidRPr="004009B1" w:rsidRDefault="004009B1" w:rsidP="00263B8D">
      <w:pPr>
        <w:rPr>
          <w:lang w:val="en-GB" w:eastAsia="ja-JP"/>
        </w:rPr>
      </w:pPr>
    </w:p>
    <w:p w14:paraId="10D8E753" w14:textId="21D431C1" w:rsidR="004009B1" w:rsidRDefault="003C5C75" w:rsidP="00263B8D">
      <w:pPr>
        <w:rPr>
          <w:color w:val="auto"/>
        </w:rPr>
      </w:pPr>
      <w:r w:rsidRPr="003C5C75">
        <w:rPr>
          <w:b/>
          <w:lang w:val="en-GB" w:eastAsia="ja-JP"/>
        </w:rPr>
        <w:t>Supplementary Fig.</w:t>
      </w:r>
      <w:r w:rsidR="002A67E3">
        <w:rPr>
          <w:b/>
          <w:lang w:val="en-GB" w:eastAsia="ja-JP"/>
        </w:rPr>
        <w:t>5</w:t>
      </w:r>
      <w:r w:rsidR="004009B1" w:rsidRPr="00FA6E8C">
        <w:rPr>
          <w:color w:val="auto"/>
        </w:rPr>
        <w:t xml:space="preserve"> Changes in sea ice between O-FULLICE and O-NOICE. Annual mean sea ice volume transport (arrow: m</w:t>
      </w:r>
      <w:r w:rsidR="004009B1" w:rsidRPr="00FA6E8C">
        <w:rPr>
          <w:color w:val="auto"/>
          <w:vertAlign w:val="superscript"/>
        </w:rPr>
        <w:t>2</w:t>
      </w:r>
      <w:r w:rsidR="004009B1" w:rsidRPr="00FA6E8C">
        <w:rPr>
          <w:color w:val="auto"/>
        </w:rPr>
        <w:t>/s), sea ice concentration (color) is shown. Bold and dashed contours indicate the 10 % sea ice concentration for O-NOICE and O-FULLICE respectively.</w:t>
      </w:r>
    </w:p>
    <w:p w14:paraId="5F7C2F23" w14:textId="77777777" w:rsidR="004009B1" w:rsidRDefault="004009B1" w:rsidP="00263B8D">
      <w:pPr>
        <w:rPr>
          <w:color w:val="auto"/>
        </w:rPr>
      </w:pPr>
    </w:p>
    <w:p w14:paraId="0DA18D06" w14:textId="0C9E084B" w:rsidR="004009B1" w:rsidRPr="00FA6E8C" w:rsidRDefault="003C5C75" w:rsidP="004009B1">
      <w:pPr>
        <w:spacing w:line="480" w:lineRule="auto"/>
        <w:rPr>
          <w:color w:val="auto"/>
          <w:lang w:eastAsia="ja-JP"/>
        </w:rPr>
      </w:pPr>
      <w:r w:rsidRPr="003C5C75">
        <w:rPr>
          <w:b/>
          <w:lang w:val="en-GB" w:eastAsia="ja-JP"/>
        </w:rPr>
        <w:t>Supplementary Fig.</w:t>
      </w:r>
      <w:r w:rsidR="002A67E3">
        <w:rPr>
          <w:b/>
          <w:lang w:val="en-GB" w:eastAsia="ja-JP"/>
        </w:rPr>
        <w:t>6</w:t>
      </w:r>
      <w:r w:rsidR="004009B1" w:rsidRPr="00FA6E8C">
        <w:rPr>
          <w:color w:val="auto"/>
          <w:lang w:eastAsia="ja-JP"/>
        </w:rPr>
        <w:t xml:space="preserve"> Differences of (a) Potential density, (b) salinity and (c) potential temperature in a=0.27 and a=0.25, zonally averaged across the Atlantic basin. </w:t>
      </w:r>
    </w:p>
    <w:p w14:paraId="7A1AE66D" w14:textId="77777777" w:rsidR="004009B1" w:rsidRDefault="004009B1" w:rsidP="00263B8D">
      <w:pPr>
        <w:rPr>
          <w:b/>
          <w:lang w:val="en-GB" w:eastAsia="ja-JP"/>
        </w:rPr>
      </w:pPr>
    </w:p>
    <w:p w14:paraId="765FAB45" w14:textId="534BA8BF" w:rsidR="004009B1" w:rsidRPr="00FA6E8C" w:rsidRDefault="003C5C75" w:rsidP="004009B1">
      <w:pPr>
        <w:spacing w:line="480" w:lineRule="auto"/>
        <w:rPr>
          <w:color w:val="auto"/>
          <w:lang w:eastAsia="ja-JP"/>
        </w:rPr>
      </w:pPr>
      <w:r w:rsidRPr="003C5C75">
        <w:rPr>
          <w:b/>
          <w:lang w:val="en-GB" w:eastAsia="ja-JP"/>
        </w:rPr>
        <w:t>Supplementary Fig.</w:t>
      </w:r>
      <w:r w:rsidR="002A67E3">
        <w:rPr>
          <w:b/>
          <w:lang w:val="en-GB" w:eastAsia="ja-JP"/>
        </w:rPr>
        <w:t>7</w:t>
      </w:r>
      <w:r w:rsidR="004009B1" w:rsidRPr="00FA6E8C">
        <w:rPr>
          <w:color w:val="auto"/>
          <w:lang w:eastAsia="ja-JP"/>
        </w:rPr>
        <w:t xml:space="preserve"> Differences of surface salinity (color, psu) and baratropic streamfunction (contour; m</w:t>
      </w:r>
      <w:r w:rsidR="004009B1" w:rsidRPr="00FA6E8C">
        <w:rPr>
          <w:color w:val="auto"/>
          <w:vertAlign w:val="superscript"/>
          <w:lang w:eastAsia="ja-JP"/>
        </w:rPr>
        <w:t>2</w:t>
      </w:r>
      <w:r w:rsidR="004009B1" w:rsidRPr="00FA6E8C">
        <w:rPr>
          <w:color w:val="auto"/>
          <w:lang w:eastAsia="ja-JP"/>
        </w:rPr>
        <w:t xml:space="preserve">/s) in a=0.27 and a=0.25. </w:t>
      </w:r>
    </w:p>
    <w:p w14:paraId="26C88C6A" w14:textId="77777777" w:rsidR="004009B1" w:rsidRDefault="004009B1" w:rsidP="00263B8D">
      <w:pPr>
        <w:rPr>
          <w:b/>
          <w:lang w:val="en-GB" w:eastAsia="ja-JP"/>
        </w:rPr>
      </w:pPr>
    </w:p>
    <w:p w14:paraId="189A5999" w14:textId="450E434E" w:rsidR="00263B8D" w:rsidRPr="00FC4268" w:rsidRDefault="003C5C75" w:rsidP="00FC4268">
      <w:pPr>
        <w:rPr>
          <w:b/>
          <w:lang w:val="en-GB" w:eastAsia="ja-JP"/>
        </w:rPr>
      </w:pPr>
      <w:r w:rsidRPr="003C5C75">
        <w:rPr>
          <w:b/>
          <w:lang w:val="en-GB" w:eastAsia="ja-JP"/>
        </w:rPr>
        <w:t>Supplementary Fig.</w:t>
      </w:r>
      <w:r w:rsidR="002A67E3">
        <w:rPr>
          <w:b/>
          <w:lang w:val="en-GB" w:eastAsia="ja-JP"/>
        </w:rPr>
        <w:t>8</w:t>
      </w:r>
      <w:r w:rsidR="004009B1" w:rsidRPr="00FA6E8C">
        <w:t xml:space="preserve"> Changes in sea ice between a=0.27 and a=0.25. Annual mean sea ice volume transport (arrow: m</w:t>
      </w:r>
      <w:r w:rsidR="004009B1" w:rsidRPr="00FA6E8C">
        <w:rPr>
          <w:vertAlign w:val="superscript"/>
        </w:rPr>
        <w:t>2</w:t>
      </w:r>
      <w:r w:rsidR="004009B1" w:rsidRPr="00FA6E8C">
        <w:t>/s), sea ice concentration (color) is shown. Bold and dashed contours indicate the 10 % sea ice concentration for a=0.25 and a=0.27 respectively.</w:t>
      </w:r>
      <w:r w:rsidR="00263B8D">
        <w:rPr>
          <w:lang w:val="en-GB"/>
        </w:rPr>
        <w:br w:type="page"/>
      </w:r>
    </w:p>
    <w:p w14:paraId="696F3839" w14:textId="1E057F23" w:rsidR="00241F13" w:rsidRDefault="002F5759">
      <w:pPr>
        <w:spacing w:before="0" w:line="240" w:lineRule="auto"/>
        <w:jc w:val="left"/>
        <w:rPr>
          <w:lang w:val="en-GB"/>
        </w:rPr>
      </w:pPr>
      <w:bookmarkStart w:id="0" w:name="_GoBack"/>
      <w:r>
        <w:rPr>
          <w:noProof/>
          <w:lang w:eastAsia="ja-JP"/>
        </w:rPr>
        <w:drawing>
          <wp:inline distT="0" distB="0" distL="0" distR="0" wp14:anchorId="4DDA2209" wp14:editId="2443F038">
            <wp:extent cx="5691950" cy="711454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3" r="20491"/>
                    <a:stretch/>
                  </pic:blipFill>
                  <pic:spPr bwMode="auto">
                    <a:xfrm>
                      <a:off x="0" y="0"/>
                      <a:ext cx="5695860" cy="711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1E1C54DE" w14:textId="431DE79A" w:rsidR="00241F13" w:rsidRPr="00241F13" w:rsidRDefault="00241F13" w:rsidP="00241F13">
      <w:pPr>
        <w:autoSpaceDE w:val="0"/>
        <w:autoSpaceDN w:val="0"/>
        <w:adjustRightInd w:val="0"/>
        <w:rPr>
          <w:color w:val="auto"/>
        </w:rPr>
      </w:pPr>
      <w:r w:rsidRPr="003C5C75">
        <w:rPr>
          <w:b/>
          <w:lang w:val="en-GB" w:eastAsia="ja-JP"/>
        </w:rPr>
        <w:t>Supplementary Fig.</w:t>
      </w:r>
      <w:r>
        <w:rPr>
          <w:b/>
          <w:lang w:val="en-GB" w:eastAsia="ja-JP"/>
        </w:rPr>
        <w:t>1</w:t>
      </w:r>
      <w:r>
        <w:rPr>
          <w:color w:val="0000FF"/>
        </w:rPr>
        <w:t xml:space="preserve"> </w:t>
      </w:r>
      <w:r w:rsidRPr="00241F13">
        <w:rPr>
          <w:color w:val="auto"/>
        </w:rPr>
        <w:t>Evolution of the strength of the AMOC (bold) and AABW (dashed) in uncoupled OGCM experiments. (a) O-PI, (b) O-HEAT, (c) O-NOICE, (d) O-FULLICE, (e) O-NAFULL, (f) O-LGM, (g) O-LOW, (h) O-MIDDLE, (i) O-HIGH and (j) O-EUFULL.</w:t>
      </w:r>
    </w:p>
    <w:p w14:paraId="24C38C08" w14:textId="77777777" w:rsidR="00241F13" w:rsidRDefault="00241F13">
      <w:pPr>
        <w:spacing w:before="0" w:line="240" w:lineRule="auto"/>
        <w:jc w:val="left"/>
        <w:rPr>
          <w:lang w:val="en-GB"/>
        </w:rPr>
      </w:pPr>
    </w:p>
    <w:p w14:paraId="6CE47AB1" w14:textId="4385044A" w:rsidR="0084473C" w:rsidRDefault="0084473C">
      <w:pPr>
        <w:spacing w:before="0" w:line="240" w:lineRule="auto"/>
        <w:jc w:val="left"/>
        <w:rPr>
          <w:lang w:val="en-GB"/>
        </w:rPr>
      </w:pPr>
    </w:p>
    <w:p w14:paraId="220FD6C1" w14:textId="77777777" w:rsidR="0084473C" w:rsidRDefault="0084473C" w:rsidP="0084473C">
      <w:pPr>
        <w:spacing w:before="0" w:line="480" w:lineRule="auto"/>
        <w:rPr>
          <w:lang w:val="en-GB"/>
        </w:rPr>
      </w:pPr>
    </w:p>
    <w:p w14:paraId="6C5776D3" w14:textId="77777777" w:rsidR="003C1DC0" w:rsidRDefault="003C1DC0" w:rsidP="0084473C">
      <w:pPr>
        <w:spacing w:before="0" w:line="480" w:lineRule="auto"/>
        <w:rPr>
          <w:b/>
          <w:lang w:val="en-GB"/>
        </w:rPr>
      </w:pPr>
    </w:p>
    <w:p w14:paraId="56815E84" w14:textId="652C6092" w:rsidR="003C1DC0" w:rsidRDefault="003C1DC0" w:rsidP="0084473C">
      <w:pPr>
        <w:spacing w:before="0" w:line="480" w:lineRule="auto"/>
        <w:rPr>
          <w:b/>
          <w:lang w:val="en-GB"/>
        </w:rPr>
      </w:pPr>
      <w:r w:rsidRPr="003C1DC0">
        <w:rPr>
          <w:b/>
          <w:noProof/>
          <w:lang w:eastAsia="ja-JP"/>
        </w:rPr>
        <w:drawing>
          <wp:inline distT="0" distB="0" distL="0" distR="0" wp14:anchorId="76480023" wp14:editId="00DC101F">
            <wp:extent cx="5759450" cy="3470678"/>
            <wp:effectExtent l="0" t="0" r="6350" b="9525"/>
            <wp:docPr id="13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7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C9AC0" w14:textId="1D590BAA" w:rsidR="0084473C" w:rsidRDefault="0084473C" w:rsidP="0084473C">
      <w:pPr>
        <w:spacing w:before="0" w:line="480" w:lineRule="auto"/>
        <w:rPr>
          <w:color w:val="auto"/>
        </w:rPr>
      </w:pPr>
      <w:r w:rsidRPr="0084473C">
        <w:rPr>
          <w:b/>
          <w:lang w:val="en-GB"/>
        </w:rPr>
        <w:t>Supplementary Fig.</w:t>
      </w:r>
      <w:r w:rsidR="00E517E0">
        <w:rPr>
          <w:b/>
          <w:lang w:val="en-GB"/>
        </w:rPr>
        <w:t>2</w:t>
      </w:r>
      <w:r>
        <w:rPr>
          <w:lang w:val="en-GB"/>
        </w:rPr>
        <w:t xml:space="preserve"> </w:t>
      </w:r>
      <w:r>
        <w:rPr>
          <w:color w:val="auto"/>
          <w:lang w:val="en-GB"/>
        </w:rPr>
        <w:t xml:space="preserve">The meridional streamfunction in the North Atlantic </w:t>
      </w:r>
      <w:r w:rsidRPr="00527FFE">
        <w:rPr>
          <w:color w:val="auto"/>
        </w:rPr>
        <w:t>for (</w:t>
      </w:r>
      <w:r>
        <w:rPr>
          <w:color w:val="auto"/>
        </w:rPr>
        <w:t>a</w:t>
      </w:r>
      <w:r w:rsidRPr="00527FFE">
        <w:rPr>
          <w:color w:val="auto"/>
        </w:rPr>
        <w:t>) O-HEAT, (</w:t>
      </w:r>
      <w:r>
        <w:rPr>
          <w:color w:val="auto"/>
        </w:rPr>
        <w:t>b</w:t>
      </w:r>
      <w:r w:rsidRPr="00527FFE">
        <w:rPr>
          <w:color w:val="auto"/>
        </w:rPr>
        <w:t>) O-NOICE, (</w:t>
      </w:r>
      <w:r>
        <w:rPr>
          <w:color w:val="auto"/>
        </w:rPr>
        <w:t>c</w:t>
      </w:r>
      <w:r w:rsidRPr="00527FFE">
        <w:rPr>
          <w:color w:val="auto"/>
        </w:rPr>
        <w:t>) O-FULLICE, (</w:t>
      </w:r>
      <w:r>
        <w:rPr>
          <w:color w:val="auto"/>
        </w:rPr>
        <w:t>d</w:t>
      </w:r>
      <w:r w:rsidRPr="00527FFE">
        <w:rPr>
          <w:color w:val="auto"/>
        </w:rPr>
        <w:t>) O-MIDDLE, (</w:t>
      </w:r>
      <w:r>
        <w:rPr>
          <w:color w:val="auto"/>
        </w:rPr>
        <w:t>e</w:t>
      </w:r>
      <w:r w:rsidRPr="00527FFE">
        <w:rPr>
          <w:color w:val="auto"/>
        </w:rPr>
        <w:t>) O-HIGH, (</w:t>
      </w:r>
      <w:r>
        <w:rPr>
          <w:color w:val="auto"/>
        </w:rPr>
        <w:t>f</w:t>
      </w:r>
      <w:r w:rsidRPr="00527FFE">
        <w:rPr>
          <w:color w:val="auto"/>
        </w:rPr>
        <w:t>) O-NAFULL and (</w:t>
      </w:r>
      <w:r>
        <w:rPr>
          <w:color w:val="auto"/>
        </w:rPr>
        <w:t>g</w:t>
      </w:r>
      <w:r w:rsidRPr="00527FFE">
        <w:rPr>
          <w:color w:val="auto"/>
        </w:rPr>
        <w:t>) O-EUFULL.</w:t>
      </w:r>
    </w:p>
    <w:p w14:paraId="67EE3459" w14:textId="77777777" w:rsidR="0084473C" w:rsidRDefault="0084473C">
      <w:pPr>
        <w:spacing w:before="0" w:line="240" w:lineRule="auto"/>
        <w:jc w:val="left"/>
        <w:rPr>
          <w:color w:val="auto"/>
        </w:rPr>
      </w:pPr>
      <w:r>
        <w:rPr>
          <w:color w:val="auto"/>
        </w:rPr>
        <w:br w:type="page"/>
      </w:r>
    </w:p>
    <w:p w14:paraId="56B0A230" w14:textId="5C27F746" w:rsidR="008F3282" w:rsidRDefault="00E364CC" w:rsidP="008F3282">
      <w:pPr>
        <w:spacing w:before="0" w:line="240" w:lineRule="auto"/>
        <w:jc w:val="left"/>
        <w:rPr>
          <w:lang w:val="en-GB"/>
        </w:rPr>
      </w:pPr>
      <w:r w:rsidRPr="00E364CC">
        <w:rPr>
          <w:noProof/>
          <w:lang w:eastAsia="ja-JP"/>
        </w:rPr>
        <w:drawing>
          <wp:inline distT="0" distB="0" distL="0" distR="0" wp14:anchorId="30354E0F" wp14:editId="4F4376A4">
            <wp:extent cx="5759450" cy="1980215"/>
            <wp:effectExtent l="0" t="0" r="0" b="0"/>
            <wp:docPr id="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8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E1148" w14:textId="33D99C84" w:rsidR="00FA6E8C" w:rsidRPr="00FA6E8C" w:rsidRDefault="00ED5075" w:rsidP="00FA6E8C">
      <w:pPr>
        <w:spacing w:line="480" w:lineRule="auto"/>
        <w:rPr>
          <w:color w:val="auto"/>
        </w:rPr>
      </w:pPr>
      <w:r w:rsidRPr="003C5C75">
        <w:rPr>
          <w:b/>
          <w:lang w:val="en-GB" w:eastAsia="ja-JP"/>
        </w:rPr>
        <w:t>Supplementary Fig.</w:t>
      </w:r>
      <w:r w:rsidR="00E517E0">
        <w:rPr>
          <w:b/>
          <w:lang w:val="en-GB" w:eastAsia="ja-JP"/>
        </w:rPr>
        <w:t>3</w:t>
      </w:r>
      <w:r w:rsidR="00FA6E8C" w:rsidRPr="00FA6E8C">
        <w:rPr>
          <w:color w:val="auto"/>
        </w:rPr>
        <w:t xml:space="preserve"> Differences of (a) Potential density, (b) salinity and (c) potential temperature in O-FULLICE and O-NOICE, zonally averaged across the Atlantic basin. </w:t>
      </w:r>
    </w:p>
    <w:p w14:paraId="459D54AD" w14:textId="77777777" w:rsidR="008F3282" w:rsidRPr="00F518CD" w:rsidRDefault="008F3282" w:rsidP="008F3282">
      <w:pPr>
        <w:spacing w:line="480" w:lineRule="auto"/>
      </w:pPr>
    </w:p>
    <w:p w14:paraId="3FC63C87" w14:textId="77777777" w:rsidR="008F3282" w:rsidRDefault="008F3282" w:rsidP="008F3282">
      <w:pPr>
        <w:spacing w:before="0" w:line="240" w:lineRule="auto"/>
        <w:jc w:val="left"/>
        <w:rPr>
          <w:lang w:val="en-GB"/>
        </w:rPr>
      </w:pPr>
      <w:r>
        <w:rPr>
          <w:lang w:val="en-GB"/>
        </w:rPr>
        <w:br w:type="page"/>
      </w:r>
    </w:p>
    <w:p w14:paraId="330CCC0E" w14:textId="21338785" w:rsidR="008F3282" w:rsidRDefault="00502EEB" w:rsidP="008F3282">
      <w:pPr>
        <w:spacing w:line="480" w:lineRule="auto"/>
        <w:rPr>
          <w:lang w:val="en-GB"/>
        </w:rPr>
      </w:pPr>
      <w:r w:rsidRPr="00502EEB">
        <w:rPr>
          <w:noProof/>
          <w:lang w:eastAsia="ja-JP"/>
        </w:rPr>
        <w:drawing>
          <wp:inline distT="0" distB="0" distL="0" distR="0" wp14:anchorId="5C823F73" wp14:editId="4B07DAC2">
            <wp:extent cx="5759450" cy="3546978"/>
            <wp:effectExtent l="0" t="0" r="0" b="0"/>
            <wp:docPr id="1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4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B626B" w14:textId="03CB9838" w:rsidR="00FA6E8C" w:rsidRPr="00FA6E8C" w:rsidRDefault="00ED5075" w:rsidP="00FA6E8C">
      <w:pPr>
        <w:spacing w:line="480" w:lineRule="auto"/>
        <w:rPr>
          <w:color w:val="auto"/>
        </w:rPr>
      </w:pPr>
      <w:r w:rsidRPr="003C5C75">
        <w:rPr>
          <w:b/>
          <w:lang w:val="en-GB" w:eastAsia="ja-JP"/>
        </w:rPr>
        <w:t>Supplementary Fig.</w:t>
      </w:r>
      <w:r w:rsidR="00E517E0">
        <w:rPr>
          <w:b/>
          <w:lang w:val="en-GB" w:eastAsia="ja-JP"/>
        </w:rPr>
        <w:t>4</w:t>
      </w:r>
      <w:r w:rsidR="00FA6E8C" w:rsidRPr="00FA6E8C">
        <w:rPr>
          <w:color w:val="auto"/>
        </w:rPr>
        <w:t xml:space="preserve"> Differences of surface salinity (color, psu) and baratropic streamfunction (contour; </w:t>
      </w:r>
      <w:r w:rsidR="00A069C2">
        <w:rPr>
          <w:color w:val="auto"/>
        </w:rPr>
        <w:t>Sv</w:t>
      </w:r>
      <w:r w:rsidR="00FA6E8C" w:rsidRPr="00FA6E8C">
        <w:rPr>
          <w:color w:val="auto"/>
        </w:rPr>
        <w:t xml:space="preserve">) </w:t>
      </w:r>
      <w:r w:rsidR="00FA6E8C">
        <w:rPr>
          <w:color w:val="auto"/>
        </w:rPr>
        <w:t>in O-FULLICE</w:t>
      </w:r>
      <w:r w:rsidR="00FA6E8C" w:rsidRPr="00FA6E8C">
        <w:rPr>
          <w:color w:val="auto"/>
        </w:rPr>
        <w:t xml:space="preserve"> and O-NOICE. </w:t>
      </w:r>
    </w:p>
    <w:p w14:paraId="5F1EFAB7" w14:textId="77777777" w:rsidR="008F3282" w:rsidRPr="00856DA4" w:rsidRDefault="008F3282" w:rsidP="008F3282">
      <w:pPr>
        <w:spacing w:line="480" w:lineRule="auto"/>
        <w:rPr>
          <w:lang w:val="en-GB"/>
        </w:rPr>
      </w:pPr>
    </w:p>
    <w:p w14:paraId="428517A5" w14:textId="3D34DD1B" w:rsidR="00FA6E8C" w:rsidRDefault="00FA6E8C">
      <w:pPr>
        <w:spacing w:before="0" w:line="240" w:lineRule="auto"/>
        <w:jc w:val="left"/>
        <w:rPr>
          <w:noProof/>
          <w:lang w:eastAsia="ja-JP"/>
        </w:rPr>
      </w:pPr>
      <w:r>
        <w:rPr>
          <w:noProof/>
          <w:lang w:eastAsia="ja-JP"/>
        </w:rPr>
        <w:br w:type="page"/>
      </w:r>
    </w:p>
    <w:p w14:paraId="30133C49" w14:textId="1C6B8110" w:rsidR="008F3282" w:rsidRDefault="00502EEB" w:rsidP="008F3282">
      <w:pPr>
        <w:spacing w:line="480" w:lineRule="auto"/>
        <w:rPr>
          <w:lang w:val="en-GB"/>
        </w:rPr>
      </w:pPr>
      <w:r w:rsidRPr="00502EEB">
        <w:rPr>
          <w:noProof/>
          <w:lang w:eastAsia="ja-JP"/>
        </w:rPr>
        <w:drawing>
          <wp:inline distT="0" distB="0" distL="0" distR="0" wp14:anchorId="3533F58E" wp14:editId="34B03C49">
            <wp:extent cx="5759450" cy="3328781"/>
            <wp:effectExtent l="0" t="0" r="0" b="0"/>
            <wp:docPr id="1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2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4DD17" w14:textId="2772B95C" w:rsidR="00FA6E8C" w:rsidRPr="00FA6E8C" w:rsidRDefault="00ED5075" w:rsidP="00FA6E8C">
      <w:pPr>
        <w:spacing w:before="0" w:line="480" w:lineRule="auto"/>
        <w:rPr>
          <w:color w:val="auto"/>
        </w:rPr>
      </w:pPr>
      <w:r w:rsidRPr="003C5C75">
        <w:rPr>
          <w:b/>
          <w:lang w:val="en-GB" w:eastAsia="ja-JP"/>
        </w:rPr>
        <w:t>Supplementary Fig.</w:t>
      </w:r>
      <w:r w:rsidR="00E517E0">
        <w:rPr>
          <w:b/>
          <w:lang w:val="en-GB" w:eastAsia="ja-JP"/>
        </w:rPr>
        <w:t>5</w:t>
      </w:r>
      <w:r w:rsidR="00FA6E8C" w:rsidRPr="00FA6E8C">
        <w:rPr>
          <w:color w:val="auto"/>
        </w:rPr>
        <w:t xml:space="preserve"> Changes in sea ice between O-FULLICE and O-NOICE. Annual mean sea ice volume transport (arrow: m</w:t>
      </w:r>
      <w:r w:rsidR="00FA6E8C" w:rsidRPr="00FA6E8C">
        <w:rPr>
          <w:color w:val="auto"/>
          <w:vertAlign w:val="superscript"/>
        </w:rPr>
        <w:t>2</w:t>
      </w:r>
      <w:r w:rsidR="00FA6E8C" w:rsidRPr="00FA6E8C">
        <w:rPr>
          <w:color w:val="auto"/>
        </w:rPr>
        <w:t xml:space="preserve">/s), sea ice concentration (color) is shown. Bold and dashed contours indicate the 10 % sea ice concentration for O-NOICE and O-FULLICE respectively.  </w:t>
      </w:r>
    </w:p>
    <w:p w14:paraId="06E8F4A1" w14:textId="4FB9F265" w:rsidR="008F3282" w:rsidRDefault="008F3282" w:rsidP="008F3282">
      <w:pPr>
        <w:spacing w:before="0" w:line="480" w:lineRule="auto"/>
        <w:jc w:val="left"/>
      </w:pPr>
      <w:r>
        <w:br w:type="page"/>
      </w:r>
    </w:p>
    <w:p w14:paraId="31FD763E" w14:textId="7066099F" w:rsidR="008F3282" w:rsidRDefault="00E364CC" w:rsidP="008F3282">
      <w:pPr>
        <w:spacing w:line="480" w:lineRule="auto"/>
        <w:rPr>
          <w:lang w:eastAsia="ja-JP"/>
        </w:rPr>
      </w:pPr>
      <w:r w:rsidRPr="00E364CC">
        <w:rPr>
          <w:noProof/>
          <w:lang w:eastAsia="ja-JP"/>
        </w:rPr>
        <w:drawing>
          <wp:inline distT="0" distB="0" distL="0" distR="0" wp14:anchorId="12E876AC" wp14:editId="3E27C36E">
            <wp:extent cx="5759450" cy="1995914"/>
            <wp:effectExtent l="0" t="0" r="0" b="0"/>
            <wp:docPr id="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9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EDA05" w14:textId="0E43FBC9" w:rsidR="00FA6E8C" w:rsidRPr="00FA6E8C" w:rsidRDefault="00ED5075" w:rsidP="00FA6E8C">
      <w:pPr>
        <w:spacing w:line="480" w:lineRule="auto"/>
        <w:rPr>
          <w:color w:val="auto"/>
          <w:lang w:eastAsia="ja-JP"/>
        </w:rPr>
      </w:pPr>
      <w:r w:rsidRPr="003C5C75">
        <w:rPr>
          <w:b/>
          <w:lang w:val="en-GB" w:eastAsia="ja-JP"/>
        </w:rPr>
        <w:t>Supplementary Fig.</w:t>
      </w:r>
      <w:r w:rsidR="00E517E0">
        <w:rPr>
          <w:b/>
          <w:lang w:val="en-GB" w:eastAsia="ja-JP"/>
        </w:rPr>
        <w:t>6</w:t>
      </w:r>
      <w:r w:rsidR="00FA6E8C" w:rsidRPr="00FA6E8C">
        <w:rPr>
          <w:color w:val="auto"/>
          <w:lang w:eastAsia="ja-JP"/>
        </w:rPr>
        <w:t xml:space="preserve"> Differences of (a) Potential density, (b) salinity and (c) potential temperature in a=0.27 and a=0.25, zonally averaged across the Atlantic basin. </w:t>
      </w:r>
    </w:p>
    <w:p w14:paraId="235E9553" w14:textId="77777777" w:rsidR="008F3282" w:rsidRDefault="008F3282" w:rsidP="008F3282">
      <w:pPr>
        <w:spacing w:line="480" w:lineRule="auto"/>
      </w:pPr>
      <w:r w:rsidRPr="00D25234">
        <w:rPr>
          <w:rFonts w:hint="eastAsia"/>
        </w:rPr>
        <w:t xml:space="preserve"> </w:t>
      </w:r>
    </w:p>
    <w:p w14:paraId="7E9356C2" w14:textId="77777777" w:rsidR="008F3282" w:rsidRDefault="008F3282" w:rsidP="008F3282">
      <w:pPr>
        <w:spacing w:before="0" w:line="480" w:lineRule="auto"/>
        <w:jc w:val="left"/>
      </w:pPr>
      <w:r>
        <w:br w:type="page"/>
      </w:r>
    </w:p>
    <w:p w14:paraId="757446DC" w14:textId="54584724" w:rsidR="008F3282" w:rsidRDefault="00502EEB" w:rsidP="008F3282">
      <w:pPr>
        <w:spacing w:before="0" w:line="480" w:lineRule="auto"/>
        <w:rPr>
          <w:lang w:eastAsia="ja-JP"/>
        </w:rPr>
      </w:pPr>
      <w:r w:rsidRPr="00502EEB">
        <w:rPr>
          <w:noProof/>
          <w:lang w:eastAsia="ja-JP"/>
        </w:rPr>
        <w:drawing>
          <wp:inline distT="0" distB="0" distL="0" distR="0" wp14:anchorId="6C0DAAF7" wp14:editId="7AF62A4F">
            <wp:extent cx="5759450" cy="3457448"/>
            <wp:effectExtent l="0" t="0" r="0" b="0"/>
            <wp:docPr id="1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5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CA70B" w14:textId="6865CDCE" w:rsidR="00FA6E8C" w:rsidRPr="00FA6E8C" w:rsidRDefault="00ED5075" w:rsidP="00FA6E8C">
      <w:pPr>
        <w:spacing w:line="480" w:lineRule="auto"/>
        <w:rPr>
          <w:color w:val="auto"/>
          <w:lang w:eastAsia="ja-JP"/>
        </w:rPr>
      </w:pPr>
      <w:r w:rsidRPr="003C5C75">
        <w:rPr>
          <w:b/>
          <w:lang w:val="en-GB" w:eastAsia="ja-JP"/>
        </w:rPr>
        <w:t>Supplementary Fig.</w:t>
      </w:r>
      <w:r w:rsidR="00E517E0">
        <w:rPr>
          <w:b/>
          <w:lang w:val="en-GB" w:eastAsia="ja-JP"/>
        </w:rPr>
        <w:t>7</w:t>
      </w:r>
      <w:r w:rsidR="00FA6E8C" w:rsidRPr="00FA6E8C">
        <w:rPr>
          <w:color w:val="auto"/>
          <w:lang w:eastAsia="ja-JP"/>
        </w:rPr>
        <w:t xml:space="preserve"> Differences of surface salinity (color, psu) and baratropic streamfunction (contour; </w:t>
      </w:r>
      <w:r w:rsidR="00E81225">
        <w:rPr>
          <w:color w:val="auto"/>
          <w:lang w:eastAsia="ja-JP"/>
        </w:rPr>
        <w:t>Sv</w:t>
      </w:r>
      <w:r w:rsidR="00FA6E8C" w:rsidRPr="00FA6E8C">
        <w:rPr>
          <w:color w:val="auto"/>
          <w:lang w:eastAsia="ja-JP"/>
        </w:rPr>
        <w:t xml:space="preserve">) in a=0.27 and a=0.25. </w:t>
      </w:r>
    </w:p>
    <w:p w14:paraId="08CF65D4" w14:textId="1EA4BEE9" w:rsidR="008F3282" w:rsidRDefault="008F3282" w:rsidP="008F3282">
      <w:pPr>
        <w:spacing w:line="480" w:lineRule="auto"/>
      </w:pPr>
      <w:r>
        <w:br w:type="page"/>
      </w:r>
    </w:p>
    <w:p w14:paraId="17822BE4" w14:textId="6690BC41" w:rsidR="008F3282" w:rsidRDefault="00502EEB" w:rsidP="008F3282">
      <w:pPr>
        <w:spacing w:line="480" w:lineRule="auto"/>
      </w:pPr>
      <w:r w:rsidRPr="00502EEB">
        <w:rPr>
          <w:noProof/>
          <w:lang w:eastAsia="ja-JP"/>
        </w:rPr>
        <w:drawing>
          <wp:inline distT="0" distB="0" distL="0" distR="0" wp14:anchorId="6000DE5E" wp14:editId="16F31AA8">
            <wp:extent cx="5759450" cy="3319150"/>
            <wp:effectExtent l="0" t="0" r="0" b="0"/>
            <wp:docPr id="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AD2E5" w14:textId="3C7D058F" w:rsidR="00FA6E8C" w:rsidRPr="00FA6E8C" w:rsidRDefault="00ED5075" w:rsidP="00FA6E8C">
      <w:pPr>
        <w:spacing w:before="0" w:line="480" w:lineRule="auto"/>
        <w:jc w:val="left"/>
      </w:pPr>
      <w:r w:rsidRPr="003C5C75">
        <w:rPr>
          <w:b/>
          <w:lang w:val="en-GB" w:eastAsia="ja-JP"/>
        </w:rPr>
        <w:t>Supplementary Fig.</w:t>
      </w:r>
      <w:r w:rsidR="00E517E0">
        <w:rPr>
          <w:b/>
          <w:lang w:val="en-GB" w:eastAsia="ja-JP"/>
        </w:rPr>
        <w:t>8</w:t>
      </w:r>
      <w:r w:rsidR="00FA6E8C" w:rsidRPr="00FA6E8C">
        <w:t xml:space="preserve"> Changes in sea ice between a=0.27 and a=0.25. Annual mean sea ice volume transport (arrow: m</w:t>
      </w:r>
      <w:r w:rsidR="00FA6E8C" w:rsidRPr="00FA6E8C">
        <w:rPr>
          <w:vertAlign w:val="superscript"/>
        </w:rPr>
        <w:t>2</w:t>
      </w:r>
      <w:r w:rsidR="00FA6E8C" w:rsidRPr="00FA6E8C">
        <w:t xml:space="preserve">/s), sea ice concentration (color) is shown. Bold and dashed contours indicate the 10 % sea ice concentration for a=0.25 and a=0.27 respectively.  </w:t>
      </w:r>
    </w:p>
    <w:p w14:paraId="22F3F524" w14:textId="33CCF53E" w:rsidR="00A91A89" w:rsidRDefault="00A91A89" w:rsidP="00F85B17">
      <w:pPr>
        <w:spacing w:before="0" w:line="480" w:lineRule="auto"/>
        <w:jc w:val="left"/>
        <w:rPr>
          <w:lang w:eastAsia="ja-JP"/>
        </w:rPr>
      </w:pPr>
    </w:p>
    <w:sectPr w:rsidR="00A91A89" w:rsidSect="003C5C75">
      <w:footerReference w:type="even" r:id="rId15"/>
      <w:footerReference w:type="default" r:id="rId16"/>
      <w:pgSz w:w="11906" w:h="16838" w:code="9"/>
      <w:pgMar w:top="1134" w:right="1418" w:bottom="1985" w:left="1418" w:header="851" w:footer="141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EB65A" w14:textId="77777777" w:rsidR="003C5C75" w:rsidRDefault="003C5C75">
      <w:pPr>
        <w:spacing w:before="0" w:line="240" w:lineRule="auto"/>
      </w:pPr>
      <w:r>
        <w:separator/>
      </w:r>
    </w:p>
  </w:endnote>
  <w:endnote w:type="continuationSeparator" w:id="0">
    <w:p w14:paraId="41749960" w14:textId="77777777" w:rsidR="003C5C75" w:rsidRDefault="003C5C7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FF57C" w14:textId="77777777" w:rsidR="003C5C75" w:rsidRDefault="003C5C7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DC95224" w14:textId="77777777" w:rsidR="003C5C75" w:rsidRDefault="003C5C75">
    <w:pPr>
      <w:pStyle w:val="a3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2C684" w14:textId="77777777" w:rsidR="003C5C75" w:rsidRDefault="003C5C7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F5759">
      <w:rPr>
        <w:rStyle w:val="a5"/>
        <w:noProof/>
      </w:rPr>
      <w:t>1</w:t>
    </w:r>
    <w:r>
      <w:rPr>
        <w:rStyle w:val="a5"/>
      </w:rPr>
      <w:fldChar w:fldCharType="end"/>
    </w:r>
  </w:p>
  <w:p w14:paraId="79466288" w14:textId="77777777" w:rsidR="003C5C75" w:rsidRDefault="003C5C7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DF73B" w14:textId="77777777" w:rsidR="003C5C75" w:rsidRDefault="003C5C75">
      <w:pPr>
        <w:spacing w:before="0" w:line="240" w:lineRule="auto"/>
      </w:pPr>
      <w:r>
        <w:separator/>
      </w:r>
    </w:p>
  </w:footnote>
  <w:footnote w:type="continuationSeparator" w:id="0">
    <w:p w14:paraId="5D1E4291" w14:textId="77777777" w:rsidR="003C5C75" w:rsidRDefault="003C5C75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282"/>
    <w:rsid w:val="00036EA9"/>
    <w:rsid w:val="000B039D"/>
    <w:rsid w:val="00241F13"/>
    <w:rsid w:val="00263B8D"/>
    <w:rsid w:val="002A67E3"/>
    <w:rsid w:val="002F5759"/>
    <w:rsid w:val="003375AF"/>
    <w:rsid w:val="003A409E"/>
    <w:rsid w:val="003C1DC0"/>
    <w:rsid w:val="003C5C75"/>
    <w:rsid w:val="003F54CA"/>
    <w:rsid w:val="004009B1"/>
    <w:rsid w:val="00502EEB"/>
    <w:rsid w:val="00610263"/>
    <w:rsid w:val="00636433"/>
    <w:rsid w:val="006B1177"/>
    <w:rsid w:val="00700A3F"/>
    <w:rsid w:val="007E46C0"/>
    <w:rsid w:val="00805DFA"/>
    <w:rsid w:val="0084473C"/>
    <w:rsid w:val="00887D0D"/>
    <w:rsid w:val="008F3282"/>
    <w:rsid w:val="00905D83"/>
    <w:rsid w:val="009202B7"/>
    <w:rsid w:val="00990D0A"/>
    <w:rsid w:val="009A53C4"/>
    <w:rsid w:val="00A069C2"/>
    <w:rsid w:val="00A25493"/>
    <w:rsid w:val="00A91A89"/>
    <w:rsid w:val="00AA5520"/>
    <w:rsid w:val="00BB0D0C"/>
    <w:rsid w:val="00C801C3"/>
    <w:rsid w:val="00C80E2F"/>
    <w:rsid w:val="00D81FE9"/>
    <w:rsid w:val="00E364CC"/>
    <w:rsid w:val="00E517E0"/>
    <w:rsid w:val="00E81225"/>
    <w:rsid w:val="00E918EF"/>
    <w:rsid w:val="00EA6D39"/>
    <w:rsid w:val="00ED5075"/>
    <w:rsid w:val="00F833B1"/>
    <w:rsid w:val="00F85B17"/>
    <w:rsid w:val="00FA6E8C"/>
    <w:rsid w:val="00FC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26BB11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282"/>
    <w:pPr>
      <w:spacing w:before="120" w:line="360" w:lineRule="auto"/>
      <w:jc w:val="both"/>
    </w:pPr>
    <w:rPr>
      <w:rFonts w:ascii="Times New Roman" w:eastAsia="ＭＳ 明朝" w:hAnsi="Times New Roman" w:cs="Times New Roman"/>
      <w:color w:val="000000"/>
      <w:kern w:val="0"/>
      <w:szCs w:val="20"/>
      <w:lang w:eastAsia="de-D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282"/>
    <w:pPr>
      <w:tabs>
        <w:tab w:val="center" w:pos="4536"/>
        <w:tab w:val="right" w:pos="9072"/>
      </w:tabs>
    </w:pPr>
  </w:style>
  <w:style w:type="character" w:customStyle="1" w:styleId="a4">
    <w:name w:val="フッター (文字)"/>
    <w:basedOn w:val="a0"/>
    <w:link w:val="a3"/>
    <w:rsid w:val="008F3282"/>
    <w:rPr>
      <w:rFonts w:ascii="Times New Roman" w:eastAsia="ＭＳ 明朝" w:hAnsi="Times New Roman" w:cs="Times New Roman"/>
      <w:color w:val="000000"/>
      <w:kern w:val="0"/>
      <w:szCs w:val="20"/>
      <w:lang w:eastAsia="de-DE"/>
    </w:rPr>
  </w:style>
  <w:style w:type="character" w:styleId="a5">
    <w:name w:val="page number"/>
    <w:basedOn w:val="a0"/>
    <w:rsid w:val="008F3282"/>
  </w:style>
  <w:style w:type="character" w:styleId="a6">
    <w:name w:val="line number"/>
    <w:basedOn w:val="a0"/>
    <w:uiPriority w:val="99"/>
    <w:semiHidden/>
    <w:unhideWhenUsed/>
    <w:rsid w:val="008F3282"/>
  </w:style>
  <w:style w:type="paragraph" w:styleId="a7">
    <w:name w:val="Subtitle"/>
    <w:basedOn w:val="a"/>
    <w:link w:val="a8"/>
    <w:qFormat/>
    <w:rsid w:val="00263B8D"/>
    <w:pPr>
      <w:spacing w:after="60"/>
      <w:outlineLvl w:val="1"/>
    </w:pPr>
    <w:rPr>
      <w:rFonts w:ascii="Arial" w:hAnsi="Arial" w:cs="Arial"/>
      <w:b/>
      <w:szCs w:val="24"/>
    </w:rPr>
  </w:style>
  <w:style w:type="character" w:customStyle="1" w:styleId="a8">
    <w:name w:val="副題 (文字)"/>
    <w:basedOn w:val="a0"/>
    <w:link w:val="a7"/>
    <w:rsid w:val="00263B8D"/>
    <w:rPr>
      <w:rFonts w:ascii="Arial" w:eastAsia="ＭＳ 明朝" w:hAnsi="Arial" w:cs="Arial"/>
      <w:b/>
      <w:color w:val="000000"/>
      <w:kern w:val="0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282"/>
    <w:pPr>
      <w:spacing w:before="120" w:line="360" w:lineRule="auto"/>
      <w:jc w:val="both"/>
    </w:pPr>
    <w:rPr>
      <w:rFonts w:ascii="Times New Roman" w:eastAsia="ＭＳ 明朝" w:hAnsi="Times New Roman" w:cs="Times New Roman"/>
      <w:color w:val="000000"/>
      <w:kern w:val="0"/>
      <w:szCs w:val="20"/>
      <w:lang w:eastAsia="de-D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282"/>
    <w:pPr>
      <w:tabs>
        <w:tab w:val="center" w:pos="4536"/>
        <w:tab w:val="right" w:pos="9072"/>
      </w:tabs>
    </w:pPr>
  </w:style>
  <w:style w:type="character" w:customStyle="1" w:styleId="a4">
    <w:name w:val="フッター (文字)"/>
    <w:basedOn w:val="a0"/>
    <w:link w:val="a3"/>
    <w:rsid w:val="008F3282"/>
    <w:rPr>
      <w:rFonts w:ascii="Times New Roman" w:eastAsia="ＭＳ 明朝" w:hAnsi="Times New Roman" w:cs="Times New Roman"/>
      <w:color w:val="000000"/>
      <w:kern w:val="0"/>
      <w:szCs w:val="20"/>
      <w:lang w:eastAsia="de-DE"/>
    </w:rPr>
  </w:style>
  <w:style w:type="character" w:styleId="a5">
    <w:name w:val="page number"/>
    <w:basedOn w:val="a0"/>
    <w:rsid w:val="008F3282"/>
  </w:style>
  <w:style w:type="character" w:styleId="a6">
    <w:name w:val="line number"/>
    <w:basedOn w:val="a0"/>
    <w:uiPriority w:val="99"/>
    <w:semiHidden/>
    <w:unhideWhenUsed/>
    <w:rsid w:val="008F3282"/>
  </w:style>
  <w:style w:type="paragraph" w:styleId="a7">
    <w:name w:val="Subtitle"/>
    <w:basedOn w:val="a"/>
    <w:link w:val="a8"/>
    <w:qFormat/>
    <w:rsid w:val="00263B8D"/>
    <w:pPr>
      <w:spacing w:after="60"/>
      <w:outlineLvl w:val="1"/>
    </w:pPr>
    <w:rPr>
      <w:rFonts w:ascii="Arial" w:hAnsi="Arial" w:cs="Arial"/>
      <w:b/>
      <w:szCs w:val="24"/>
    </w:rPr>
  </w:style>
  <w:style w:type="character" w:customStyle="1" w:styleId="a8">
    <w:name w:val="副題 (文字)"/>
    <w:basedOn w:val="a0"/>
    <w:link w:val="a7"/>
    <w:rsid w:val="00263B8D"/>
    <w:rPr>
      <w:rFonts w:ascii="Arial" w:eastAsia="ＭＳ 明朝" w:hAnsi="Arial" w:cs="Arial"/>
      <w:b/>
      <w:color w:val="000000"/>
      <w:kern w:val="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5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emf"/><Relationship Id="rId12" Type="http://schemas.openxmlformats.org/officeDocument/2006/relationships/image" Target="media/image6.emf"/><Relationship Id="rId13" Type="http://schemas.openxmlformats.org/officeDocument/2006/relationships/image" Target="media/image7.emf"/><Relationship Id="rId14" Type="http://schemas.openxmlformats.org/officeDocument/2006/relationships/image" Target="media/image8.emf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image" Target="media/image3.emf"/><Relationship Id="rId10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571</Words>
  <Characters>3261</Characters>
  <Application>Microsoft Macintosh Word</Application>
  <DocSecurity>0</DocSecurity>
  <Lines>27</Lines>
  <Paragraphs>7</Paragraphs>
  <ScaleCrop>false</ScaleCrop>
  <Company>東京大学</Company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ccsruser ccsruser</dc:creator>
  <cp:keywords/>
  <dc:description/>
  <cp:lastModifiedBy>ccsruser ccsruser</cp:lastModifiedBy>
  <cp:revision>2</cp:revision>
  <cp:lastPrinted>2017-03-29T10:34:00Z</cp:lastPrinted>
  <dcterms:created xsi:type="dcterms:W3CDTF">2017-06-22T07:12:00Z</dcterms:created>
  <dcterms:modified xsi:type="dcterms:W3CDTF">2017-06-22T07:12:00Z</dcterms:modified>
</cp:coreProperties>
</file>