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F7FF2" w14:textId="64182FAD" w:rsidR="00B34155" w:rsidRPr="00B34155" w:rsidRDefault="00CE10BB" w:rsidP="00484094">
      <w:pPr>
        <w:spacing w:line="360" w:lineRule="auto"/>
        <w:rPr>
          <w:rFonts w:ascii="Times New Roman" w:hAnsi="Times New Roman" w:cs="Times New Roman"/>
          <w:b/>
        </w:rPr>
      </w:pPr>
      <w:r w:rsidRPr="00484094">
        <w:rPr>
          <w:rFonts w:ascii="Times New Roman" w:hAnsi="Times New Roman" w:cs="Times New Roman"/>
          <w:b/>
        </w:rPr>
        <w:t>Supplemental Material for the article “</w:t>
      </w:r>
      <w:r w:rsidR="00484094" w:rsidRPr="00484094">
        <w:rPr>
          <w:rFonts w:ascii="Times New Roman" w:hAnsi="Times New Roman" w:cs="Times New Roman"/>
          <w:b/>
          <w:bCs/>
          <w:color w:val="000000"/>
        </w:rPr>
        <w:t xml:space="preserve">Air-Sea interaction over the Gulf Stream in an ensemble of </w:t>
      </w:r>
      <w:proofErr w:type="spellStart"/>
      <w:r w:rsidR="00484094" w:rsidRPr="00484094">
        <w:rPr>
          <w:rFonts w:ascii="Times New Roman" w:hAnsi="Times New Roman" w:cs="Times New Roman"/>
          <w:b/>
          <w:bCs/>
          <w:color w:val="000000"/>
        </w:rPr>
        <w:t>HighResMIP</w:t>
      </w:r>
      <w:proofErr w:type="spellEnd"/>
      <w:r w:rsidR="00484094" w:rsidRPr="00484094">
        <w:rPr>
          <w:rFonts w:ascii="Times New Roman" w:hAnsi="Times New Roman" w:cs="Times New Roman"/>
          <w:b/>
          <w:bCs/>
          <w:color w:val="000000"/>
        </w:rPr>
        <w:t xml:space="preserve"> present climate simulations</w:t>
      </w:r>
      <w:r w:rsidRPr="00484094">
        <w:rPr>
          <w:rFonts w:ascii="Times New Roman" w:hAnsi="Times New Roman" w:cs="Times New Roman"/>
          <w:b/>
        </w:rPr>
        <w:t>” by A. Bellucci</w:t>
      </w:r>
      <w:r w:rsidR="00484094" w:rsidRPr="00484094">
        <w:rPr>
          <w:rFonts w:ascii="Times New Roman" w:hAnsi="Times New Roman" w:cs="Times New Roman"/>
          <w:b/>
        </w:rPr>
        <w:t xml:space="preserve"> et al.</w:t>
      </w:r>
    </w:p>
    <w:p w14:paraId="6D2AAF98" w14:textId="50686C09" w:rsidR="00484094" w:rsidRPr="00B34155" w:rsidRDefault="00B34155" w:rsidP="00B3415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</w:pPr>
      <w:proofErr w:type="spellStart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This</w:t>
      </w:r>
      <w:proofErr w:type="spellEnd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</w:t>
      </w:r>
      <w:proofErr w:type="spellStart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supplementary</w:t>
      </w:r>
      <w:proofErr w:type="spellEnd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information </w:t>
      </w:r>
      <w:proofErr w:type="spellStart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contains</w:t>
      </w:r>
      <w:proofErr w:type="spellEnd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f</w:t>
      </w:r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igures</w:t>
      </w:r>
      <w:proofErr w:type="spellEnd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</w:t>
      </w:r>
      <w:proofErr w:type="spellStart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as</w:t>
      </w:r>
      <w:proofErr w:type="spellEnd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</w:t>
      </w:r>
      <w:proofErr w:type="spellStart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referenced</w:t>
      </w:r>
      <w:proofErr w:type="spellEnd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in the </w:t>
      </w:r>
      <w:proofErr w:type="spellStart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main</w:t>
      </w:r>
      <w:proofErr w:type="spellEnd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</w:t>
      </w:r>
      <w:proofErr w:type="spellStart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manuscript</w:t>
      </w:r>
      <w:proofErr w:type="spellEnd"/>
      <w:r w:rsidRPr="00B34155"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These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figures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>provide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val="it-IT" w:eastAsia="en-GB"/>
        </w:rPr>
        <w:t xml:space="preserve"> a </w:t>
      </w:r>
      <w:r>
        <w:rPr>
          <w:rFonts w:ascii="Times New Roman" w:hAnsi="Times New Roman" w:cs="Times New Roman"/>
          <w:bCs/>
          <w:sz w:val="22"/>
          <w:szCs w:val="22"/>
        </w:rPr>
        <w:t>c</w:t>
      </w:r>
      <w:r w:rsidR="00537178">
        <w:rPr>
          <w:rFonts w:ascii="Times New Roman" w:hAnsi="Times New Roman" w:cs="Times New Roman"/>
          <w:bCs/>
          <w:sz w:val="22"/>
          <w:szCs w:val="22"/>
        </w:rPr>
        <w:t>omparison of lead-</w:t>
      </w:r>
      <w:r>
        <w:rPr>
          <w:rFonts w:ascii="Times New Roman" w:hAnsi="Times New Roman" w:cs="Times New Roman"/>
          <w:bCs/>
          <w:sz w:val="22"/>
          <w:szCs w:val="22"/>
        </w:rPr>
        <w:t xml:space="preserve">lag </w:t>
      </w:r>
      <w:r w:rsidR="00537178">
        <w:rPr>
          <w:rFonts w:ascii="Times New Roman" w:hAnsi="Times New Roman" w:cs="Times New Roman"/>
          <w:bCs/>
          <w:sz w:val="22"/>
          <w:szCs w:val="22"/>
        </w:rPr>
        <w:t xml:space="preserve">SST (and SST </w:t>
      </w:r>
      <w:proofErr w:type="gramStart"/>
      <w:r w:rsidR="00537178">
        <w:rPr>
          <w:rFonts w:ascii="Times New Roman" w:hAnsi="Times New Roman" w:cs="Times New Roman"/>
          <w:bCs/>
          <w:sz w:val="22"/>
          <w:szCs w:val="22"/>
        </w:rPr>
        <w:t>tendency)-</w:t>
      </w:r>
      <w:proofErr w:type="gramEnd"/>
      <w:r w:rsidR="00537178">
        <w:rPr>
          <w:rFonts w:ascii="Times New Roman" w:hAnsi="Times New Roman" w:cs="Times New Roman"/>
          <w:bCs/>
          <w:sz w:val="22"/>
          <w:szCs w:val="22"/>
        </w:rPr>
        <w:t>THF correlation (Fig. SM1-2) and covariance patterns (Fig. SM3-4) for the MPI-ESM model hierarchy.</w:t>
      </w:r>
    </w:p>
    <w:p w14:paraId="67F860F5" w14:textId="3EAC8F1D" w:rsidR="00484094" w:rsidRDefault="00484094" w:rsidP="00484094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7CFB2BE4" w14:textId="77777777" w:rsidR="00484094" w:rsidRPr="00484094" w:rsidRDefault="00484094" w:rsidP="00484094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A3C699D" w14:textId="466DC08D" w:rsidR="00CE10BB" w:rsidRDefault="00FD134F" w:rsidP="00CE10BB">
      <w:pPr>
        <w:jc w:val="both"/>
      </w:pPr>
      <w:r>
        <w:rPr>
          <w:noProof/>
        </w:rPr>
        <w:drawing>
          <wp:inline distT="0" distB="0" distL="0" distR="0" wp14:anchorId="7B80BD9B" wp14:editId="0B0D114F">
            <wp:extent cx="6116320" cy="458470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8B34" w14:textId="32E8E28F" w:rsidR="00484094" w:rsidRDefault="00484094" w:rsidP="00484094">
      <w:pPr>
        <w:pStyle w:val="NormalWeb"/>
        <w:spacing w:beforeLines="0" w:afterLines="0" w:line="360" w:lineRule="auto"/>
        <w:jc w:val="both"/>
        <w:rPr>
          <w:rFonts w:ascii="Times New Roman" w:hAnsi="Times New Roman"/>
          <w:color w:val="000000"/>
          <w:sz w:val="22"/>
          <w:szCs w:val="22"/>
          <w:lang w:val="en-GB"/>
        </w:rPr>
      </w:pPr>
      <w:r w:rsidRPr="005722CB">
        <w:rPr>
          <w:rFonts w:ascii="Times New Roman" w:hAnsi="Times New Roman"/>
          <w:b/>
          <w:sz w:val="22"/>
          <w:szCs w:val="22"/>
        </w:rPr>
        <w:t>Fig. SM1.</w:t>
      </w:r>
      <w:r w:rsidRPr="005722CB">
        <w:rPr>
          <w:rFonts w:ascii="Times New Roman" w:hAnsi="Times New Roman"/>
          <w:sz w:val="22"/>
          <w:szCs w:val="22"/>
        </w:rPr>
        <w:t xml:space="preserve"> </w:t>
      </w:r>
      <w:r w:rsidRPr="005722CB">
        <w:rPr>
          <w:rFonts w:ascii="Times New Roman" w:hAnsi="Times New Roman"/>
          <w:color w:val="000000"/>
          <w:sz w:val="22"/>
          <w:szCs w:val="22"/>
          <w:lang w:val="en-GB"/>
        </w:rPr>
        <w:t>SST-THF (blue) and SST tendency-THF (red) correlation in the G</w:t>
      </w:r>
      <w:r w:rsidR="003B1CE1">
        <w:rPr>
          <w:rFonts w:ascii="Times New Roman" w:hAnsi="Times New Roman"/>
          <w:color w:val="000000"/>
          <w:sz w:val="22"/>
          <w:szCs w:val="22"/>
          <w:lang w:val="en-GB"/>
        </w:rPr>
        <w:t>S region</w:t>
      </w:r>
      <w:r w:rsidRPr="005722CB">
        <w:rPr>
          <w:rFonts w:ascii="Times New Roman" w:hAnsi="Times New Roman"/>
          <w:color w:val="000000"/>
          <w:sz w:val="22"/>
          <w:szCs w:val="22"/>
          <w:lang w:val="en-GB"/>
        </w:rPr>
        <w:t xml:space="preserve">, for </w:t>
      </w:r>
      <w:r w:rsidR="001F27F7">
        <w:rPr>
          <w:rFonts w:ascii="Times New Roman" w:hAnsi="Times New Roman"/>
          <w:color w:val="000000"/>
          <w:sz w:val="22"/>
          <w:szCs w:val="22"/>
          <w:lang w:val="en-GB"/>
        </w:rPr>
        <w:t>H</w:t>
      </w:r>
      <w:r w:rsidRPr="005722CB">
        <w:rPr>
          <w:rFonts w:ascii="Times New Roman" w:hAnsi="Times New Roman"/>
          <w:color w:val="000000"/>
          <w:sz w:val="22"/>
          <w:szCs w:val="22"/>
          <w:lang w:val="en-GB"/>
        </w:rPr>
        <w:t xml:space="preserve">R (dashed), </w:t>
      </w:r>
      <w:r w:rsidR="001F27F7">
        <w:rPr>
          <w:rFonts w:ascii="Times New Roman" w:hAnsi="Times New Roman"/>
          <w:color w:val="000000"/>
          <w:sz w:val="22"/>
          <w:szCs w:val="22"/>
          <w:lang w:val="en-GB"/>
        </w:rPr>
        <w:t>X</w:t>
      </w:r>
      <w:r w:rsidRPr="005722CB">
        <w:rPr>
          <w:rFonts w:ascii="Times New Roman" w:hAnsi="Times New Roman"/>
          <w:color w:val="000000"/>
          <w:sz w:val="22"/>
          <w:szCs w:val="22"/>
          <w:lang w:val="en-GB"/>
        </w:rPr>
        <w:t>R (solid thin) and ER (dotted) configurations of MPI-ESM models.</w:t>
      </w:r>
      <w:r w:rsidR="005722CB">
        <w:rPr>
          <w:rFonts w:ascii="Times New Roman" w:hAnsi="Times New Roman"/>
          <w:color w:val="000000"/>
          <w:sz w:val="22"/>
          <w:szCs w:val="22"/>
          <w:lang w:val="en-GB"/>
        </w:rPr>
        <w:t xml:space="preserve"> </w:t>
      </w:r>
      <w:r w:rsidR="005722CB" w:rsidRPr="00382150">
        <w:rPr>
          <w:rFonts w:ascii="Times New Roman" w:hAnsi="Times New Roman"/>
          <w:color w:val="000000"/>
          <w:sz w:val="22"/>
          <w:szCs w:val="22"/>
          <w:lang w:val="en-GB"/>
        </w:rPr>
        <w:t>SST/SST tendency leads (lags) THF for negative (positive) time-lags.</w:t>
      </w:r>
      <w:r w:rsidR="00FD134F">
        <w:rPr>
          <w:rFonts w:ascii="Times New Roman" w:hAnsi="Times New Roman"/>
          <w:color w:val="000000"/>
          <w:sz w:val="22"/>
          <w:szCs w:val="22"/>
          <w:lang w:val="en-GB"/>
        </w:rPr>
        <w:t xml:space="preserve"> Observational estimates based on J-OFURO3 dataset are also indicated with solid thick lines (1988-2013) and squares (2002-2013).</w:t>
      </w:r>
    </w:p>
    <w:p w14:paraId="3812B87B" w14:textId="413C0912" w:rsidR="003B1CE1" w:rsidRDefault="003B1CE1" w:rsidP="00484094">
      <w:pPr>
        <w:pStyle w:val="NormalWeb"/>
        <w:spacing w:beforeLines="0" w:afterLines="0" w:line="360" w:lineRule="auto"/>
        <w:jc w:val="both"/>
        <w:rPr>
          <w:rFonts w:ascii="Times New Roman" w:hAnsi="Times New Roman"/>
          <w:color w:val="000000"/>
          <w:sz w:val="22"/>
          <w:szCs w:val="22"/>
          <w:lang w:val="en-GB"/>
        </w:rPr>
      </w:pPr>
    </w:p>
    <w:p w14:paraId="3734CED5" w14:textId="454E6D1B" w:rsidR="003B1CE1" w:rsidRPr="005722CB" w:rsidRDefault="00FD134F" w:rsidP="00484094">
      <w:pPr>
        <w:pStyle w:val="NormalWeb"/>
        <w:spacing w:beforeLines="0" w:afterLines="0" w:line="360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noProof/>
          <w:sz w:val="22"/>
          <w:szCs w:val="22"/>
          <w:lang w:val="en-GB"/>
        </w:rPr>
        <w:lastRenderedPageBreak/>
        <w:drawing>
          <wp:inline distT="0" distB="0" distL="0" distR="0" wp14:anchorId="6CBC6E9C" wp14:editId="6A787567">
            <wp:extent cx="6116320" cy="45847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A5CF3" w14:textId="0560DF0A" w:rsidR="003B1CE1" w:rsidRPr="00382150" w:rsidRDefault="003B1CE1" w:rsidP="003B1CE1">
      <w:pPr>
        <w:pStyle w:val="NormalWeb"/>
        <w:spacing w:beforeLines="0" w:afterLines="0" w:line="360" w:lineRule="auto"/>
        <w:jc w:val="both"/>
        <w:rPr>
          <w:rFonts w:ascii="Times New Roman" w:hAnsi="Times New Roman"/>
          <w:sz w:val="22"/>
          <w:szCs w:val="22"/>
          <w:lang w:val="en-GB"/>
        </w:rPr>
      </w:pPr>
      <w:r w:rsidRPr="003B1CE1"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Fig. S</w:t>
      </w:r>
      <w:r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M</w:t>
      </w:r>
      <w:r w:rsidRPr="003B1CE1"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2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>: As Fig. S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>M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>1 but for the SG region.</w:t>
      </w:r>
    </w:p>
    <w:p w14:paraId="17F6CAA4" w14:textId="68EC321B" w:rsidR="00CD43F6" w:rsidRDefault="00051086">
      <w:pPr>
        <w:rPr>
          <w:rFonts w:ascii="Times New Roman" w:hAnsi="Times New Roman" w:cs="Times New Roman"/>
        </w:rPr>
      </w:pPr>
    </w:p>
    <w:p w14:paraId="484B2AC5" w14:textId="38869EA3" w:rsidR="00AD3889" w:rsidRDefault="00AD38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80ACE8" wp14:editId="09808A65">
            <wp:extent cx="6116320" cy="45847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_S3_mpi_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9A33F" w14:textId="53BFC0ED" w:rsidR="00AD3889" w:rsidRDefault="00AD3889" w:rsidP="00AD3889">
      <w:pPr>
        <w:pStyle w:val="NormalWeb"/>
        <w:spacing w:beforeLines="0" w:afterLines="0" w:line="360" w:lineRule="auto"/>
        <w:jc w:val="both"/>
        <w:rPr>
          <w:rFonts w:ascii="Times New Roman" w:hAnsi="Times New Roman"/>
          <w:color w:val="000000"/>
          <w:sz w:val="22"/>
          <w:szCs w:val="22"/>
          <w:lang w:val="en-GB"/>
        </w:rPr>
      </w:pPr>
      <w:r w:rsidRPr="00AD3889"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Fig. SM3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>: SST-THF covariance maps in the North Atlantic (</w:t>
      </w:r>
      <w:proofErr w:type="spellStart"/>
      <w:r w:rsidRPr="00382150">
        <w:rPr>
          <w:rFonts w:ascii="Times New Roman" w:hAnsi="Times New Roman"/>
          <w:color w:val="000000"/>
          <w:sz w:val="22"/>
          <w:szCs w:val="22"/>
          <w:vertAlign w:val="superscript"/>
          <w:lang w:val="en-GB"/>
        </w:rPr>
        <w:t>o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>C</w:t>
      </w:r>
      <w:proofErr w:type="spellEnd"/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 xml:space="preserve"> W m</w:t>
      </w:r>
      <w:r w:rsidRPr="00382150">
        <w:rPr>
          <w:rFonts w:ascii="Times New Roman" w:hAnsi="Times New Roman"/>
          <w:color w:val="000000"/>
          <w:sz w:val="22"/>
          <w:szCs w:val="22"/>
          <w:vertAlign w:val="superscript"/>
          <w:lang w:val="en-GB"/>
        </w:rPr>
        <w:t>-2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 xml:space="preserve">), computed for [-1, 0, +1]-month lag (top, mid, bottom row, respectively) for MPI-ESM models. SST leads 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THF 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 xml:space="preserve">for negative lags. </w:t>
      </w:r>
    </w:p>
    <w:p w14:paraId="7E592A99" w14:textId="77777777" w:rsidR="00782096" w:rsidRPr="00382150" w:rsidRDefault="00782096" w:rsidP="00AD3889">
      <w:pPr>
        <w:pStyle w:val="NormalWeb"/>
        <w:spacing w:beforeLines="0" w:afterLines="0" w:line="360" w:lineRule="auto"/>
        <w:jc w:val="both"/>
        <w:rPr>
          <w:rFonts w:ascii="Times New Roman" w:hAnsi="Times New Roman"/>
          <w:color w:val="000000"/>
          <w:sz w:val="22"/>
          <w:szCs w:val="22"/>
          <w:lang w:val="en-GB"/>
        </w:rPr>
      </w:pPr>
    </w:p>
    <w:p w14:paraId="7C705267" w14:textId="77777777" w:rsidR="00782096" w:rsidRDefault="00782096">
      <w:pPr>
        <w:rPr>
          <w:rFonts w:ascii="Times New Roman" w:hAnsi="Times New Roman" w:cs="Times New Roman"/>
        </w:rPr>
      </w:pPr>
    </w:p>
    <w:p w14:paraId="7AFE0278" w14:textId="77777777" w:rsidR="00782096" w:rsidRDefault="00782096">
      <w:pPr>
        <w:rPr>
          <w:rFonts w:ascii="Times New Roman" w:hAnsi="Times New Roman" w:cs="Times New Roman"/>
        </w:rPr>
      </w:pPr>
    </w:p>
    <w:p w14:paraId="5DBD20A1" w14:textId="2B96EB3E" w:rsidR="00AD3889" w:rsidRDefault="007820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C76795" wp14:editId="6DE7DBF2">
            <wp:extent cx="6116320" cy="45847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S4_mpi_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26A1" w14:textId="41CF817D" w:rsidR="00782096" w:rsidRPr="00382150" w:rsidRDefault="00782096" w:rsidP="00782096">
      <w:pPr>
        <w:pStyle w:val="NormalWeb"/>
        <w:spacing w:beforeLines="0" w:afterLines="0" w:line="360" w:lineRule="auto"/>
        <w:jc w:val="both"/>
        <w:rPr>
          <w:rFonts w:ascii="Times New Roman" w:hAnsi="Times New Roman"/>
          <w:sz w:val="22"/>
          <w:szCs w:val="22"/>
          <w:lang w:val="en-GB"/>
        </w:rPr>
      </w:pPr>
      <w:r w:rsidRPr="00782096"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Fig. SM4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>: As Fig. S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>M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>3 but for SST tendency and THF (</w:t>
      </w:r>
      <w:proofErr w:type="spellStart"/>
      <w:r w:rsidRPr="00382150">
        <w:rPr>
          <w:rFonts w:ascii="Times New Roman" w:hAnsi="Times New Roman"/>
          <w:color w:val="000000"/>
          <w:sz w:val="22"/>
          <w:szCs w:val="22"/>
          <w:vertAlign w:val="superscript"/>
          <w:lang w:val="en-GB"/>
        </w:rPr>
        <w:t>o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>C</w:t>
      </w:r>
      <w:proofErr w:type="spellEnd"/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 xml:space="preserve"> W m</w:t>
      </w:r>
      <w:r w:rsidRPr="00382150">
        <w:rPr>
          <w:rFonts w:ascii="Times New Roman" w:hAnsi="Times New Roman"/>
          <w:color w:val="000000"/>
          <w:sz w:val="22"/>
          <w:szCs w:val="22"/>
          <w:vertAlign w:val="superscript"/>
          <w:lang w:val="en-GB"/>
        </w:rPr>
        <w:t>-2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 xml:space="preserve"> month</w:t>
      </w:r>
      <w:r w:rsidRPr="00382150">
        <w:rPr>
          <w:rFonts w:ascii="Times New Roman" w:hAnsi="Times New Roman"/>
          <w:color w:val="000000"/>
          <w:sz w:val="22"/>
          <w:szCs w:val="22"/>
          <w:vertAlign w:val="superscript"/>
          <w:lang w:val="en-GB"/>
        </w:rPr>
        <w:t>-1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>). SST tendency leads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 THF</w:t>
      </w:r>
      <w:r w:rsidRPr="00382150">
        <w:rPr>
          <w:rFonts w:ascii="Times New Roman" w:hAnsi="Times New Roman"/>
          <w:color w:val="000000"/>
          <w:sz w:val="22"/>
          <w:szCs w:val="22"/>
          <w:lang w:val="en-GB"/>
        </w:rPr>
        <w:t xml:space="preserve"> for negative lags.</w:t>
      </w:r>
    </w:p>
    <w:p w14:paraId="57CB689D" w14:textId="77777777" w:rsidR="00782096" w:rsidRPr="00484094" w:rsidRDefault="00782096">
      <w:pPr>
        <w:rPr>
          <w:rFonts w:ascii="Times New Roman" w:hAnsi="Times New Roman" w:cs="Times New Roman"/>
        </w:rPr>
      </w:pPr>
    </w:p>
    <w:sectPr w:rsidR="00782096" w:rsidRPr="00484094" w:rsidSect="00944B3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F432C"/>
    <w:multiLevelType w:val="multilevel"/>
    <w:tmpl w:val="54C69B3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DA759D"/>
    <w:multiLevelType w:val="multilevel"/>
    <w:tmpl w:val="A4A49BC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3A474A"/>
    <w:multiLevelType w:val="multilevel"/>
    <w:tmpl w:val="68DE86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BB"/>
    <w:rsid w:val="00051086"/>
    <w:rsid w:val="001D4218"/>
    <w:rsid w:val="001F27F7"/>
    <w:rsid w:val="003B1CE1"/>
    <w:rsid w:val="00407447"/>
    <w:rsid w:val="00484094"/>
    <w:rsid w:val="00537178"/>
    <w:rsid w:val="005722CB"/>
    <w:rsid w:val="00782096"/>
    <w:rsid w:val="00944B34"/>
    <w:rsid w:val="00A75560"/>
    <w:rsid w:val="00AD3889"/>
    <w:rsid w:val="00B34155"/>
    <w:rsid w:val="00CE10BB"/>
    <w:rsid w:val="00E637B1"/>
    <w:rsid w:val="00FD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24155"/>
  <w15:chartTrackingRefBased/>
  <w15:docId w15:val="{DDC438F3-B563-3142-9668-931BCCD6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0B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84094"/>
    <w:pPr>
      <w:spacing w:beforeLines="1" w:afterLines="1"/>
    </w:pPr>
    <w:rPr>
      <w:rFonts w:ascii="Times" w:eastAsiaTheme="minorEastAsia" w:hAnsi="Times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8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2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2020-03-15T09:04:00Z</dcterms:created>
  <dcterms:modified xsi:type="dcterms:W3CDTF">2020-10-06T09:09:00Z</dcterms:modified>
</cp:coreProperties>
</file>