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4A8C1" w14:textId="77777777" w:rsidR="0067124C" w:rsidRPr="00343715" w:rsidRDefault="0067124C" w:rsidP="0067124C">
      <w:pPr>
        <w:spacing w:before="100" w:beforeAutospacing="1" w:after="100" w:afterAutospacing="1" w:line="360" w:lineRule="auto"/>
        <w:rPr>
          <w:rFonts w:eastAsia="Times New Roman" w:cs="Times New Roman"/>
          <w:b/>
          <w:bCs/>
          <w:color w:val="000000" w:themeColor="text1"/>
          <w:sz w:val="24"/>
          <w:szCs w:val="24"/>
          <w:lang w:eastAsia="en-GB"/>
        </w:rPr>
      </w:pPr>
      <w:r w:rsidRPr="00343715">
        <w:rPr>
          <w:rFonts w:eastAsia="Times New Roman" w:cs="Times New Roman"/>
          <w:b/>
          <w:bCs/>
          <w:color w:val="000000" w:themeColor="text1"/>
          <w:sz w:val="24"/>
          <w:szCs w:val="24"/>
          <w:lang w:eastAsia="en-GB"/>
        </w:rPr>
        <w:t>Seasonal forecast skill of upper-ocean heat content in coupled high-resolution systems</w:t>
      </w:r>
    </w:p>
    <w:p w14:paraId="40AAE781" w14:textId="5447FB8B" w:rsidR="0067124C" w:rsidRPr="00FC786C" w:rsidRDefault="0067124C" w:rsidP="0067124C">
      <w:pPr>
        <w:spacing w:before="100" w:beforeAutospacing="1" w:after="100" w:afterAutospacing="1" w:line="360" w:lineRule="auto"/>
        <w:rPr>
          <w:rFonts w:eastAsia="Times New Roman" w:cs="Times New Roman"/>
          <w:szCs w:val="20"/>
          <w:lang w:val="it-IT" w:eastAsia="en-GB"/>
        </w:rPr>
      </w:pPr>
      <w:r w:rsidRPr="00FC786C">
        <w:rPr>
          <w:rFonts w:eastAsia="Times New Roman" w:cs="Times New Roman"/>
          <w:szCs w:val="20"/>
          <w:lang w:val="it-IT" w:eastAsia="en-GB"/>
        </w:rPr>
        <w:t>Ronan McAdam</w:t>
      </w:r>
      <w:r w:rsidRPr="00FC786C">
        <w:rPr>
          <w:rFonts w:eastAsia="Times New Roman" w:cs="Times New Roman"/>
          <w:szCs w:val="20"/>
          <w:vertAlign w:val="superscript"/>
          <w:lang w:val="it-IT" w:eastAsia="en-GB"/>
        </w:rPr>
        <w:t>1</w:t>
      </w:r>
      <w:r w:rsidRPr="00FC786C">
        <w:rPr>
          <w:rFonts w:eastAsia="Times New Roman" w:cs="Times New Roman"/>
          <w:szCs w:val="20"/>
          <w:lang w:val="it-IT" w:eastAsia="en-GB"/>
        </w:rPr>
        <w:t>, Simona Masina</w:t>
      </w:r>
      <w:r w:rsidRPr="00FC786C">
        <w:rPr>
          <w:rFonts w:eastAsia="Times New Roman" w:cs="Times New Roman"/>
          <w:szCs w:val="20"/>
          <w:vertAlign w:val="superscript"/>
          <w:lang w:val="it-IT" w:eastAsia="en-GB"/>
        </w:rPr>
        <w:t>1</w:t>
      </w:r>
      <w:r w:rsidRPr="00FC786C">
        <w:rPr>
          <w:rFonts w:eastAsia="Times New Roman" w:cs="Times New Roman"/>
          <w:szCs w:val="20"/>
          <w:lang w:val="it-IT" w:eastAsia="en-GB"/>
        </w:rPr>
        <w:t>, Magdalena Balmaseda</w:t>
      </w:r>
      <w:r w:rsidRPr="00FC786C">
        <w:rPr>
          <w:rFonts w:eastAsia="Times New Roman" w:cs="Times New Roman"/>
          <w:szCs w:val="20"/>
          <w:vertAlign w:val="superscript"/>
          <w:lang w:val="it-IT" w:eastAsia="en-GB"/>
        </w:rPr>
        <w:t>2</w:t>
      </w:r>
      <w:r w:rsidRPr="00FC786C">
        <w:rPr>
          <w:rFonts w:eastAsia="Times New Roman" w:cs="Times New Roman"/>
          <w:szCs w:val="20"/>
          <w:lang w:val="it-IT" w:eastAsia="en-GB"/>
        </w:rPr>
        <w:t>, Silvio Gualdi</w:t>
      </w:r>
      <w:r w:rsidRPr="00FC786C">
        <w:rPr>
          <w:rFonts w:eastAsia="Times New Roman" w:cs="Times New Roman"/>
          <w:szCs w:val="20"/>
          <w:vertAlign w:val="superscript"/>
          <w:lang w:val="it-IT" w:eastAsia="en-GB"/>
        </w:rPr>
        <w:t>3</w:t>
      </w:r>
      <w:r w:rsidRPr="00FC786C">
        <w:rPr>
          <w:rFonts w:eastAsia="Times New Roman" w:cs="Times New Roman"/>
          <w:szCs w:val="20"/>
          <w:lang w:val="it-IT" w:eastAsia="en-GB"/>
        </w:rPr>
        <w:t xml:space="preserve">, </w:t>
      </w:r>
      <w:proofErr w:type="spellStart"/>
      <w:r w:rsidRPr="00FC786C">
        <w:rPr>
          <w:rFonts w:eastAsia="Times New Roman" w:cs="Times New Roman"/>
          <w:szCs w:val="20"/>
          <w:lang w:val="it-IT" w:eastAsia="en-GB"/>
        </w:rPr>
        <w:t>Retish</w:t>
      </w:r>
      <w:proofErr w:type="spellEnd"/>
      <w:r w:rsidRPr="00FC786C">
        <w:rPr>
          <w:rFonts w:eastAsia="Times New Roman" w:cs="Times New Roman"/>
          <w:szCs w:val="20"/>
          <w:lang w:val="it-IT" w:eastAsia="en-GB"/>
        </w:rPr>
        <w:t xml:space="preserve"> Senan</w:t>
      </w:r>
      <w:r w:rsidRPr="00FC786C">
        <w:rPr>
          <w:rFonts w:eastAsia="Times New Roman" w:cs="Times New Roman"/>
          <w:szCs w:val="20"/>
          <w:vertAlign w:val="superscript"/>
          <w:lang w:val="it-IT" w:eastAsia="en-GB"/>
        </w:rPr>
        <w:t>2</w:t>
      </w:r>
      <w:r w:rsidRPr="00FC786C">
        <w:rPr>
          <w:rFonts w:eastAsia="Times New Roman" w:cs="Times New Roman"/>
          <w:szCs w:val="20"/>
          <w:lang w:val="it-IT" w:eastAsia="en-GB"/>
        </w:rPr>
        <w:t xml:space="preserve"> and Michael Mayer</w:t>
      </w:r>
      <w:r w:rsidRPr="00FC786C">
        <w:rPr>
          <w:rFonts w:eastAsia="Times New Roman" w:cs="Times New Roman"/>
          <w:szCs w:val="20"/>
          <w:vertAlign w:val="superscript"/>
          <w:lang w:val="it-IT" w:eastAsia="en-GB"/>
        </w:rPr>
        <w:t>2</w:t>
      </w:r>
      <w:r w:rsidR="005C4153">
        <w:rPr>
          <w:rFonts w:eastAsia="Times New Roman" w:cs="Times New Roman"/>
          <w:szCs w:val="20"/>
          <w:vertAlign w:val="superscript"/>
          <w:lang w:val="it-IT" w:eastAsia="en-GB"/>
        </w:rPr>
        <w:t>,4</w:t>
      </w:r>
      <w:r w:rsidRPr="00FC786C">
        <w:rPr>
          <w:rFonts w:eastAsia="Times New Roman" w:cs="Times New Roman"/>
          <w:szCs w:val="20"/>
          <w:lang w:val="it-IT" w:eastAsia="en-GB"/>
        </w:rPr>
        <w:t>.</w:t>
      </w:r>
    </w:p>
    <w:p w14:paraId="77800F36" w14:textId="12475AED" w:rsidR="0067124C" w:rsidRPr="00FC786C" w:rsidRDefault="0067124C" w:rsidP="0067124C">
      <w:pPr>
        <w:spacing w:before="100" w:beforeAutospacing="1" w:after="100" w:afterAutospacing="1" w:line="360" w:lineRule="auto"/>
        <w:rPr>
          <w:rFonts w:eastAsia="Times New Roman" w:cs="Times New Roman"/>
          <w:szCs w:val="20"/>
          <w:lang w:val="it-IT" w:eastAsia="en-GB"/>
        </w:rPr>
      </w:pPr>
      <w:r w:rsidRPr="00FC786C">
        <w:rPr>
          <w:rFonts w:eastAsia="Times New Roman" w:cs="Times New Roman"/>
          <w:szCs w:val="20"/>
          <w:vertAlign w:val="superscript"/>
          <w:lang w:val="it-IT" w:eastAsia="en-GB"/>
        </w:rPr>
        <w:t xml:space="preserve">1 </w:t>
      </w:r>
      <w:r w:rsidRPr="00FC786C">
        <w:rPr>
          <w:rFonts w:eastAsia="Times New Roman" w:cs="Times New Roman"/>
          <w:szCs w:val="20"/>
          <w:lang w:val="it-IT" w:eastAsia="en-GB"/>
        </w:rPr>
        <w:t xml:space="preserve">Ocean </w:t>
      </w:r>
      <w:proofErr w:type="spellStart"/>
      <w:r w:rsidRPr="00FC786C">
        <w:rPr>
          <w:rFonts w:eastAsia="Times New Roman" w:cs="Times New Roman"/>
          <w:szCs w:val="20"/>
          <w:lang w:val="it-IT" w:eastAsia="en-GB"/>
        </w:rPr>
        <w:t>Modeling</w:t>
      </w:r>
      <w:proofErr w:type="spellEnd"/>
      <w:r w:rsidRPr="00FC786C">
        <w:rPr>
          <w:rFonts w:eastAsia="Times New Roman" w:cs="Times New Roman"/>
          <w:szCs w:val="20"/>
          <w:lang w:val="it-IT" w:eastAsia="en-GB"/>
        </w:rPr>
        <w:t xml:space="preserve"> and Data </w:t>
      </w:r>
      <w:proofErr w:type="spellStart"/>
      <w:r w:rsidRPr="00FC786C">
        <w:rPr>
          <w:rFonts w:eastAsia="Times New Roman" w:cs="Times New Roman"/>
          <w:szCs w:val="20"/>
          <w:lang w:val="it-IT" w:eastAsia="en-GB"/>
        </w:rPr>
        <w:t>Assimilation</w:t>
      </w:r>
      <w:proofErr w:type="spellEnd"/>
      <w:r w:rsidRPr="00FC786C">
        <w:rPr>
          <w:rFonts w:eastAsia="Times New Roman" w:cs="Times New Roman"/>
          <w:szCs w:val="20"/>
          <w:lang w:val="it-IT" w:eastAsia="en-GB"/>
        </w:rPr>
        <w:t xml:space="preserve"> </w:t>
      </w:r>
      <w:proofErr w:type="spellStart"/>
      <w:r w:rsidRPr="00FC786C">
        <w:rPr>
          <w:rFonts w:eastAsia="Times New Roman" w:cs="Times New Roman"/>
          <w:szCs w:val="20"/>
          <w:lang w:val="it-IT" w:eastAsia="en-GB"/>
        </w:rPr>
        <w:t>Division</w:t>
      </w:r>
      <w:proofErr w:type="spellEnd"/>
      <w:r w:rsidRPr="00FC786C">
        <w:rPr>
          <w:rFonts w:eastAsia="Times New Roman" w:cs="Times New Roman"/>
          <w:szCs w:val="20"/>
          <w:lang w:val="it-IT" w:eastAsia="en-GB"/>
        </w:rPr>
        <w:t xml:space="preserve">, Centro Euro-Mediterraneo sui Cambiamenti Climatici, </w:t>
      </w:r>
      <w:proofErr w:type="spellStart"/>
      <w:r w:rsidRPr="00FC786C">
        <w:rPr>
          <w:rFonts w:eastAsia="Times New Roman" w:cs="Times New Roman"/>
          <w:szCs w:val="20"/>
          <w:lang w:val="it-IT" w:eastAsia="en-GB"/>
        </w:rPr>
        <w:t>Italy</w:t>
      </w:r>
      <w:proofErr w:type="spellEnd"/>
      <w:r w:rsidRPr="00FC786C">
        <w:rPr>
          <w:rFonts w:eastAsia="Times New Roman" w:cs="Times New Roman"/>
          <w:szCs w:val="20"/>
          <w:lang w:val="it-IT" w:eastAsia="en-GB"/>
        </w:rPr>
        <w:br/>
      </w:r>
      <w:r w:rsidRPr="00FC786C">
        <w:rPr>
          <w:rFonts w:eastAsia="Times New Roman" w:cs="Times New Roman"/>
          <w:szCs w:val="20"/>
          <w:vertAlign w:val="superscript"/>
          <w:lang w:val="it-IT" w:eastAsia="en-GB"/>
        </w:rPr>
        <w:t xml:space="preserve">2 </w:t>
      </w:r>
      <w:proofErr w:type="spellStart"/>
      <w:r w:rsidRPr="00FC786C">
        <w:rPr>
          <w:rFonts w:eastAsia="Times New Roman" w:cs="Times New Roman"/>
          <w:szCs w:val="20"/>
          <w:lang w:val="it-IT" w:eastAsia="en-GB"/>
        </w:rPr>
        <w:t>European</w:t>
      </w:r>
      <w:proofErr w:type="spellEnd"/>
      <w:r w:rsidRPr="00FC786C">
        <w:rPr>
          <w:rFonts w:eastAsia="Times New Roman" w:cs="Times New Roman"/>
          <w:szCs w:val="20"/>
          <w:lang w:val="it-IT" w:eastAsia="en-GB"/>
        </w:rPr>
        <w:t xml:space="preserve"> Centre for Medium-Range </w:t>
      </w:r>
      <w:proofErr w:type="spellStart"/>
      <w:r w:rsidRPr="00FC786C">
        <w:rPr>
          <w:rFonts w:eastAsia="Times New Roman" w:cs="Times New Roman"/>
          <w:szCs w:val="20"/>
          <w:lang w:val="it-IT" w:eastAsia="en-GB"/>
        </w:rPr>
        <w:t>Weather</w:t>
      </w:r>
      <w:proofErr w:type="spellEnd"/>
      <w:r w:rsidRPr="00FC786C">
        <w:rPr>
          <w:rFonts w:eastAsia="Times New Roman" w:cs="Times New Roman"/>
          <w:szCs w:val="20"/>
          <w:lang w:val="it-IT" w:eastAsia="en-GB"/>
        </w:rPr>
        <w:t xml:space="preserve"> Forecasts, United Kingdom</w:t>
      </w:r>
      <w:r w:rsidRPr="00FC786C">
        <w:rPr>
          <w:rFonts w:eastAsia="Times New Roman" w:cs="Times New Roman"/>
          <w:szCs w:val="20"/>
          <w:lang w:val="it-IT" w:eastAsia="en-GB"/>
        </w:rPr>
        <w:br/>
      </w:r>
      <w:r w:rsidRPr="00FC786C">
        <w:rPr>
          <w:rFonts w:eastAsia="Times New Roman" w:cs="Times New Roman"/>
          <w:szCs w:val="20"/>
          <w:vertAlign w:val="superscript"/>
          <w:lang w:val="it-IT" w:eastAsia="en-GB"/>
        </w:rPr>
        <w:t xml:space="preserve">3 </w:t>
      </w:r>
      <w:proofErr w:type="spellStart"/>
      <w:r w:rsidRPr="00FC786C">
        <w:rPr>
          <w:rFonts w:eastAsia="Times New Roman" w:cs="Times New Roman"/>
          <w:szCs w:val="20"/>
          <w:lang w:val="it-IT" w:eastAsia="en-GB"/>
        </w:rPr>
        <w:t>Climate</w:t>
      </w:r>
      <w:proofErr w:type="spellEnd"/>
      <w:r w:rsidRPr="00FC786C">
        <w:rPr>
          <w:rFonts w:eastAsia="Times New Roman" w:cs="Times New Roman"/>
          <w:szCs w:val="20"/>
          <w:lang w:val="it-IT" w:eastAsia="en-GB"/>
        </w:rPr>
        <w:t xml:space="preserve"> </w:t>
      </w:r>
      <w:proofErr w:type="spellStart"/>
      <w:r w:rsidRPr="00FC786C">
        <w:rPr>
          <w:rFonts w:eastAsia="Times New Roman" w:cs="Times New Roman"/>
          <w:szCs w:val="20"/>
          <w:lang w:val="it-IT" w:eastAsia="en-GB"/>
        </w:rPr>
        <w:t>Simulations</w:t>
      </w:r>
      <w:proofErr w:type="spellEnd"/>
      <w:r w:rsidRPr="00FC786C">
        <w:rPr>
          <w:rFonts w:eastAsia="Times New Roman" w:cs="Times New Roman"/>
          <w:szCs w:val="20"/>
          <w:lang w:val="it-IT" w:eastAsia="en-GB"/>
        </w:rPr>
        <w:t xml:space="preserve"> and </w:t>
      </w:r>
      <w:proofErr w:type="spellStart"/>
      <w:r w:rsidRPr="00FC786C">
        <w:rPr>
          <w:rFonts w:eastAsia="Times New Roman" w:cs="Times New Roman"/>
          <w:szCs w:val="20"/>
          <w:lang w:val="it-IT" w:eastAsia="en-GB"/>
        </w:rPr>
        <w:t>Predictions</w:t>
      </w:r>
      <w:proofErr w:type="spellEnd"/>
      <w:r w:rsidRPr="00FC786C">
        <w:rPr>
          <w:rFonts w:eastAsia="Times New Roman" w:cs="Times New Roman"/>
          <w:szCs w:val="20"/>
          <w:lang w:val="it-IT" w:eastAsia="en-GB"/>
        </w:rPr>
        <w:t xml:space="preserve"> </w:t>
      </w:r>
      <w:proofErr w:type="spellStart"/>
      <w:r w:rsidRPr="00FC786C">
        <w:rPr>
          <w:rFonts w:eastAsia="Times New Roman" w:cs="Times New Roman"/>
          <w:szCs w:val="20"/>
          <w:lang w:val="it-IT" w:eastAsia="en-GB"/>
        </w:rPr>
        <w:t>Division</w:t>
      </w:r>
      <w:proofErr w:type="spellEnd"/>
      <w:r w:rsidRPr="00FC786C">
        <w:rPr>
          <w:rFonts w:eastAsia="Times New Roman" w:cs="Times New Roman"/>
          <w:szCs w:val="20"/>
          <w:lang w:val="it-IT" w:eastAsia="en-GB"/>
        </w:rPr>
        <w:t xml:space="preserve">, Centro Euro-Mediterraneo sui Cambiamenti Climatici, </w:t>
      </w:r>
      <w:proofErr w:type="spellStart"/>
      <w:r w:rsidRPr="00FC786C">
        <w:rPr>
          <w:rFonts w:eastAsia="Times New Roman" w:cs="Times New Roman"/>
          <w:szCs w:val="20"/>
          <w:lang w:val="it-IT" w:eastAsia="en-GB"/>
        </w:rPr>
        <w:t>Italy</w:t>
      </w:r>
      <w:proofErr w:type="spellEnd"/>
      <w:r w:rsidR="005C4153">
        <w:rPr>
          <w:rFonts w:eastAsia="Times New Roman" w:cs="Times New Roman"/>
          <w:szCs w:val="20"/>
          <w:lang w:val="it-IT" w:eastAsia="en-GB"/>
        </w:rPr>
        <w:br/>
      </w:r>
      <w:r w:rsidR="005C4153">
        <w:rPr>
          <w:rFonts w:eastAsia="Times New Roman" w:cs="Times New Roman"/>
          <w:szCs w:val="20"/>
          <w:vertAlign w:val="superscript"/>
          <w:lang w:val="it-IT" w:eastAsia="en-GB"/>
        </w:rPr>
        <w:t>4</w:t>
      </w:r>
      <w:r w:rsidR="005C4153" w:rsidRPr="00932505">
        <w:rPr>
          <w:rFonts w:eastAsia="Times New Roman" w:cs="Times New Roman"/>
          <w:szCs w:val="20"/>
          <w:lang w:val="it-IT" w:eastAsia="en-GB"/>
        </w:rPr>
        <w:t xml:space="preserve"> Department of </w:t>
      </w:r>
      <w:proofErr w:type="spellStart"/>
      <w:r w:rsidR="005C4153" w:rsidRPr="00932505">
        <w:rPr>
          <w:rFonts w:eastAsia="Times New Roman" w:cs="Times New Roman"/>
          <w:szCs w:val="20"/>
          <w:lang w:val="it-IT" w:eastAsia="en-GB"/>
        </w:rPr>
        <w:t>Meteorology</w:t>
      </w:r>
      <w:proofErr w:type="spellEnd"/>
      <w:r w:rsidR="005C4153" w:rsidRPr="00932505">
        <w:rPr>
          <w:rFonts w:eastAsia="Times New Roman" w:cs="Times New Roman"/>
          <w:szCs w:val="20"/>
          <w:lang w:val="it-IT" w:eastAsia="en-GB"/>
        </w:rPr>
        <w:t xml:space="preserve"> and </w:t>
      </w:r>
      <w:proofErr w:type="spellStart"/>
      <w:r w:rsidR="005C4153" w:rsidRPr="00932505">
        <w:rPr>
          <w:rFonts w:eastAsia="Times New Roman" w:cs="Times New Roman"/>
          <w:szCs w:val="20"/>
          <w:lang w:val="it-IT" w:eastAsia="en-GB"/>
        </w:rPr>
        <w:t>Geophysics</w:t>
      </w:r>
      <w:proofErr w:type="spellEnd"/>
      <w:r w:rsidR="005C4153" w:rsidRPr="00932505">
        <w:rPr>
          <w:rFonts w:eastAsia="Times New Roman" w:cs="Times New Roman"/>
          <w:szCs w:val="20"/>
          <w:lang w:val="it-IT" w:eastAsia="en-GB"/>
        </w:rPr>
        <w:t>, University of Vienna, Vienna, Austria.</w:t>
      </w:r>
    </w:p>
    <w:p w14:paraId="06D4722C" w14:textId="77777777" w:rsidR="0067124C" w:rsidRPr="00343715" w:rsidRDefault="0067124C" w:rsidP="0067124C">
      <w:pPr>
        <w:spacing w:before="100" w:beforeAutospacing="1" w:after="100" w:afterAutospacing="1" w:line="360" w:lineRule="auto"/>
        <w:rPr>
          <w:rFonts w:eastAsia="Times New Roman" w:cs="Times New Roman"/>
          <w:szCs w:val="20"/>
          <w:lang w:eastAsia="en-GB"/>
        </w:rPr>
      </w:pPr>
      <w:r w:rsidRPr="00343715">
        <w:rPr>
          <w:rFonts w:eastAsia="Times New Roman" w:cs="Times New Roman"/>
          <w:szCs w:val="20"/>
          <w:lang w:eastAsia="en-GB"/>
        </w:rPr>
        <w:t>Corresponding author: Ronan McAdam (</w:t>
      </w:r>
      <w:hyperlink r:id="rId4" w:history="1">
        <w:r w:rsidRPr="00343715">
          <w:rPr>
            <w:rStyle w:val="Hyperlink"/>
            <w:rFonts w:eastAsia="Times New Roman" w:cs="Times New Roman"/>
            <w:szCs w:val="20"/>
            <w:lang w:eastAsia="en-GB"/>
          </w:rPr>
          <w:t>ronan.mcadam@cmcc.it</w:t>
        </w:r>
      </w:hyperlink>
      <w:r w:rsidRPr="00343715">
        <w:rPr>
          <w:rFonts w:eastAsia="Times New Roman" w:cs="Times New Roman"/>
          <w:szCs w:val="20"/>
          <w:lang w:eastAsia="en-GB"/>
        </w:rPr>
        <w:t>) (ORCID 0000-0003-0883-9014)</w:t>
      </w:r>
    </w:p>
    <w:p w14:paraId="399CA0F8" w14:textId="7FEB14FD" w:rsidR="0067124C" w:rsidRDefault="00083259" w:rsidP="0067124C">
      <w:pPr>
        <w:keepNext/>
      </w:pPr>
      <w:r>
        <w:rPr>
          <w:noProof/>
        </w:rPr>
        <w:drawing>
          <wp:inline distT="0" distB="0" distL="0" distR="0" wp14:anchorId="78912318" wp14:editId="558BE9F1">
            <wp:extent cx="5731510" cy="4776470"/>
            <wp:effectExtent l="0" t="0" r="2540" b="5080"/>
            <wp:docPr id="1" name="Picture 1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lenda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96E08" w14:textId="402B00DC" w:rsidR="00202AA5" w:rsidRDefault="0067124C" w:rsidP="0067124C">
      <w:pPr>
        <w:pStyle w:val="Caption"/>
        <w:rPr>
          <w:rFonts w:ascii="Calibri" w:hAnsi="Calibri" w:cs="Calibri"/>
          <w:i w:val="0"/>
          <w:iCs w:val="0"/>
          <w:color w:val="000000"/>
          <w:sz w:val="20"/>
          <w:szCs w:val="20"/>
        </w:rPr>
      </w:pPr>
      <w:r w:rsidRPr="0067124C">
        <w:rPr>
          <w:rFonts w:cs="Times New Roman"/>
          <w:i w:val="0"/>
          <w:iCs w:val="0"/>
          <w:color w:val="000000" w:themeColor="text1"/>
          <w:sz w:val="20"/>
          <w:szCs w:val="20"/>
        </w:rPr>
        <w:t xml:space="preserve">Supplementary Figure 1: </w:t>
      </w:r>
      <w:r w:rsidR="00D268B3" w:rsidRPr="00D268B3">
        <w:rPr>
          <w:rFonts w:cs="Times New Roman"/>
          <w:i w:val="0"/>
          <w:iCs w:val="0"/>
          <w:color w:val="000000" w:themeColor="text1"/>
          <w:sz w:val="20"/>
          <w:szCs w:val="20"/>
        </w:rPr>
        <w:t xml:space="preserve">Skill measure maps for CMCC-SPS3 re-forecasts of </w:t>
      </w:r>
      <w:r w:rsidR="00D268B3">
        <w:rPr>
          <w:rFonts w:cs="Times New Roman"/>
          <w:i w:val="0"/>
          <w:iCs w:val="0"/>
          <w:color w:val="000000" w:themeColor="text1"/>
          <w:sz w:val="20"/>
          <w:szCs w:val="20"/>
        </w:rPr>
        <w:t>SST</w:t>
      </w:r>
      <w:r w:rsidR="00D268B3" w:rsidRPr="00D268B3">
        <w:rPr>
          <w:rFonts w:cs="Times New Roman"/>
          <w:i w:val="0"/>
          <w:iCs w:val="0"/>
          <w:color w:val="000000" w:themeColor="text1"/>
          <w:sz w:val="20"/>
          <w:szCs w:val="20"/>
        </w:rPr>
        <w:t xml:space="preserve"> initialised in May: Bias, Normalised-RMSE, Anomaly Correlation Coefficient and Amplitude Ratio. Left column: First lead season (May-June-July). Right column: Second lead season (August-September-October). Bias values in the range [-0.25, 0.25] are shown in white. White regions in the correlation maps indicate where correlations are not statistically significant.</w:t>
      </w:r>
    </w:p>
    <w:p w14:paraId="74F1FCBD" w14:textId="0279E0E4" w:rsidR="0067124C" w:rsidRDefault="0067124C" w:rsidP="0067124C"/>
    <w:p w14:paraId="18B5329E" w14:textId="7550142D" w:rsidR="0067124C" w:rsidRPr="0067124C" w:rsidRDefault="00083259" w:rsidP="0067124C">
      <w:r>
        <w:rPr>
          <w:noProof/>
        </w:rPr>
        <w:lastRenderedPageBreak/>
        <w:drawing>
          <wp:inline distT="0" distB="0" distL="0" distR="0" wp14:anchorId="1C22F24B" wp14:editId="370DE634">
            <wp:extent cx="5731510" cy="4776470"/>
            <wp:effectExtent l="0" t="0" r="2540" b="5080"/>
            <wp:docPr id="2" name="Picture 2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lenda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FBCC0" w14:textId="0B7F778D" w:rsidR="0067124C" w:rsidRDefault="0067124C" w:rsidP="0067124C">
      <w:pPr>
        <w:pStyle w:val="Caption"/>
        <w:rPr>
          <w:rFonts w:ascii="Calibri" w:hAnsi="Calibri" w:cs="Calibri"/>
          <w:i w:val="0"/>
          <w:iCs w:val="0"/>
          <w:color w:val="000000"/>
          <w:sz w:val="20"/>
          <w:szCs w:val="20"/>
        </w:rPr>
      </w:pPr>
      <w:r w:rsidRPr="0067124C">
        <w:rPr>
          <w:rFonts w:cs="Times New Roman"/>
          <w:i w:val="0"/>
          <w:iCs w:val="0"/>
          <w:color w:val="000000" w:themeColor="text1"/>
          <w:sz w:val="20"/>
          <w:szCs w:val="20"/>
        </w:rPr>
        <w:t xml:space="preserve">Supplementary Figure </w:t>
      </w:r>
      <w:r>
        <w:rPr>
          <w:rFonts w:cs="Times New Roman"/>
          <w:i w:val="0"/>
          <w:iCs w:val="0"/>
          <w:color w:val="000000" w:themeColor="text1"/>
          <w:sz w:val="20"/>
          <w:szCs w:val="20"/>
        </w:rPr>
        <w:t>2</w:t>
      </w:r>
      <w:r w:rsidRPr="0067124C">
        <w:rPr>
          <w:rFonts w:cs="Times New Roman"/>
          <w:i w:val="0"/>
          <w:iCs w:val="0"/>
          <w:color w:val="000000" w:themeColor="text1"/>
          <w:sz w:val="20"/>
          <w:szCs w:val="20"/>
        </w:rPr>
        <w:t xml:space="preserve">: </w:t>
      </w:r>
      <w:r w:rsidR="00D268B3" w:rsidRPr="00D268B3">
        <w:rPr>
          <w:rFonts w:cs="Times New Roman"/>
          <w:i w:val="0"/>
          <w:iCs w:val="0"/>
          <w:color w:val="000000" w:themeColor="text1"/>
          <w:sz w:val="20"/>
          <w:szCs w:val="20"/>
        </w:rPr>
        <w:t xml:space="preserve">Skill measure maps for </w:t>
      </w:r>
      <w:r w:rsidR="00D268B3">
        <w:rPr>
          <w:rFonts w:cs="Times New Roman"/>
          <w:i w:val="0"/>
          <w:iCs w:val="0"/>
          <w:color w:val="000000" w:themeColor="text1"/>
          <w:sz w:val="20"/>
          <w:szCs w:val="20"/>
        </w:rPr>
        <w:t xml:space="preserve">ECMWF-SEAS5 </w:t>
      </w:r>
      <w:r w:rsidR="00D268B3" w:rsidRPr="00D268B3">
        <w:rPr>
          <w:rFonts w:cs="Times New Roman"/>
          <w:i w:val="0"/>
          <w:iCs w:val="0"/>
          <w:color w:val="000000" w:themeColor="text1"/>
          <w:sz w:val="20"/>
          <w:szCs w:val="20"/>
        </w:rPr>
        <w:t xml:space="preserve">re-forecasts of </w:t>
      </w:r>
      <w:r w:rsidR="00D268B3">
        <w:rPr>
          <w:rFonts w:cs="Times New Roman"/>
          <w:i w:val="0"/>
          <w:iCs w:val="0"/>
          <w:color w:val="000000" w:themeColor="text1"/>
          <w:sz w:val="20"/>
          <w:szCs w:val="20"/>
        </w:rPr>
        <w:t>SST</w:t>
      </w:r>
      <w:r w:rsidR="00D268B3" w:rsidRPr="00D268B3">
        <w:rPr>
          <w:rFonts w:cs="Times New Roman"/>
          <w:i w:val="0"/>
          <w:iCs w:val="0"/>
          <w:color w:val="000000" w:themeColor="text1"/>
          <w:sz w:val="20"/>
          <w:szCs w:val="20"/>
        </w:rPr>
        <w:t xml:space="preserve"> initialised in May: Bias, Normalised-RMSE, Anomaly Correlation Coefficient and Amplitude Ratio. Left column: First lead season (May-June-July). Right column: Second lead season (August-September-October). Bias values in the range [-0.25, 0.25] are shown in white. White regions in the correlation maps indicate where correlations are not statistically significant.</w:t>
      </w:r>
    </w:p>
    <w:p w14:paraId="63C20C31" w14:textId="265AA8C4" w:rsidR="0067124C" w:rsidRDefault="0067124C" w:rsidP="0067124C"/>
    <w:p w14:paraId="7F092F6E" w14:textId="335906DD" w:rsidR="0067124C" w:rsidRPr="0067124C" w:rsidRDefault="00083259" w:rsidP="0067124C">
      <w:r>
        <w:rPr>
          <w:noProof/>
        </w:rPr>
        <w:lastRenderedPageBreak/>
        <w:drawing>
          <wp:inline distT="0" distB="0" distL="0" distR="0" wp14:anchorId="79691470" wp14:editId="5AD24BA8">
            <wp:extent cx="5731510" cy="4139565"/>
            <wp:effectExtent l="0" t="0" r="2540" b="0"/>
            <wp:docPr id="3" name="Picture 3" descr="Calendar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alendar, map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3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5FFDF" w14:textId="3DBBA7FF" w:rsidR="0067124C" w:rsidRPr="0067124C" w:rsidRDefault="0067124C">
      <w:pPr>
        <w:rPr>
          <w:rFonts w:cs="Times New Roman"/>
          <w:color w:val="000000"/>
          <w:szCs w:val="20"/>
        </w:rPr>
      </w:pPr>
      <w:r w:rsidRPr="0067124C">
        <w:rPr>
          <w:rFonts w:cs="Times New Roman"/>
          <w:color w:val="000000"/>
          <w:szCs w:val="20"/>
        </w:rPr>
        <w:t>Supplementary Figure 3:</w:t>
      </w:r>
      <w:r w:rsidR="00F616B8">
        <w:rPr>
          <w:rFonts w:cs="Times New Roman"/>
          <w:color w:val="000000"/>
          <w:szCs w:val="20"/>
        </w:rPr>
        <w:t xml:space="preserve"> Difference in</w:t>
      </w:r>
      <w:r w:rsidR="00D268B3" w:rsidRPr="00D268B3">
        <w:rPr>
          <w:rFonts w:cs="Times New Roman"/>
          <w:color w:val="000000"/>
          <w:szCs w:val="20"/>
        </w:rPr>
        <w:t xml:space="preserve"> anomaly correlation coefficients </w:t>
      </w:r>
      <w:r w:rsidR="00F616B8">
        <w:rPr>
          <w:rFonts w:cs="Times New Roman"/>
          <w:color w:val="000000"/>
          <w:szCs w:val="20"/>
        </w:rPr>
        <w:t>for</w:t>
      </w:r>
      <w:r w:rsidR="00D268B3" w:rsidRPr="00D268B3">
        <w:rPr>
          <w:rFonts w:cs="Times New Roman"/>
          <w:color w:val="000000"/>
          <w:szCs w:val="20"/>
        </w:rPr>
        <w:t xml:space="preserve"> OHC 0-300 m and SST for three different models: Persistence (top), CMCC-SPS3 (middle) and ECMWF-SEAS5 (bottom). Positive values show where OHC skill is greater than SST skill in the corresponding model. Re-forecasts and the persistence model are initialised in </w:t>
      </w:r>
      <w:r w:rsidR="00D268B3">
        <w:rPr>
          <w:rFonts w:cs="Times New Roman"/>
          <w:color w:val="000000"/>
          <w:szCs w:val="20"/>
        </w:rPr>
        <w:t>November</w:t>
      </w:r>
      <w:r w:rsidR="00D268B3" w:rsidRPr="00D268B3">
        <w:rPr>
          <w:rFonts w:cs="Times New Roman"/>
          <w:color w:val="000000"/>
          <w:szCs w:val="20"/>
        </w:rPr>
        <w:t>, and the seasonal averages of Lead 0 and Lead 1 seasons are shown. White regions indicate where differences in correlations are not statistically significant.</w:t>
      </w:r>
    </w:p>
    <w:p w14:paraId="57A1E439" w14:textId="78BD4CC6" w:rsidR="0067124C" w:rsidRDefault="0067124C">
      <w:pPr>
        <w:rPr>
          <w:rFonts w:ascii="Calibri" w:hAnsi="Calibri" w:cs="Calibri"/>
          <w:i/>
          <w:iCs/>
          <w:color w:val="000000"/>
          <w:szCs w:val="20"/>
        </w:rPr>
      </w:pPr>
    </w:p>
    <w:p w14:paraId="1137419E" w14:textId="47F7CBF3" w:rsidR="0067124C" w:rsidRDefault="00083259">
      <w:r>
        <w:rPr>
          <w:noProof/>
        </w:rPr>
        <w:drawing>
          <wp:inline distT="0" distB="0" distL="0" distR="0" wp14:anchorId="08580C1D" wp14:editId="3743C8B6">
            <wp:extent cx="5731510" cy="3025140"/>
            <wp:effectExtent l="0" t="0" r="2540" b="3810"/>
            <wp:docPr id="4" name="Picture 4" descr="Calenda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alendar&#10;&#10;Description automatically generated with low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05A72" w14:textId="2CDF1597" w:rsidR="0067124C" w:rsidRDefault="0067124C">
      <w:pPr>
        <w:rPr>
          <w:rFonts w:cs="Times New Roman"/>
          <w:color w:val="000000"/>
          <w:szCs w:val="20"/>
        </w:rPr>
      </w:pPr>
      <w:r w:rsidRPr="0067124C">
        <w:rPr>
          <w:rFonts w:cs="Times New Roman"/>
          <w:color w:val="000000"/>
          <w:szCs w:val="20"/>
        </w:rPr>
        <w:t xml:space="preserve">Supplementary Figure 4: </w:t>
      </w:r>
      <w:r w:rsidR="00F616B8">
        <w:rPr>
          <w:rFonts w:cs="Times New Roman"/>
          <w:color w:val="000000"/>
          <w:szCs w:val="20"/>
        </w:rPr>
        <w:t>Difference in</w:t>
      </w:r>
      <w:r w:rsidR="00D268B3" w:rsidRPr="00D268B3">
        <w:rPr>
          <w:rFonts w:cs="Times New Roman"/>
          <w:color w:val="000000"/>
          <w:szCs w:val="20"/>
        </w:rPr>
        <w:t xml:space="preserve"> anomaly correlation coefficients </w:t>
      </w:r>
      <w:r w:rsidR="00F616B8">
        <w:rPr>
          <w:rFonts w:cs="Times New Roman"/>
          <w:color w:val="000000"/>
          <w:szCs w:val="20"/>
        </w:rPr>
        <w:t>for</w:t>
      </w:r>
      <w:r w:rsidR="00D268B3" w:rsidRPr="00D268B3">
        <w:rPr>
          <w:rFonts w:cs="Times New Roman"/>
          <w:color w:val="000000"/>
          <w:szCs w:val="20"/>
        </w:rPr>
        <w:t xml:space="preserve"> OHC 0-300 m re-forecast and persistence models. Positive values show where OHC skill is greater in the forecast system than in the </w:t>
      </w:r>
      <w:r w:rsidR="00D268B3" w:rsidRPr="00D268B3">
        <w:rPr>
          <w:rFonts w:cs="Times New Roman"/>
          <w:color w:val="000000"/>
          <w:szCs w:val="20"/>
        </w:rPr>
        <w:lastRenderedPageBreak/>
        <w:t xml:space="preserve">persistence model. Re-forecasts and the persistence model are initialised in </w:t>
      </w:r>
      <w:r w:rsidR="00D268B3">
        <w:rPr>
          <w:rFonts w:cs="Times New Roman"/>
          <w:color w:val="000000"/>
          <w:szCs w:val="20"/>
        </w:rPr>
        <w:t>November</w:t>
      </w:r>
      <w:r w:rsidR="00D268B3" w:rsidRPr="00D268B3">
        <w:rPr>
          <w:rFonts w:cs="Times New Roman"/>
          <w:color w:val="000000"/>
          <w:szCs w:val="20"/>
        </w:rPr>
        <w:t>, and the seasonal averages of Lead 0 and Lead 1 seasons are shown. Top: CMCC-SPS3; Bottom: ECMWF-SEAS5. White regions indicate where differences in correlations are not statistically significant</w:t>
      </w:r>
      <w:r w:rsidRPr="0067124C">
        <w:rPr>
          <w:rFonts w:cs="Times New Roman"/>
          <w:color w:val="000000"/>
          <w:szCs w:val="20"/>
        </w:rPr>
        <w:t>.</w:t>
      </w:r>
    </w:p>
    <w:p w14:paraId="703F6E9E" w14:textId="4C838E78" w:rsidR="0067124C" w:rsidRDefault="0067124C">
      <w:pPr>
        <w:rPr>
          <w:rFonts w:cs="Times New Roman"/>
          <w:color w:val="000000"/>
          <w:szCs w:val="20"/>
        </w:rPr>
      </w:pPr>
    </w:p>
    <w:p w14:paraId="6DFD8129" w14:textId="7998663B" w:rsidR="0067124C" w:rsidRDefault="0067124C">
      <w:pPr>
        <w:rPr>
          <w:rFonts w:cs="Times New Roman"/>
        </w:rPr>
      </w:pPr>
    </w:p>
    <w:p w14:paraId="4BAAD68C" w14:textId="77777777" w:rsidR="0067124C" w:rsidRPr="0067124C" w:rsidRDefault="0067124C">
      <w:pPr>
        <w:rPr>
          <w:rFonts w:cs="Times New Roman"/>
        </w:rPr>
      </w:pPr>
    </w:p>
    <w:sectPr w:rsidR="0067124C" w:rsidRPr="006712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4C"/>
    <w:rsid w:val="00083259"/>
    <w:rsid w:val="00202AA5"/>
    <w:rsid w:val="005C4153"/>
    <w:rsid w:val="0067124C"/>
    <w:rsid w:val="00D268B3"/>
    <w:rsid w:val="00F616B8"/>
    <w:rsid w:val="00FE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4852F"/>
  <w15:chartTrackingRefBased/>
  <w15:docId w15:val="{0D266A0C-DC46-4EB1-BA12-7A7599F1E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24C"/>
    <w:rPr>
      <w:rFonts w:ascii="Times New Roman" w:hAnsi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124C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7124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ronan.mcadam@cmcc.i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Ronan McAdam</dc:creator>
  <cp:keywords/>
  <dc:description/>
  <cp:lastModifiedBy>Ronan McAdam</cp:lastModifiedBy>
  <cp:revision>5</cp:revision>
  <dcterms:created xsi:type="dcterms:W3CDTF">2021-05-04T05:49:00Z</dcterms:created>
  <dcterms:modified xsi:type="dcterms:W3CDTF">2021-09-29T15:24:00Z</dcterms:modified>
</cp:coreProperties>
</file>