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00" w:rsidRDefault="004A39AB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Supplementary Figure</w:t>
      </w:r>
    </w:p>
    <w:p w:rsidR="00906B00" w:rsidRDefault="00906B00">
      <w:pPr>
        <w:spacing w:line="360" w:lineRule="auto"/>
        <w:rPr>
          <w:rFonts w:ascii="Times New Roman" w:hAnsi="Times New Roman"/>
          <w:color w:val="000000"/>
        </w:rPr>
      </w:pPr>
    </w:p>
    <w:p w:rsidR="00906B00" w:rsidRDefault="004A39AB">
      <w:pPr>
        <w:spacing w:line="360" w:lineRule="auto"/>
        <w:rPr>
          <w:rFonts w:ascii="Times New Roman" w:hAnsi="Times New Roman"/>
          <w:color w:val="000000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03606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SFig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 1</w:t>
      </w:r>
      <w:r>
        <w:rPr>
          <w:rFonts w:ascii="Times New Roman" w:eastAsia="Times New Roman" w:hAnsi="Times New Roman" w:cs="Times New Roman"/>
          <w:color w:val="000000"/>
        </w:rPr>
        <w:t>. The effect of variable forcing on changes in bomb-∆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>C over decades along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,b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>) P16 in the Pacific Ocean  and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c,d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A16 in the Atlantic Ocean. Bomb-∆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C for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interannually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varying atmospheric forcing simulation is </w:t>
      </w:r>
      <w:r>
        <w:rPr>
          <w:rFonts w:ascii="Times New Roman" w:eastAsia="Times New Roman" w:hAnsi="Times New Roman" w:cs="Times New Roman"/>
          <w:color w:val="000000"/>
        </w:rPr>
        <w:t xml:space="preserve">calculated as the difference between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Hist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Fix, and for the Neutral year forced (steady-state) it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Hist_NYF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Fix_NYF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bookmarkStart w:id="0" w:name="_GoBack"/>
      <w:bookmarkEnd w:id="0"/>
    </w:p>
    <w:sectPr w:rsidR="00906B00" w:rsidSect="004A39AB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00"/>
    <w:rsid w:val="004A39AB"/>
    <w:rsid w:val="0090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18F32-A170-45EB-9036-F650992E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I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Paul Alexander D.</cp:lastModifiedBy>
  <cp:revision>2</cp:revision>
  <dcterms:created xsi:type="dcterms:W3CDTF">2023-01-06T11:27:00Z</dcterms:created>
  <dcterms:modified xsi:type="dcterms:W3CDTF">2023-03-02T13:43:00Z</dcterms:modified>
  <dc:language>en-IN</dc:language>
</cp:coreProperties>
</file>