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9F5DBC" w14:textId="1E89552A" w:rsidR="004C407E" w:rsidRPr="006D11A6" w:rsidRDefault="004C407E" w:rsidP="004C407E">
      <w:pPr>
        <w:jc w:val="both"/>
        <w:rPr>
          <w:sz w:val="24"/>
          <w:szCs w:val="24"/>
        </w:rPr>
      </w:pPr>
    </w:p>
    <w:p w14:paraId="5D93CDDE" w14:textId="2EBD09E9" w:rsidR="00692F03" w:rsidRPr="006D11A6" w:rsidRDefault="004C407E" w:rsidP="004C407E">
      <w:pPr>
        <w:pStyle w:val="Heading1"/>
        <w:spacing w:line="240" w:lineRule="auto"/>
        <w:ind w:left="357"/>
        <w:jc w:val="both"/>
        <w:rPr>
          <w:color w:val="000000" w:themeColor="text1"/>
        </w:rPr>
      </w:pPr>
      <w:r w:rsidRPr="006D11A6">
        <w:rPr>
          <w:color w:val="000000" w:themeColor="text1"/>
        </w:rPr>
        <w:t>Supplementary Materials</w:t>
      </w:r>
    </w:p>
    <w:p w14:paraId="55A5D245" w14:textId="0C63503D" w:rsidR="004C407E" w:rsidRPr="006D11A6" w:rsidRDefault="004C407E" w:rsidP="00D537E3">
      <w:pPr>
        <w:spacing w:after="0" w:line="240" w:lineRule="auto"/>
        <w:jc w:val="center"/>
        <w:rPr>
          <w:sz w:val="24"/>
          <w:szCs w:val="24"/>
        </w:rPr>
      </w:pPr>
      <w:r w:rsidRPr="006D11A6">
        <w:rPr>
          <w:noProof/>
          <w:sz w:val="24"/>
          <w:szCs w:val="24"/>
          <w:lang w:val="en-IN" w:eastAsia="en-IN"/>
        </w:rPr>
        <w:drawing>
          <wp:inline distT="0" distB="0" distL="0" distR="0" wp14:anchorId="6043716D" wp14:editId="0E271528">
            <wp:extent cx="5730875" cy="5279390"/>
            <wp:effectExtent l="0" t="0" r="3175" b="0"/>
            <wp:docPr id="1856501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875" cy="5279390"/>
                    </a:xfrm>
                    <a:prstGeom prst="rect">
                      <a:avLst/>
                    </a:prstGeom>
                    <a:noFill/>
                  </pic:spPr>
                </pic:pic>
              </a:graphicData>
            </a:graphic>
          </wp:inline>
        </w:drawing>
      </w:r>
    </w:p>
    <w:p w14:paraId="68350390" w14:textId="73F9921D" w:rsidR="00D537E3" w:rsidRPr="006D11A6" w:rsidRDefault="00D537E3" w:rsidP="00D537E3">
      <w:pPr>
        <w:spacing w:after="0" w:line="240" w:lineRule="auto"/>
        <w:jc w:val="center"/>
        <w:rPr>
          <w:i/>
          <w:iCs/>
          <w:sz w:val="24"/>
          <w:szCs w:val="24"/>
        </w:rPr>
      </w:pPr>
      <w:r w:rsidRPr="006D11A6">
        <w:rPr>
          <w:b/>
          <w:bCs/>
          <w:i/>
          <w:iCs/>
          <w:sz w:val="24"/>
          <w:szCs w:val="24"/>
        </w:rPr>
        <w:t>Figure S1:</w:t>
      </w:r>
      <w:r w:rsidRPr="006D11A6">
        <w:rPr>
          <w:i/>
          <w:iCs/>
          <w:sz w:val="24"/>
          <w:szCs w:val="24"/>
        </w:rPr>
        <w:t xml:space="preserve"> Same as in Fig. 3, but for CMIP5 multimodel mean.</w:t>
      </w:r>
    </w:p>
    <w:p w14:paraId="7A2B84C2" w14:textId="77777777" w:rsidR="00D537E3" w:rsidRPr="006D11A6" w:rsidRDefault="00D537E3">
      <w:pPr>
        <w:rPr>
          <w:sz w:val="24"/>
          <w:szCs w:val="24"/>
        </w:rPr>
      </w:pPr>
      <w:r w:rsidRPr="006D11A6">
        <w:rPr>
          <w:sz w:val="24"/>
          <w:szCs w:val="24"/>
        </w:rPr>
        <w:br w:type="page"/>
      </w:r>
    </w:p>
    <w:p w14:paraId="62A07608" w14:textId="09D5C4F8" w:rsidR="00D537E3" w:rsidRPr="006D11A6" w:rsidRDefault="00D537E3" w:rsidP="00D537E3">
      <w:pPr>
        <w:spacing w:after="0" w:line="240" w:lineRule="auto"/>
        <w:jc w:val="center"/>
        <w:rPr>
          <w:sz w:val="24"/>
          <w:szCs w:val="24"/>
        </w:rPr>
      </w:pPr>
      <w:r w:rsidRPr="006D11A6">
        <w:rPr>
          <w:noProof/>
          <w:sz w:val="24"/>
          <w:szCs w:val="24"/>
          <w:lang w:val="en-IN" w:eastAsia="en-IN"/>
        </w:rPr>
        <w:drawing>
          <wp:inline distT="0" distB="0" distL="0" distR="0" wp14:anchorId="78DBD7AC" wp14:editId="1F368695">
            <wp:extent cx="5730875" cy="5279390"/>
            <wp:effectExtent l="0" t="0" r="3175" b="0"/>
            <wp:docPr id="11781677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0875" cy="5279390"/>
                    </a:xfrm>
                    <a:prstGeom prst="rect">
                      <a:avLst/>
                    </a:prstGeom>
                    <a:noFill/>
                  </pic:spPr>
                </pic:pic>
              </a:graphicData>
            </a:graphic>
          </wp:inline>
        </w:drawing>
      </w:r>
    </w:p>
    <w:p w14:paraId="64C2EDEF" w14:textId="711A4D39" w:rsidR="00D537E3" w:rsidRPr="006D11A6" w:rsidRDefault="00D537E3" w:rsidP="00D537E3">
      <w:pPr>
        <w:spacing w:after="0" w:line="240" w:lineRule="auto"/>
        <w:jc w:val="center"/>
        <w:rPr>
          <w:i/>
          <w:iCs/>
          <w:sz w:val="24"/>
          <w:szCs w:val="24"/>
        </w:rPr>
      </w:pPr>
      <w:r w:rsidRPr="006D11A6">
        <w:rPr>
          <w:b/>
          <w:bCs/>
          <w:i/>
          <w:iCs/>
          <w:sz w:val="24"/>
          <w:szCs w:val="24"/>
        </w:rPr>
        <w:t>Figure S2:</w:t>
      </w:r>
      <w:r w:rsidRPr="006D11A6">
        <w:rPr>
          <w:i/>
          <w:iCs/>
          <w:sz w:val="24"/>
          <w:szCs w:val="24"/>
        </w:rPr>
        <w:t xml:space="preserve"> Same as in Fig. 3, but for CMIP6 multimodel mean.</w:t>
      </w:r>
    </w:p>
    <w:p w14:paraId="07BAFDF5" w14:textId="77777777" w:rsidR="00D537E3" w:rsidRPr="006D11A6" w:rsidRDefault="00D537E3">
      <w:pPr>
        <w:rPr>
          <w:sz w:val="24"/>
          <w:szCs w:val="24"/>
        </w:rPr>
      </w:pPr>
      <w:r w:rsidRPr="006D11A6">
        <w:rPr>
          <w:sz w:val="24"/>
          <w:szCs w:val="24"/>
        </w:rPr>
        <w:br w:type="page"/>
      </w:r>
    </w:p>
    <w:p w14:paraId="1614C4D6" w14:textId="5DA86237" w:rsidR="00D537E3" w:rsidRPr="006D11A6" w:rsidRDefault="00D537E3" w:rsidP="00D537E3">
      <w:pPr>
        <w:spacing w:after="0" w:line="240" w:lineRule="auto"/>
        <w:jc w:val="center"/>
        <w:rPr>
          <w:sz w:val="24"/>
          <w:szCs w:val="24"/>
        </w:rPr>
      </w:pPr>
      <w:r w:rsidRPr="006D11A6">
        <w:rPr>
          <w:noProof/>
          <w:sz w:val="24"/>
          <w:szCs w:val="24"/>
          <w:lang w:val="en-IN" w:eastAsia="en-IN"/>
        </w:rPr>
        <w:drawing>
          <wp:inline distT="0" distB="0" distL="0" distR="0" wp14:anchorId="596280F1" wp14:editId="3379AB2B">
            <wp:extent cx="5730875" cy="5279390"/>
            <wp:effectExtent l="0" t="0" r="3175" b="0"/>
            <wp:docPr id="15466006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0875" cy="5279390"/>
                    </a:xfrm>
                    <a:prstGeom prst="rect">
                      <a:avLst/>
                    </a:prstGeom>
                    <a:noFill/>
                  </pic:spPr>
                </pic:pic>
              </a:graphicData>
            </a:graphic>
          </wp:inline>
        </w:drawing>
      </w:r>
    </w:p>
    <w:p w14:paraId="79D29C5A" w14:textId="018D31B4" w:rsidR="00D537E3" w:rsidRPr="006D11A6" w:rsidRDefault="00D537E3" w:rsidP="00D537E3">
      <w:pPr>
        <w:spacing w:after="0" w:line="240" w:lineRule="auto"/>
        <w:jc w:val="center"/>
        <w:rPr>
          <w:i/>
          <w:iCs/>
          <w:sz w:val="24"/>
          <w:szCs w:val="24"/>
        </w:rPr>
      </w:pPr>
      <w:r w:rsidRPr="006D11A6">
        <w:rPr>
          <w:b/>
          <w:bCs/>
          <w:i/>
          <w:iCs/>
          <w:sz w:val="24"/>
          <w:szCs w:val="24"/>
        </w:rPr>
        <w:t>Figure S3:</w:t>
      </w:r>
      <w:r w:rsidRPr="006D11A6">
        <w:rPr>
          <w:i/>
          <w:iCs/>
          <w:sz w:val="24"/>
          <w:szCs w:val="24"/>
        </w:rPr>
        <w:t xml:space="preserve"> Same as in Fig. 3, but for ICON-Sapphire.</w:t>
      </w:r>
    </w:p>
    <w:p w14:paraId="1F60572B" w14:textId="77777777" w:rsidR="00D537E3" w:rsidRPr="006D11A6" w:rsidRDefault="00D537E3">
      <w:pPr>
        <w:rPr>
          <w:sz w:val="24"/>
          <w:szCs w:val="24"/>
        </w:rPr>
      </w:pPr>
      <w:r w:rsidRPr="006D11A6">
        <w:rPr>
          <w:sz w:val="24"/>
          <w:szCs w:val="24"/>
        </w:rPr>
        <w:br w:type="page"/>
      </w:r>
    </w:p>
    <w:p w14:paraId="2F590E13" w14:textId="57D7EED7" w:rsidR="00D537E3" w:rsidRPr="006D11A6" w:rsidRDefault="00D537E3" w:rsidP="00D537E3">
      <w:pPr>
        <w:spacing w:after="0" w:line="240" w:lineRule="auto"/>
        <w:jc w:val="center"/>
        <w:rPr>
          <w:sz w:val="24"/>
          <w:szCs w:val="24"/>
        </w:rPr>
      </w:pPr>
      <w:r w:rsidRPr="006D11A6">
        <w:rPr>
          <w:noProof/>
          <w:sz w:val="24"/>
          <w:szCs w:val="24"/>
          <w:lang w:val="en-IN" w:eastAsia="en-IN"/>
        </w:rPr>
        <w:drawing>
          <wp:inline distT="0" distB="0" distL="0" distR="0" wp14:anchorId="5996FA5F" wp14:editId="664A9F8E">
            <wp:extent cx="5730875" cy="3755390"/>
            <wp:effectExtent l="0" t="0" r="3175" b="0"/>
            <wp:docPr id="5898127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0875" cy="3755390"/>
                    </a:xfrm>
                    <a:prstGeom prst="rect">
                      <a:avLst/>
                    </a:prstGeom>
                    <a:noFill/>
                  </pic:spPr>
                </pic:pic>
              </a:graphicData>
            </a:graphic>
          </wp:inline>
        </w:drawing>
      </w:r>
    </w:p>
    <w:p w14:paraId="67740534" w14:textId="2C67E2BC" w:rsidR="00D537E3" w:rsidRPr="006D11A6" w:rsidRDefault="00D537E3" w:rsidP="00D537E3">
      <w:pPr>
        <w:spacing w:after="0" w:line="240" w:lineRule="auto"/>
        <w:jc w:val="both"/>
        <w:rPr>
          <w:i/>
          <w:iCs/>
          <w:sz w:val="24"/>
          <w:szCs w:val="24"/>
        </w:rPr>
      </w:pPr>
      <w:r w:rsidRPr="006D11A6">
        <w:rPr>
          <w:b/>
          <w:bCs/>
          <w:i/>
          <w:iCs/>
          <w:sz w:val="24"/>
          <w:szCs w:val="24"/>
        </w:rPr>
        <w:t>Figure S4:</w:t>
      </w:r>
      <w:r w:rsidRPr="006D11A6">
        <w:rPr>
          <w:i/>
          <w:iCs/>
          <w:sz w:val="24"/>
          <w:szCs w:val="24"/>
        </w:rPr>
        <w:t xml:space="preserve"> Taylor diagrams of (a) annual mean and (b) seasonal cycle of tropical precipitation in the individual CMIP5 (red dots) and CMIP6 (blue dots) models, the CMIP5 (red diamond) and CMIP6 (blue diamond) multimodel means, and ICON-Sapphire (green diamond) against the observed precipitation from GPCP (black dot).</w:t>
      </w:r>
    </w:p>
    <w:p w14:paraId="6CB5227D" w14:textId="77777777" w:rsidR="00D537E3" w:rsidRPr="006D11A6" w:rsidRDefault="00D537E3">
      <w:pPr>
        <w:rPr>
          <w:sz w:val="24"/>
          <w:szCs w:val="24"/>
        </w:rPr>
      </w:pPr>
      <w:r w:rsidRPr="006D11A6">
        <w:rPr>
          <w:sz w:val="24"/>
          <w:szCs w:val="24"/>
        </w:rPr>
        <w:br w:type="page"/>
      </w:r>
    </w:p>
    <w:p w14:paraId="45679CD2" w14:textId="367FBCFC" w:rsidR="00D537E3" w:rsidRPr="006D11A6" w:rsidRDefault="00D537E3" w:rsidP="00D537E3">
      <w:pPr>
        <w:spacing w:after="0" w:line="240" w:lineRule="auto"/>
        <w:jc w:val="center"/>
        <w:rPr>
          <w:sz w:val="24"/>
          <w:szCs w:val="24"/>
        </w:rPr>
      </w:pPr>
      <w:r w:rsidRPr="006D11A6">
        <w:rPr>
          <w:noProof/>
          <w:sz w:val="24"/>
          <w:szCs w:val="24"/>
          <w:lang w:val="en-IN" w:eastAsia="en-IN"/>
        </w:rPr>
        <w:drawing>
          <wp:inline distT="0" distB="0" distL="0" distR="0" wp14:anchorId="33B32754" wp14:editId="20C4BC7D">
            <wp:extent cx="5730875" cy="7486650"/>
            <wp:effectExtent l="0" t="0" r="3175" b="0"/>
            <wp:docPr id="20101721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0875" cy="7486650"/>
                    </a:xfrm>
                    <a:prstGeom prst="rect">
                      <a:avLst/>
                    </a:prstGeom>
                    <a:noFill/>
                  </pic:spPr>
                </pic:pic>
              </a:graphicData>
            </a:graphic>
          </wp:inline>
        </w:drawing>
      </w:r>
    </w:p>
    <w:p w14:paraId="481A2876" w14:textId="7799C365" w:rsidR="00D537E3" w:rsidRPr="006D11A6" w:rsidRDefault="00D537E3" w:rsidP="00D537E3">
      <w:pPr>
        <w:spacing w:after="0" w:line="240" w:lineRule="auto"/>
        <w:jc w:val="center"/>
        <w:rPr>
          <w:i/>
          <w:iCs/>
          <w:sz w:val="24"/>
          <w:szCs w:val="24"/>
        </w:rPr>
      </w:pPr>
      <w:r w:rsidRPr="006D11A6">
        <w:rPr>
          <w:b/>
          <w:bCs/>
          <w:i/>
          <w:iCs/>
          <w:sz w:val="24"/>
          <w:szCs w:val="24"/>
        </w:rPr>
        <w:t>Figure S5:</w:t>
      </w:r>
      <w:r w:rsidRPr="006D11A6">
        <w:rPr>
          <w:i/>
          <w:iCs/>
          <w:sz w:val="24"/>
          <w:szCs w:val="24"/>
        </w:rPr>
        <w:t xml:space="preserve"> Same as in Figs. 4a,c, but for CMIP5 multimodel mean.</w:t>
      </w:r>
    </w:p>
    <w:p w14:paraId="0369B50D" w14:textId="77777777" w:rsidR="00D537E3" w:rsidRPr="006D11A6" w:rsidRDefault="00D537E3">
      <w:pPr>
        <w:rPr>
          <w:sz w:val="24"/>
          <w:szCs w:val="24"/>
        </w:rPr>
      </w:pPr>
      <w:r w:rsidRPr="006D11A6">
        <w:rPr>
          <w:sz w:val="24"/>
          <w:szCs w:val="24"/>
        </w:rPr>
        <w:br w:type="page"/>
      </w:r>
    </w:p>
    <w:p w14:paraId="191C98B0" w14:textId="6A6F89BD" w:rsidR="00D537E3" w:rsidRPr="006D11A6" w:rsidRDefault="00D537E3" w:rsidP="00D537E3">
      <w:pPr>
        <w:spacing w:after="0" w:line="240" w:lineRule="auto"/>
        <w:jc w:val="center"/>
        <w:rPr>
          <w:sz w:val="24"/>
          <w:szCs w:val="24"/>
        </w:rPr>
      </w:pPr>
      <w:r w:rsidRPr="006D11A6">
        <w:rPr>
          <w:noProof/>
          <w:sz w:val="24"/>
          <w:szCs w:val="24"/>
          <w:lang w:val="en-IN" w:eastAsia="en-IN"/>
        </w:rPr>
        <w:drawing>
          <wp:inline distT="0" distB="0" distL="0" distR="0" wp14:anchorId="24E4FC61" wp14:editId="6856F12F">
            <wp:extent cx="5730875" cy="3413760"/>
            <wp:effectExtent l="0" t="0" r="3175" b="0"/>
            <wp:docPr id="2178080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0875" cy="3413760"/>
                    </a:xfrm>
                    <a:prstGeom prst="rect">
                      <a:avLst/>
                    </a:prstGeom>
                    <a:noFill/>
                  </pic:spPr>
                </pic:pic>
              </a:graphicData>
            </a:graphic>
          </wp:inline>
        </w:drawing>
      </w:r>
    </w:p>
    <w:p w14:paraId="3DCDD5B8" w14:textId="3F51B5D1" w:rsidR="00D537E3" w:rsidRPr="006D11A6" w:rsidRDefault="00D537E3" w:rsidP="00D537E3">
      <w:pPr>
        <w:spacing w:after="0" w:line="240" w:lineRule="auto"/>
        <w:jc w:val="both"/>
        <w:rPr>
          <w:i/>
          <w:iCs/>
          <w:sz w:val="24"/>
          <w:szCs w:val="24"/>
        </w:rPr>
      </w:pPr>
      <w:r w:rsidRPr="006D11A6">
        <w:rPr>
          <w:b/>
          <w:bCs/>
          <w:i/>
          <w:iCs/>
          <w:sz w:val="24"/>
          <w:szCs w:val="24"/>
        </w:rPr>
        <w:t>Figure S6:</w:t>
      </w:r>
      <w:r w:rsidRPr="006D11A6">
        <w:rPr>
          <w:i/>
          <w:iCs/>
          <w:sz w:val="24"/>
          <w:szCs w:val="24"/>
        </w:rPr>
        <w:t xml:space="preserve"> Taylor diagrams of tropical precipitation bias in (a) annual mean and (b) seasonal cycle in the individual CMIP5 (red dots) and CMIP6 (blue dots) models, with the bias in CMIP5/CMIP6 multimodel mean precipitation as reference (black dot).</w:t>
      </w:r>
    </w:p>
    <w:p w14:paraId="33A269CB" w14:textId="77777777" w:rsidR="00D537E3" w:rsidRPr="006D11A6" w:rsidRDefault="00D537E3">
      <w:pPr>
        <w:rPr>
          <w:sz w:val="24"/>
          <w:szCs w:val="24"/>
        </w:rPr>
      </w:pPr>
      <w:r w:rsidRPr="006D11A6">
        <w:rPr>
          <w:sz w:val="24"/>
          <w:szCs w:val="24"/>
        </w:rPr>
        <w:br w:type="page"/>
      </w:r>
    </w:p>
    <w:p w14:paraId="4E7E3570" w14:textId="16C2C3C9" w:rsidR="00D537E3" w:rsidRPr="006D11A6" w:rsidRDefault="00D537E3" w:rsidP="00D537E3">
      <w:pPr>
        <w:spacing w:after="0" w:line="240" w:lineRule="auto"/>
        <w:jc w:val="center"/>
        <w:rPr>
          <w:sz w:val="24"/>
          <w:szCs w:val="24"/>
        </w:rPr>
      </w:pPr>
      <w:r w:rsidRPr="006D11A6">
        <w:rPr>
          <w:noProof/>
          <w:sz w:val="24"/>
          <w:szCs w:val="24"/>
          <w:lang w:val="en-IN" w:eastAsia="en-IN"/>
        </w:rPr>
        <w:drawing>
          <wp:inline distT="0" distB="0" distL="0" distR="0" wp14:anchorId="2AC8F465" wp14:editId="24922C86">
            <wp:extent cx="5730875" cy="6297930"/>
            <wp:effectExtent l="0" t="0" r="3175" b="7620"/>
            <wp:docPr id="15288544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0875" cy="6297930"/>
                    </a:xfrm>
                    <a:prstGeom prst="rect">
                      <a:avLst/>
                    </a:prstGeom>
                    <a:noFill/>
                  </pic:spPr>
                </pic:pic>
              </a:graphicData>
            </a:graphic>
          </wp:inline>
        </w:drawing>
      </w:r>
    </w:p>
    <w:p w14:paraId="70AB69D2" w14:textId="25BE3F54" w:rsidR="00D537E3" w:rsidRPr="006D11A6" w:rsidRDefault="00D537E3" w:rsidP="00D537E3">
      <w:pPr>
        <w:spacing w:after="0" w:line="240" w:lineRule="auto"/>
        <w:jc w:val="center"/>
        <w:rPr>
          <w:i/>
          <w:iCs/>
          <w:sz w:val="24"/>
          <w:szCs w:val="24"/>
        </w:rPr>
      </w:pPr>
      <w:r w:rsidRPr="006D11A6">
        <w:rPr>
          <w:b/>
          <w:bCs/>
          <w:i/>
          <w:iCs/>
          <w:sz w:val="24"/>
          <w:szCs w:val="24"/>
        </w:rPr>
        <w:t>Figure S7:</w:t>
      </w:r>
      <w:r w:rsidRPr="006D11A6">
        <w:rPr>
          <w:i/>
          <w:iCs/>
          <w:sz w:val="24"/>
          <w:szCs w:val="24"/>
        </w:rPr>
        <w:t xml:space="preserve"> Same as in Fig. 7, but for CMIP5 multimodel mean.</w:t>
      </w:r>
    </w:p>
    <w:p w14:paraId="1E61B9D6" w14:textId="77777777" w:rsidR="00D537E3" w:rsidRPr="006D11A6" w:rsidRDefault="00D537E3">
      <w:pPr>
        <w:rPr>
          <w:sz w:val="24"/>
          <w:szCs w:val="24"/>
        </w:rPr>
      </w:pPr>
      <w:r w:rsidRPr="006D11A6">
        <w:rPr>
          <w:sz w:val="24"/>
          <w:szCs w:val="24"/>
        </w:rPr>
        <w:br w:type="page"/>
      </w:r>
    </w:p>
    <w:p w14:paraId="2C8D7E68" w14:textId="3CA8FAD1" w:rsidR="00D537E3" w:rsidRPr="006D11A6" w:rsidRDefault="00D537E3" w:rsidP="00D537E3">
      <w:pPr>
        <w:spacing w:after="0" w:line="240" w:lineRule="auto"/>
        <w:jc w:val="center"/>
        <w:rPr>
          <w:sz w:val="24"/>
          <w:szCs w:val="24"/>
        </w:rPr>
      </w:pPr>
      <w:r w:rsidRPr="006D11A6">
        <w:rPr>
          <w:noProof/>
          <w:sz w:val="24"/>
          <w:szCs w:val="24"/>
          <w:lang w:val="en-IN" w:eastAsia="en-IN"/>
        </w:rPr>
        <w:drawing>
          <wp:inline distT="0" distB="0" distL="0" distR="0" wp14:anchorId="504FBDCE" wp14:editId="2435BD39">
            <wp:extent cx="5730875" cy="3944620"/>
            <wp:effectExtent l="0" t="0" r="3175" b="0"/>
            <wp:docPr id="5981257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0875" cy="3944620"/>
                    </a:xfrm>
                    <a:prstGeom prst="rect">
                      <a:avLst/>
                    </a:prstGeom>
                    <a:noFill/>
                  </pic:spPr>
                </pic:pic>
              </a:graphicData>
            </a:graphic>
          </wp:inline>
        </w:drawing>
      </w:r>
    </w:p>
    <w:p w14:paraId="29168421" w14:textId="086ACF38" w:rsidR="00B12E3A" w:rsidRPr="006D11A6" w:rsidRDefault="00D537E3" w:rsidP="00D537E3">
      <w:pPr>
        <w:spacing w:after="0" w:line="240" w:lineRule="auto"/>
        <w:jc w:val="center"/>
        <w:rPr>
          <w:i/>
          <w:iCs/>
          <w:sz w:val="24"/>
          <w:szCs w:val="24"/>
        </w:rPr>
      </w:pPr>
      <w:r w:rsidRPr="006D11A6">
        <w:rPr>
          <w:b/>
          <w:bCs/>
          <w:i/>
          <w:iCs/>
          <w:sz w:val="24"/>
          <w:szCs w:val="24"/>
        </w:rPr>
        <w:t>Figure S8:</w:t>
      </w:r>
      <w:r w:rsidRPr="006D11A6">
        <w:rPr>
          <w:i/>
          <w:iCs/>
          <w:sz w:val="24"/>
          <w:szCs w:val="24"/>
        </w:rPr>
        <w:t xml:space="preserve"> Same as in Fig. 8, but for CMIP5 multimodel mean.</w:t>
      </w:r>
    </w:p>
    <w:p w14:paraId="049C3C23" w14:textId="77777777" w:rsidR="00B12E3A" w:rsidRPr="006D11A6" w:rsidRDefault="00B12E3A">
      <w:pPr>
        <w:rPr>
          <w:i/>
          <w:iCs/>
          <w:sz w:val="24"/>
          <w:szCs w:val="24"/>
        </w:rPr>
      </w:pPr>
      <w:r w:rsidRPr="006D11A6">
        <w:rPr>
          <w:i/>
          <w:iCs/>
          <w:sz w:val="24"/>
          <w:szCs w:val="24"/>
        </w:rPr>
        <w:br w:type="page"/>
      </w:r>
    </w:p>
    <w:p w14:paraId="7AB4E2B9" w14:textId="16CB83DC" w:rsidR="00D537E3" w:rsidRPr="005B767E" w:rsidRDefault="00B12E3A" w:rsidP="006D11A6">
      <w:pPr>
        <w:pStyle w:val="Heading2"/>
        <w:rPr>
          <w:b/>
          <w:bCs/>
          <w:color w:val="000000" w:themeColor="text1"/>
        </w:rPr>
      </w:pPr>
      <w:r w:rsidRPr="005B767E">
        <w:rPr>
          <w:b/>
          <w:bCs/>
          <w:color w:val="000000" w:themeColor="text1"/>
        </w:rPr>
        <w:t>Text S1. Approaches to Calculate Humidity Fields of ICON-Sapphire at Surface Level</w:t>
      </w:r>
    </w:p>
    <w:p w14:paraId="5E4DDB30" w14:textId="77777777" w:rsidR="00B12E3A" w:rsidRPr="006D11A6" w:rsidRDefault="00B12E3A" w:rsidP="00B12E3A">
      <w:pPr>
        <w:spacing w:after="0" w:line="240" w:lineRule="auto"/>
        <w:jc w:val="both"/>
        <w:rPr>
          <w:sz w:val="24"/>
          <w:szCs w:val="24"/>
        </w:rPr>
      </w:pPr>
    </w:p>
    <w:p w14:paraId="002A756D" w14:textId="5BEA355C" w:rsidR="00B12E3A" w:rsidRPr="006D11A6" w:rsidRDefault="00B12E3A" w:rsidP="00B12E3A">
      <w:pPr>
        <w:spacing w:after="0" w:line="240" w:lineRule="auto"/>
        <w:jc w:val="both"/>
        <w:rPr>
          <w:sz w:val="24"/>
          <w:szCs w:val="24"/>
        </w:rPr>
      </w:pPr>
      <w:r w:rsidRPr="006D11A6">
        <w:rPr>
          <w:sz w:val="24"/>
          <w:szCs w:val="24"/>
        </w:rPr>
        <w:t>As stated in the main text, humidity fields (</w:t>
      </w:r>
      <m:oMath>
        <m:r>
          <w:rPr>
            <w:rFonts w:ascii="Cambria Math" w:hAnsi="Cambria Math"/>
            <w:sz w:val="24"/>
            <w:szCs w:val="24"/>
          </w:rPr>
          <m:t>q</m:t>
        </m:r>
      </m:oMath>
      <w:r w:rsidRPr="006D11A6">
        <w:rPr>
          <w:rFonts w:eastAsiaTheme="minorEastAsia"/>
          <w:sz w:val="24"/>
          <w:szCs w:val="24"/>
        </w:rPr>
        <w:t xml:space="preserve"> and </w:t>
      </w:r>
      <m:oMath>
        <m:r>
          <w:rPr>
            <w:rFonts w:ascii="Cambria Math" w:eastAsiaTheme="minorEastAsia" w:hAnsi="Cambria Math"/>
            <w:sz w:val="24"/>
            <w:szCs w:val="24"/>
          </w:rPr>
          <m:t>rq</m:t>
        </m:r>
      </m:oMath>
      <w:r w:rsidRPr="006D11A6">
        <w:rPr>
          <w:sz w:val="24"/>
          <w:szCs w:val="24"/>
        </w:rPr>
        <w:t>) of ICON-Sapphire are only available at its lowest model level, about 25 m above the surface. Here we outline several approaches to estimate the field values at the surface.</w:t>
      </w:r>
    </w:p>
    <w:p w14:paraId="1D71665C" w14:textId="77777777" w:rsidR="00B12E3A" w:rsidRPr="006D11A6" w:rsidRDefault="00B12E3A" w:rsidP="00B12E3A">
      <w:pPr>
        <w:spacing w:after="0" w:line="240" w:lineRule="auto"/>
        <w:jc w:val="both"/>
        <w:rPr>
          <w:sz w:val="24"/>
          <w:szCs w:val="24"/>
        </w:rPr>
      </w:pPr>
      <w:bookmarkStart w:id="0" w:name="_GoBack"/>
      <w:bookmarkEnd w:id="0"/>
    </w:p>
    <w:p w14:paraId="0618E129" w14:textId="4C77BB74" w:rsidR="00B12E3A" w:rsidRPr="006D11A6" w:rsidRDefault="00B12E3A" w:rsidP="00B12E3A">
      <w:pPr>
        <w:pStyle w:val="ListParagraph"/>
        <w:numPr>
          <w:ilvl w:val="0"/>
          <w:numId w:val="1"/>
        </w:numPr>
        <w:spacing w:after="0" w:line="240" w:lineRule="auto"/>
        <w:jc w:val="both"/>
        <w:rPr>
          <w:sz w:val="24"/>
          <w:szCs w:val="24"/>
        </w:rPr>
      </w:pPr>
      <w:r w:rsidRPr="006D11A6">
        <w:rPr>
          <w:sz w:val="24"/>
          <w:szCs w:val="24"/>
        </w:rPr>
        <w:t>Global Mean Multiplication</w:t>
      </w:r>
    </w:p>
    <w:p w14:paraId="50177633" w14:textId="232B612D" w:rsidR="000502D1" w:rsidRPr="006D11A6" w:rsidRDefault="00732F28" w:rsidP="00732F28">
      <w:pPr>
        <w:spacing w:after="0" w:line="240" w:lineRule="auto"/>
        <w:ind w:left="720"/>
        <w:jc w:val="both"/>
        <w:rPr>
          <w:sz w:val="24"/>
          <w:szCs w:val="24"/>
        </w:rPr>
      </w:pPr>
      <w:r w:rsidRPr="006D11A6">
        <w:rPr>
          <w:sz w:val="24"/>
          <w:szCs w:val="24"/>
        </w:rPr>
        <w:t>To estimate the field values at surface level, we scale the original field values using a scaling factor. This scaling factor is defined as the ratio between ERA5’s global mean value of the field and that of ICON-Sapphire’s. In this approach, the ICON-Sapphire’s original field value at each grid point is multiplied by the scaling factor. For example, ICON-Sapphire’s specific humidity at surface level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ICON-Sapphire</m:t>
            </m:r>
          </m:sub>
        </m:sSub>
      </m:oMath>
      <w:r w:rsidRPr="006D11A6">
        <w:rPr>
          <w:sz w:val="24"/>
          <w:szCs w:val="24"/>
        </w:rPr>
        <w:t>) is estimated from its original specific humidity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ori,ICON-Sapphire</m:t>
            </m:r>
          </m:sub>
        </m:sSub>
      </m:oMath>
      <w:r w:rsidRPr="006D11A6">
        <w:rPr>
          <w:rFonts w:eastAsiaTheme="minorEastAsia"/>
          <w:sz w:val="24"/>
          <w:szCs w:val="24"/>
        </w:rPr>
        <w:t>; i.e., at 25 m level</w:t>
      </w:r>
      <w:r w:rsidRPr="006D11A6">
        <w:rPr>
          <w:sz w:val="24"/>
          <w:szCs w:val="24"/>
        </w:rPr>
        <w:t>) as</w:t>
      </w:r>
    </w:p>
    <w:p w14:paraId="4DDB5FD5" w14:textId="4D71A325" w:rsidR="00FF663F" w:rsidRPr="006D11A6" w:rsidRDefault="005834DA" w:rsidP="00732F28">
      <w:pPr>
        <w:spacing w:after="0" w:line="240" w:lineRule="auto"/>
        <w:ind w:left="720"/>
        <w:jc w:val="both"/>
        <w:rPr>
          <w:rFonts w:eastAsiaTheme="minorEastAsia"/>
          <w:sz w:val="24"/>
          <w:szCs w:val="24"/>
        </w:rPr>
      </w:pPr>
      <m:oMathPara>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ICON</m:t>
              </m:r>
              <m:r>
                <w:rPr>
                  <w:rFonts w:ascii="Cambria Math" w:hAnsi="Cambria Math"/>
                  <w:sz w:val="24"/>
                  <w:szCs w:val="24"/>
                </w:rPr>
                <m:t>-</m:t>
              </m:r>
              <m:r>
                <w:rPr>
                  <w:rFonts w:ascii="Cambria Math" w:hAnsi="Cambria Math"/>
                  <w:sz w:val="24"/>
                  <w:szCs w:val="24"/>
                </w:rPr>
                <m:t>Sapp</m:t>
              </m:r>
              <m:r>
                <w:rPr>
                  <w:rFonts w:ascii="Cambria Math" w:hAnsi="Cambria Math"/>
                  <w:sz w:val="24"/>
                  <w:szCs w:val="24"/>
                </w:rPr>
                <m:t>h</m:t>
              </m:r>
              <m:r>
                <w:rPr>
                  <w:rFonts w:ascii="Cambria Math" w:hAnsi="Cambria Math"/>
                  <w:sz w:val="24"/>
                  <w:szCs w:val="24"/>
                </w:rPr>
                <m:t>ire</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ori</m:t>
              </m:r>
              <m:r>
                <w:rPr>
                  <w:rFonts w:ascii="Cambria Math" w:hAnsi="Cambria Math"/>
                  <w:sz w:val="24"/>
                  <w:szCs w:val="24"/>
                </w:rPr>
                <m:t>,</m:t>
              </m:r>
              <m:r>
                <w:rPr>
                  <w:rFonts w:ascii="Cambria Math" w:hAnsi="Cambria Math"/>
                  <w:sz w:val="24"/>
                  <w:szCs w:val="24"/>
                </w:rPr>
                <m:t>ICON</m:t>
              </m:r>
              <m:r>
                <w:rPr>
                  <w:rFonts w:ascii="Cambria Math" w:hAnsi="Cambria Math"/>
                  <w:sz w:val="24"/>
                  <w:szCs w:val="24"/>
                </w:rPr>
                <m:t>-</m:t>
              </m:r>
              <m:r>
                <w:rPr>
                  <w:rFonts w:ascii="Cambria Math" w:hAnsi="Cambria Math"/>
                  <w:sz w:val="24"/>
                  <w:szCs w:val="24"/>
                </w:rPr>
                <m:t>Sapp</m:t>
              </m:r>
              <m:r>
                <w:rPr>
                  <w:rFonts w:ascii="Cambria Math" w:hAnsi="Cambria Math"/>
                  <w:sz w:val="24"/>
                  <w:szCs w:val="24"/>
                </w:rPr>
                <m:t>h</m:t>
              </m:r>
              <m:r>
                <w:rPr>
                  <w:rFonts w:ascii="Cambria Math" w:hAnsi="Cambria Math"/>
                  <w:sz w:val="24"/>
                  <w:szCs w:val="24"/>
                </w:rPr>
                <m:t>ire</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q</m:t>
                      </m:r>
                    </m:e>
                  </m:acc>
                </m:e>
                <m:sub>
                  <m:r>
                    <w:rPr>
                      <w:rFonts w:ascii="Cambria Math" w:hAnsi="Cambria Math"/>
                      <w:sz w:val="24"/>
                      <w:szCs w:val="24"/>
                    </w:rPr>
                    <m:t>ERA</m:t>
                  </m:r>
                  <m:r>
                    <w:rPr>
                      <w:rFonts w:ascii="Cambria Math" w:hAnsi="Cambria Math"/>
                      <w:sz w:val="24"/>
                      <w:szCs w:val="24"/>
                    </w:rPr>
                    <m:t>5</m:t>
                  </m:r>
                </m:sub>
              </m:sSub>
            </m:num>
            <m:den>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q</m:t>
                      </m:r>
                    </m:e>
                  </m:acc>
                </m:e>
                <m:sub>
                  <m:r>
                    <w:rPr>
                      <w:rFonts w:ascii="Cambria Math" w:hAnsi="Cambria Math"/>
                      <w:sz w:val="24"/>
                      <w:szCs w:val="24"/>
                    </w:rPr>
                    <m:t>ori</m:t>
                  </m:r>
                  <m:r>
                    <w:rPr>
                      <w:rFonts w:ascii="Cambria Math" w:hAnsi="Cambria Math"/>
                      <w:sz w:val="24"/>
                      <w:szCs w:val="24"/>
                    </w:rPr>
                    <m:t>,</m:t>
                  </m:r>
                  <m:r>
                    <w:rPr>
                      <w:rFonts w:ascii="Cambria Math" w:hAnsi="Cambria Math"/>
                      <w:sz w:val="24"/>
                      <w:szCs w:val="24"/>
                    </w:rPr>
                    <m:t>ICON</m:t>
                  </m:r>
                  <m:r>
                    <w:rPr>
                      <w:rFonts w:ascii="Cambria Math" w:hAnsi="Cambria Math"/>
                      <w:sz w:val="24"/>
                      <w:szCs w:val="24"/>
                    </w:rPr>
                    <m:t>-</m:t>
                  </m:r>
                  <m:r>
                    <w:rPr>
                      <w:rFonts w:ascii="Cambria Math" w:hAnsi="Cambria Math"/>
                      <w:sz w:val="24"/>
                      <w:szCs w:val="24"/>
                    </w:rPr>
                    <m:t>Sapp</m:t>
                  </m:r>
                  <m:r>
                    <w:rPr>
                      <w:rFonts w:ascii="Cambria Math" w:hAnsi="Cambria Math"/>
                      <w:sz w:val="24"/>
                      <w:szCs w:val="24"/>
                    </w:rPr>
                    <m:t>h</m:t>
                  </m:r>
                  <m:r>
                    <w:rPr>
                      <w:rFonts w:ascii="Cambria Math" w:hAnsi="Cambria Math"/>
                      <w:sz w:val="24"/>
                      <w:szCs w:val="24"/>
                    </w:rPr>
                    <m:t>ire</m:t>
                  </m:r>
                </m:sub>
              </m:sSub>
            </m:den>
          </m:f>
        </m:oMath>
      </m:oMathPara>
    </w:p>
    <w:p w14:paraId="731889B1" w14:textId="4A32AA92" w:rsidR="00FF663F" w:rsidRPr="006D11A6" w:rsidRDefault="00FF663F" w:rsidP="006D11A6">
      <w:pPr>
        <w:spacing w:after="0" w:line="240" w:lineRule="auto"/>
        <w:ind w:left="720"/>
        <w:jc w:val="both"/>
        <w:rPr>
          <w:sz w:val="24"/>
          <w:szCs w:val="24"/>
        </w:rPr>
      </w:pPr>
      <w:r w:rsidRPr="006D11A6">
        <w:rPr>
          <w:sz w:val="24"/>
          <w:szCs w:val="24"/>
        </w:rPr>
        <w:t xml:space="preserve">where the bar denotes global mean value (i.e., averaged over the whole global domain). This is the approach we choose to use in pre-processing ICON-Sapphire’s data for the analyses. </w:t>
      </w:r>
    </w:p>
    <w:p w14:paraId="5FB46CF1" w14:textId="1E770949" w:rsidR="00B12E3A" w:rsidRPr="006D11A6" w:rsidRDefault="00B12E3A" w:rsidP="00B12E3A">
      <w:pPr>
        <w:pStyle w:val="ListParagraph"/>
        <w:numPr>
          <w:ilvl w:val="0"/>
          <w:numId w:val="1"/>
        </w:numPr>
        <w:spacing w:after="0" w:line="240" w:lineRule="auto"/>
        <w:jc w:val="both"/>
        <w:rPr>
          <w:sz w:val="24"/>
          <w:szCs w:val="24"/>
        </w:rPr>
      </w:pPr>
      <w:r w:rsidRPr="006D11A6">
        <w:rPr>
          <w:sz w:val="24"/>
          <w:szCs w:val="24"/>
        </w:rPr>
        <w:t>Global Mean Addition</w:t>
      </w:r>
    </w:p>
    <w:p w14:paraId="763B289B" w14:textId="2DB12E0A" w:rsidR="00FF663F" w:rsidRPr="006D11A6" w:rsidRDefault="00FF663F" w:rsidP="00FF663F">
      <w:pPr>
        <w:spacing w:after="0" w:line="240" w:lineRule="auto"/>
        <w:ind w:left="720"/>
        <w:jc w:val="both"/>
        <w:rPr>
          <w:sz w:val="24"/>
          <w:szCs w:val="24"/>
        </w:rPr>
      </w:pPr>
      <w:r w:rsidRPr="006D11A6">
        <w:rPr>
          <w:sz w:val="24"/>
          <w:szCs w:val="24"/>
        </w:rPr>
        <w:t xml:space="preserve">In this approach, we use addition instead of multiplication to adjust the field value at each grid point. </w:t>
      </w:r>
      <w:r w:rsidR="00200167" w:rsidRPr="006D11A6">
        <w:rPr>
          <w:sz w:val="24"/>
          <w:szCs w:val="24"/>
        </w:rPr>
        <w:t>For example,</w:t>
      </w:r>
    </w:p>
    <w:p w14:paraId="0C1298DF" w14:textId="75A7255C" w:rsidR="00200167" w:rsidRPr="006D11A6" w:rsidRDefault="005834DA" w:rsidP="006D11A6">
      <w:pPr>
        <w:spacing w:after="0" w:line="240" w:lineRule="auto"/>
        <w:ind w:left="720"/>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ICON</m:t>
              </m:r>
              <m:r>
                <w:rPr>
                  <w:rFonts w:ascii="Cambria Math" w:hAnsi="Cambria Math"/>
                  <w:sz w:val="24"/>
                  <w:szCs w:val="24"/>
                </w:rPr>
                <m:t>-</m:t>
              </m:r>
              <m:r>
                <w:rPr>
                  <w:rFonts w:ascii="Cambria Math" w:hAnsi="Cambria Math"/>
                  <w:sz w:val="24"/>
                  <w:szCs w:val="24"/>
                </w:rPr>
                <m:t>Sapp</m:t>
              </m:r>
              <m:r>
                <w:rPr>
                  <w:rFonts w:ascii="Cambria Math" w:hAnsi="Cambria Math"/>
                  <w:sz w:val="24"/>
                  <w:szCs w:val="24"/>
                </w:rPr>
                <m:t>h</m:t>
              </m:r>
              <m:r>
                <w:rPr>
                  <w:rFonts w:ascii="Cambria Math" w:hAnsi="Cambria Math"/>
                  <w:sz w:val="24"/>
                  <w:szCs w:val="24"/>
                </w:rPr>
                <m:t>ire</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ori</m:t>
              </m:r>
              <m:r>
                <w:rPr>
                  <w:rFonts w:ascii="Cambria Math" w:hAnsi="Cambria Math"/>
                  <w:sz w:val="24"/>
                  <w:szCs w:val="24"/>
                </w:rPr>
                <m:t>,</m:t>
              </m:r>
              <m:r>
                <w:rPr>
                  <w:rFonts w:ascii="Cambria Math" w:hAnsi="Cambria Math"/>
                  <w:sz w:val="24"/>
                  <w:szCs w:val="24"/>
                </w:rPr>
                <m:t>ICON</m:t>
              </m:r>
              <m:r>
                <w:rPr>
                  <w:rFonts w:ascii="Cambria Math" w:hAnsi="Cambria Math"/>
                  <w:sz w:val="24"/>
                  <w:szCs w:val="24"/>
                </w:rPr>
                <m:t>-</m:t>
              </m:r>
              <m:r>
                <w:rPr>
                  <w:rFonts w:ascii="Cambria Math" w:hAnsi="Cambria Math"/>
                  <w:sz w:val="24"/>
                  <w:szCs w:val="24"/>
                </w:rPr>
                <m:t>Sapp</m:t>
              </m:r>
              <m:r>
                <w:rPr>
                  <w:rFonts w:ascii="Cambria Math" w:hAnsi="Cambria Math"/>
                  <w:sz w:val="24"/>
                  <w:szCs w:val="24"/>
                </w:rPr>
                <m:t>h</m:t>
              </m:r>
              <m:r>
                <w:rPr>
                  <w:rFonts w:ascii="Cambria Math" w:hAnsi="Cambria Math"/>
                  <w:sz w:val="24"/>
                  <w:szCs w:val="24"/>
                </w:rPr>
                <m:t>ire</m:t>
              </m:r>
            </m:sub>
          </m:sSub>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q</m:t>
                      </m:r>
                    </m:e>
                  </m:acc>
                </m:e>
                <m:sub>
                  <m:r>
                    <w:rPr>
                      <w:rFonts w:ascii="Cambria Math" w:hAnsi="Cambria Math"/>
                      <w:sz w:val="24"/>
                      <w:szCs w:val="24"/>
                    </w:rPr>
                    <m:t>ERA</m:t>
                  </m:r>
                  <m:r>
                    <w:rPr>
                      <w:rFonts w:ascii="Cambria Math" w:hAnsi="Cambria Math"/>
                      <w:sz w:val="24"/>
                      <w:szCs w:val="24"/>
                    </w:rPr>
                    <m:t>5</m:t>
                  </m:r>
                </m:sub>
              </m:sSub>
              <m:r>
                <w:rPr>
                  <w:rFonts w:ascii="Cambria Math" w:hAnsi="Cambria Math"/>
                  <w:sz w:val="24"/>
                  <w:szCs w:val="24"/>
                </w:rPr>
                <m:t>-</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q</m:t>
                      </m:r>
                    </m:e>
                  </m:acc>
                </m:e>
                <m:sub>
                  <m:r>
                    <w:rPr>
                      <w:rFonts w:ascii="Cambria Math" w:hAnsi="Cambria Math"/>
                      <w:sz w:val="24"/>
                      <w:szCs w:val="24"/>
                    </w:rPr>
                    <m:t>ori</m:t>
                  </m:r>
                  <m:r>
                    <w:rPr>
                      <w:rFonts w:ascii="Cambria Math" w:hAnsi="Cambria Math"/>
                      <w:sz w:val="24"/>
                      <w:szCs w:val="24"/>
                    </w:rPr>
                    <m:t>,</m:t>
                  </m:r>
                  <m:r>
                    <w:rPr>
                      <w:rFonts w:ascii="Cambria Math" w:hAnsi="Cambria Math"/>
                      <w:sz w:val="24"/>
                      <w:szCs w:val="24"/>
                    </w:rPr>
                    <m:t>ICON</m:t>
                  </m:r>
                  <m:r>
                    <w:rPr>
                      <w:rFonts w:ascii="Cambria Math" w:hAnsi="Cambria Math"/>
                      <w:sz w:val="24"/>
                      <w:szCs w:val="24"/>
                    </w:rPr>
                    <m:t>-</m:t>
                  </m:r>
                  <m:r>
                    <w:rPr>
                      <w:rFonts w:ascii="Cambria Math" w:hAnsi="Cambria Math"/>
                      <w:sz w:val="24"/>
                      <w:szCs w:val="24"/>
                    </w:rPr>
                    <m:t>Sapp</m:t>
                  </m:r>
                  <m:r>
                    <w:rPr>
                      <w:rFonts w:ascii="Cambria Math" w:hAnsi="Cambria Math"/>
                      <w:sz w:val="24"/>
                      <w:szCs w:val="24"/>
                    </w:rPr>
                    <m:t>h</m:t>
                  </m:r>
                  <m:r>
                    <w:rPr>
                      <w:rFonts w:ascii="Cambria Math" w:hAnsi="Cambria Math"/>
                      <w:sz w:val="24"/>
                      <w:szCs w:val="24"/>
                    </w:rPr>
                    <m:t>ire</m:t>
                  </m:r>
                </m:sub>
              </m:sSub>
            </m:e>
          </m:d>
        </m:oMath>
      </m:oMathPara>
    </w:p>
    <w:p w14:paraId="35649E57" w14:textId="769B6473" w:rsidR="00B12E3A" w:rsidRPr="006D11A6" w:rsidRDefault="00B12E3A" w:rsidP="00B12E3A">
      <w:pPr>
        <w:pStyle w:val="ListParagraph"/>
        <w:numPr>
          <w:ilvl w:val="0"/>
          <w:numId w:val="1"/>
        </w:numPr>
        <w:spacing w:after="0" w:line="240" w:lineRule="auto"/>
        <w:jc w:val="both"/>
        <w:rPr>
          <w:sz w:val="24"/>
          <w:szCs w:val="24"/>
        </w:rPr>
      </w:pPr>
      <w:r w:rsidRPr="006D11A6">
        <w:rPr>
          <w:sz w:val="24"/>
          <w:szCs w:val="24"/>
        </w:rPr>
        <w:t>Tropical Mean Multiplication</w:t>
      </w:r>
    </w:p>
    <w:p w14:paraId="6F212FF1" w14:textId="6CE85FC2" w:rsidR="00200167" w:rsidRPr="006D11A6" w:rsidRDefault="00200167" w:rsidP="006D11A6">
      <w:pPr>
        <w:spacing w:after="0" w:line="240" w:lineRule="auto"/>
        <w:ind w:left="720"/>
        <w:jc w:val="both"/>
        <w:rPr>
          <w:sz w:val="24"/>
          <w:szCs w:val="24"/>
        </w:rPr>
      </w:pPr>
      <w:r w:rsidRPr="006D11A6">
        <w:rPr>
          <w:sz w:val="24"/>
          <w:szCs w:val="24"/>
        </w:rPr>
        <w:t>This approach is similar to the first approach, but we use tropical mean values (i.e., averaged over 30°S-30°N) for the scaling factor, instead of the global mean.</w:t>
      </w:r>
    </w:p>
    <w:p w14:paraId="3F0CC416" w14:textId="06DE3A33" w:rsidR="00B12E3A" w:rsidRPr="006D11A6" w:rsidRDefault="00B12E3A" w:rsidP="00B12E3A">
      <w:pPr>
        <w:pStyle w:val="ListParagraph"/>
        <w:numPr>
          <w:ilvl w:val="0"/>
          <w:numId w:val="1"/>
        </w:numPr>
        <w:spacing w:after="0" w:line="240" w:lineRule="auto"/>
        <w:jc w:val="both"/>
        <w:rPr>
          <w:sz w:val="24"/>
          <w:szCs w:val="24"/>
        </w:rPr>
      </w:pPr>
      <w:r w:rsidRPr="006D11A6">
        <w:rPr>
          <w:sz w:val="24"/>
          <w:szCs w:val="24"/>
        </w:rPr>
        <w:t>Tropical Mean Addition</w:t>
      </w:r>
    </w:p>
    <w:p w14:paraId="04AB10D1" w14:textId="30826B8E" w:rsidR="00200167" w:rsidRPr="006D11A6" w:rsidRDefault="00200167" w:rsidP="00200167">
      <w:pPr>
        <w:spacing w:after="0" w:line="240" w:lineRule="auto"/>
        <w:ind w:left="720"/>
        <w:jc w:val="both"/>
        <w:rPr>
          <w:sz w:val="24"/>
          <w:szCs w:val="24"/>
        </w:rPr>
      </w:pPr>
      <w:r w:rsidRPr="006D11A6">
        <w:rPr>
          <w:sz w:val="24"/>
          <w:szCs w:val="24"/>
        </w:rPr>
        <w:t>This approach is similar to the second approach, but, as in the third approach, we use tropical mean values for the scaling factor.</w:t>
      </w:r>
    </w:p>
    <w:p w14:paraId="48FC2F9B" w14:textId="77777777" w:rsidR="00200167" w:rsidRPr="006D11A6" w:rsidRDefault="00200167" w:rsidP="00200167">
      <w:pPr>
        <w:spacing w:after="0" w:line="240" w:lineRule="auto"/>
        <w:jc w:val="both"/>
        <w:rPr>
          <w:sz w:val="24"/>
          <w:szCs w:val="24"/>
        </w:rPr>
      </w:pPr>
    </w:p>
    <w:p w14:paraId="3CA8059C" w14:textId="2961F43B" w:rsidR="00DE124B" w:rsidRPr="006D11A6" w:rsidRDefault="00DE124B" w:rsidP="006D11A6">
      <w:pPr>
        <w:spacing w:after="0" w:line="240" w:lineRule="auto"/>
        <w:jc w:val="both"/>
        <w:rPr>
          <w:sz w:val="24"/>
          <w:szCs w:val="24"/>
        </w:rPr>
      </w:pPr>
      <w:r w:rsidRPr="006D11A6">
        <w:rPr>
          <w:sz w:val="24"/>
          <w:szCs w:val="24"/>
        </w:rPr>
        <w:t xml:space="preserve">Different approaches produce slightly different values of the humidity fields, and therefore, slightly different </w:t>
      </w:r>
      <m:oMath>
        <m:r>
          <w:rPr>
            <w:rFonts w:ascii="Cambria Math" w:hAnsi="Cambria Math"/>
            <w:sz w:val="24"/>
            <w:szCs w:val="24"/>
          </w:rPr>
          <m:t>q</m:t>
        </m:r>
      </m:oMath>
      <w:r w:rsidRPr="006D11A6">
        <w:rPr>
          <w:rFonts w:eastAsiaTheme="minorEastAsia"/>
          <w:sz w:val="24"/>
          <w:szCs w:val="24"/>
        </w:rPr>
        <w:t xml:space="preserve"> and </w:t>
      </w:r>
      <m:oMath>
        <m:r>
          <w:rPr>
            <w:rFonts w:ascii="Cambria Math" w:eastAsiaTheme="minorEastAsia" w:hAnsi="Cambria Math"/>
            <w:sz w:val="24"/>
            <w:szCs w:val="24"/>
          </w:rPr>
          <m:t>rq</m:t>
        </m:r>
      </m:oMath>
      <w:r w:rsidRPr="006D11A6">
        <w:rPr>
          <w:rFonts w:eastAsiaTheme="minorEastAsia"/>
          <w:sz w:val="24"/>
          <w:szCs w:val="24"/>
        </w:rPr>
        <w:t xml:space="preserve"> mean bias fields (see Figs. 9a-b). However, the main results of the analyses (e.g., Fig. 10 and Fig. 11) do not show any significant changes when we use different approaches. The main conclusions, such as that </w:t>
      </w:r>
      <w:r w:rsidR="00413B5C" w:rsidRPr="006D11A6">
        <w:rPr>
          <w:rFonts w:eastAsiaTheme="minorEastAsia"/>
          <w:sz w:val="24"/>
          <w:szCs w:val="24"/>
        </w:rPr>
        <w:t>most biases in</w:t>
      </w:r>
      <w:r w:rsidR="00B7451F" w:rsidRPr="006D11A6">
        <w:rPr>
          <w:rFonts w:eastAsiaTheme="minorEastAsia"/>
          <w:sz w:val="24"/>
          <w:szCs w:val="24"/>
        </w:rPr>
        <w:t xml:space="preserve"> ICON-Sapphire</w:t>
      </w:r>
      <w:r w:rsidR="00413B5C" w:rsidRPr="006D11A6">
        <w:rPr>
          <w:rFonts w:eastAsiaTheme="minorEastAsia"/>
          <w:sz w:val="24"/>
          <w:szCs w:val="24"/>
        </w:rPr>
        <w:t xml:space="preserve"> precipitation are associated with mean circulation biases, remain the same and are not too sensitive to the choice of estimation approaches presented here.</w:t>
      </w:r>
      <w:r w:rsidR="00B7451F" w:rsidRPr="006D11A6">
        <w:rPr>
          <w:rFonts w:eastAsiaTheme="minorEastAsia"/>
          <w:sz w:val="24"/>
          <w:szCs w:val="24"/>
        </w:rPr>
        <w:t xml:space="preserve"> We do this estimation only to be consistently using the surface humidity fields when compared to ERA5 and CMIP models.</w:t>
      </w:r>
    </w:p>
    <w:sectPr w:rsidR="00DE124B" w:rsidRPr="006D11A6" w:rsidSect="00C730F0">
      <w:footerReference w:type="default" r:id="rId16"/>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FB185A" w14:textId="77777777" w:rsidR="00AD6930" w:rsidRDefault="00AD6930" w:rsidP="00692F03">
      <w:pPr>
        <w:spacing w:after="0" w:line="240" w:lineRule="auto"/>
      </w:pPr>
      <w:r>
        <w:separator/>
      </w:r>
    </w:p>
  </w:endnote>
  <w:endnote w:type="continuationSeparator" w:id="0">
    <w:p w14:paraId="03AB851E" w14:textId="77777777" w:rsidR="00AD6930" w:rsidRDefault="00AD6930" w:rsidP="00692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3692639"/>
      <w:docPartObj>
        <w:docPartGallery w:val="Page Numbers (Bottom of Page)"/>
        <w:docPartUnique/>
      </w:docPartObj>
    </w:sdtPr>
    <w:sdtEndPr>
      <w:rPr>
        <w:noProof/>
      </w:rPr>
    </w:sdtEndPr>
    <w:sdtContent>
      <w:p w14:paraId="3311B5F2" w14:textId="7D0561B6" w:rsidR="00692F03" w:rsidRDefault="00692F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57B382" w14:textId="77777777" w:rsidR="00692F03" w:rsidRDefault="00692F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3AF27E" w14:textId="77777777" w:rsidR="00AD6930" w:rsidRDefault="00AD6930" w:rsidP="00692F03">
      <w:pPr>
        <w:spacing w:after="0" w:line="240" w:lineRule="auto"/>
      </w:pPr>
      <w:r>
        <w:separator/>
      </w:r>
    </w:p>
  </w:footnote>
  <w:footnote w:type="continuationSeparator" w:id="0">
    <w:p w14:paraId="6714B894" w14:textId="77777777" w:rsidR="00AD6930" w:rsidRDefault="00AD6930" w:rsidP="00692F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6B201C"/>
    <w:multiLevelType w:val="hybridMultilevel"/>
    <w:tmpl w:val="2EFE30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7A1"/>
    <w:rsid w:val="000364F1"/>
    <w:rsid w:val="000502D1"/>
    <w:rsid w:val="00064AA7"/>
    <w:rsid w:val="00071DBB"/>
    <w:rsid w:val="000802FF"/>
    <w:rsid w:val="00085A98"/>
    <w:rsid w:val="00085BE0"/>
    <w:rsid w:val="00086E4F"/>
    <w:rsid w:val="000E49E7"/>
    <w:rsid w:val="001105D7"/>
    <w:rsid w:val="00161D31"/>
    <w:rsid w:val="00164418"/>
    <w:rsid w:val="001837D0"/>
    <w:rsid w:val="001A25D9"/>
    <w:rsid w:val="001A52F0"/>
    <w:rsid w:val="001C747B"/>
    <w:rsid w:val="00200167"/>
    <w:rsid w:val="00203605"/>
    <w:rsid w:val="002130DD"/>
    <w:rsid w:val="0024471D"/>
    <w:rsid w:val="00267CAE"/>
    <w:rsid w:val="00295250"/>
    <w:rsid w:val="002C3BA6"/>
    <w:rsid w:val="002D3793"/>
    <w:rsid w:val="00307787"/>
    <w:rsid w:val="003147B2"/>
    <w:rsid w:val="003602FC"/>
    <w:rsid w:val="003B10AF"/>
    <w:rsid w:val="003D3727"/>
    <w:rsid w:val="003E0F3C"/>
    <w:rsid w:val="003F154A"/>
    <w:rsid w:val="00413B5C"/>
    <w:rsid w:val="00450775"/>
    <w:rsid w:val="0046647C"/>
    <w:rsid w:val="004A655C"/>
    <w:rsid w:val="004B5884"/>
    <w:rsid w:val="004C407E"/>
    <w:rsid w:val="00511B5E"/>
    <w:rsid w:val="00567DA9"/>
    <w:rsid w:val="005834DA"/>
    <w:rsid w:val="005B767E"/>
    <w:rsid w:val="005D772D"/>
    <w:rsid w:val="005F4E1C"/>
    <w:rsid w:val="006550C3"/>
    <w:rsid w:val="0068210F"/>
    <w:rsid w:val="00692F03"/>
    <w:rsid w:val="006A3A05"/>
    <w:rsid w:val="006D11A6"/>
    <w:rsid w:val="00732F28"/>
    <w:rsid w:val="00790C52"/>
    <w:rsid w:val="007E4AB1"/>
    <w:rsid w:val="007E5379"/>
    <w:rsid w:val="007F47A1"/>
    <w:rsid w:val="00823DE6"/>
    <w:rsid w:val="0082656D"/>
    <w:rsid w:val="008342FD"/>
    <w:rsid w:val="00855CC9"/>
    <w:rsid w:val="008C2B20"/>
    <w:rsid w:val="008F40A0"/>
    <w:rsid w:val="008F61AB"/>
    <w:rsid w:val="00905D4F"/>
    <w:rsid w:val="0094456B"/>
    <w:rsid w:val="00947355"/>
    <w:rsid w:val="00986837"/>
    <w:rsid w:val="009B1A54"/>
    <w:rsid w:val="00A12630"/>
    <w:rsid w:val="00A32B36"/>
    <w:rsid w:val="00AB0E83"/>
    <w:rsid w:val="00AD6930"/>
    <w:rsid w:val="00AE3EEC"/>
    <w:rsid w:val="00B12E3A"/>
    <w:rsid w:val="00B7451F"/>
    <w:rsid w:val="00BA58E2"/>
    <w:rsid w:val="00BC2A73"/>
    <w:rsid w:val="00BF2F46"/>
    <w:rsid w:val="00BF61BB"/>
    <w:rsid w:val="00BF78F4"/>
    <w:rsid w:val="00C61545"/>
    <w:rsid w:val="00C6507F"/>
    <w:rsid w:val="00C70A87"/>
    <w:rsid w:val="00C730F0"/>
    <w:rsid w:val="00CA5BFB"/>
    <w:rsid w:val="00D042F5"/>
    <w:rsid w:val="00D11918"/>
    <w:rsid w:val="00D537E3"/>
    <w:rsid w:val="00D603A5"/>
    <w:rsid w:val="00D824B3"/>
    <w:rsid w:val="00DC6B6D"/>
    <w:rsid w:val="00DE124B"/>
    <w:rsid w:val="00E21828"/>
    <w:rsid w:val="00E6652F"/>
    <w:rsid w:val="00E66CD5"/>
    <w:rsid w:val="00E86381"/>
    <w:rsid w:val="00EB3091"/>
    <w:rsid w:val="00EB7554"/>
    <w:rsid w:val="00F41CD3"/>
    <w:rsid w:val="00F516D9"/>
    <w:rsid w:val="00FA320C"/>
    <w:rsid w:val="00FB71EF"/>
    <w:rsid w:val="00FD466D"/>
    <w:rsid w:val="00FF663F"/>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42205"/>
  <w15:chartTrackingRefBased/>
  <w15:docId w15:val="{BD6AE39E-6F59-4751-B22A-6ECFAEE6B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3077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A58E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F47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47A1"/>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7F47A1"/>
    <w:rPr>
      <w:color w:val="0563C1" w:themeColor="hyperlink"/>
      <w:u w:val="single"/>
    </w:rPr>
  </w:style>
  <w:style w:type="character" w:customStyle="1" w:styleId="UnresolvedMention">
    <w:name w:val="Unresolved Mention"/>
    <w:basedOn w:val="DefaultParagraphFont"/>
    <w:uiPriority w:val="99"/>
    <w:semiHidden/>
    <w:unhideWhenUsed/>
    <w:rsid w:val="007F47A1"/>
    <w:rPr>
      <w:color w:val="605E5C"/>
      <w:shd w:val="clear" w:color="auto" w:fill="E1DFDD"/>
    </w:rPr>
  </w:style>
  <w:style w:type="character" w:customStyle="1" w:styleId="Heading1Char">
    <w:name w:val="Heading 1 Char"/>
    <w:basedOn w:val="DefaultParagraphFont"/>
    <w:link w:val="Heading1"/>
    <w:uiPriority w:val="9"/>
    <w:rsid w:val="00307787"/>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A32B36"/>
    <w:rPr>
      <w:sz w:val="16"/>
      <w:szCs w:val="16"/>
    </w:rPr>
  </w:style>
  <w:style w:type="paragraph" w:styleId="CommentText">
    <w:name w:val="annotation text"/>
    <w:basedOn w:val="Normal"/>
    <w:link w:val="CommentTextChar"/>
    <w:uiPriority w:val="99"/>
    <w:semiHidden/>
    <w:unhideWhenUsed/>
    <w:rsid w:val="00A32B36"/>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A32B36"/>
    <w:rPr>
      <w:sz w:val="20"/>
      <w:szCs w:val="20"/>
    </w:rPr>
  </w:style>
  <w:style w:type="character" w:customStyle="1" w:styleId="Heading2Char">
    <w:name w:val="Heading 2 Char"/>
    <w:basedOn w:val="DefaultParagraphFont"/>
    <w:link w:val="Heading2"/>
    <w:uiPriority w:val="9"/>
    <w:rsid w:val="00BA58E2"/>
    <w:rPr>
      <w:rFonts w:asciiTheme="majorHAnsi" w:eastAsiaTheme="majorEastAsia" w:hAnsiTheme="majorHAnsi" w:cstheme="majorBidi"/>
      <w:color w:val="2F5496" w:themeColor="accent1" w:themeShade="BF"/>
      <w:sz w:val="26"/>
      <w:szCs w:val="26"/>
      <w:lang w:val="en-GB"/>
    </w:rPr>
  </w:style>
  <w:style w:type="paragraph" w:styleId="Caption">
    <w:name w:val="caption"/>
    <w:basedOn w:val="Normal"/>
    <w:next w:val="Normal"/>
    <w:uiPriority w:val="35"/>
    <w:unhideWhenUsed/>
    <w:qFormat/>
    <w:rsid w:val="00064AA7"/>
    <w:pPr>
      <w:spacing w:after="200" w:line="240" w:lineRule="auto"/>
    </w:pPr>
    <w:rPr>
      <w:i/>
      <w:iCs/>
      <w:color w:val="44546A" w:themeColor="text2"/>
      <w:sz w:val="18"/>
      <w:szCs w:val="18"/>
    </w:rPr>
  </w:style>
  <w:style w:type="table" w:styleId="TableGrid">
    <w:name w:val="Table Grid"/>
    <w:basedOn w:val="TableNormal"/>
    <w:uiPriority w:val="39"/>
    <w:rsid w:val="00BF2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92F03"/>
  </w:style>
  <w:style w:type="paragraph" w:styleId="Header">
    <w:name w:val="header"/>
    <w:basedOn w:val="Normal"/>
    <w:link w:val="HeaderChar"/>
    <w:uiPriority w:val="99"/>
    <w:unhideWhenUsed/>
    <w:rsid w:val="00692F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F03"/>
    <w:rPr>
      <w:lang w:val="en-GB"/>
    </w:rPr>
  </w:style>
  <w:style w:type="paragraph" w:styleId="Footer">
    <w:name w:val="footer"/>
    <w:basedOn w:val="Normal"/>
    <w:link w:val="FooterChar"/>
    <w:uiPriority w:val="99"/>
    <w:unhideWhenUsed/>
    <w:rsid w:val="00692F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F03"/>
    <w:rPr>
      <w:lang w:val="en-GB"/>
    </w:rPr>
  </w:style>
  <w:style w:type="paragraph" w:styleId="Revision">
    <w:name w:val="Revision"/>
    <w:hidden/>
    <w:uiPriority w:val="99"/>
    <w:semiHidden/>
    <w:rsid w:val="003147B2"/>
    <w:pPr>
      <w:spacing w:after="0" w:line="240" w:lineRule="auto"/>
    </w:pPr>
    <w:rPr>
      <w:lang w:val="en-GB"/>
    </w:rPr>
  </w:style>
  <w:style w:type="character" w:styleId="PlaceholderText">
    <w:name w:val="Placeholder Text"/>
    <w:basedOn w:val="DefaultParagraphFont"/>
    <w:uiPriority w:val="99"/>
    <w:semiHidden/>
    <w:rsid w:val="004A655C"/>
    <w:rPr>
      <w:color w:val="666666"/>
    </w:rPr>
  </w:style>
  <w:style w:type="paragraph" w:styleId="ListParagraph">
    <w:name w:val="List Paragraph"/>
    <w:basedOn w:val="Normal"/>
    <w:uiPriority w:val="34"/>
    <w:qFormat/>
    <w:rsid w:val="00B12E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5187B-A1D1-483C-AFFD-7456FACC0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Muhamad Reyhan Respati</dc:creator>
  <cp:keywords/>
  <dc:description/>
  <cp:lastModifiedBy>Raja K Kandhasamy V</cp:lastModifiedBy>
  <cp:revision>8</cp:revision>
  <dcterms:created xsi:type="dcterms:W3CDTF">2024-05-14T04:23:00Z</dcterms:created>
  <dcterms:modified xsi:type="dcterms:W3CDTF">2024-07-26T02:38:00Z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http://www.zotero.org/styles/american-meteorological-society</vt:lpwstr>
  </property>
  <property fmtid="{D5CDD505-2E9C-101B-9397-08002B2CF9AE}" pid="3" name="Mendeley Recent Style Name 0_1">
    <vt:lpwstr>American Meteorological Society</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