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CF7FC" w14:textId="16F5A038" w:rsidR="005C5730" w:rsidRPr="00D40E8A" w:rsidRDefault="00945AD6" w:rsidP="00D40E8A">
      <w:pPr>
        <w:pStyle w:val="Heading2"/>
        <w:rPr>
          <w:rFonts w:asciiTheme="minorHAnsi" w:hAnsiTheme="minorHAnsi"/>
          <w:b/>
          <w:iCs/>
          <w:color w:val="auto"/>
          <w:sz w:val="24"/>
          <w:szCs w:val="24"/>
        </w:rPr>
      </w:pPr>
      <w:r w:rsidRPr="00F46EC0">
        <w:rPr>
          <w:rFonts w:asciiTheme="minorHAnsi" w:hAnsiTheme="minorHAnsi"/>
          <w:b/>
          <w:iCs/>
          <w:color w:val="auto"/>
          <w:sz w:val="24"/>
          <w:szCs w:val="24"/>
        </w:rPr>
        <w:t xml:space="preserve">Supplementary Material: </w:t>
      </w:r>
      <w:r w:rsidR="005C5730" w:rsidRPr="00F46EC0">
        <w:rPr>
          <w:rFonts w:asciiTheme="minorHAnsi" w:hAnsiTheme="minorHAnsi"/>
          <w:b/>
          <w:iCs/>
          <w:color w:val="auto"/>
          <w:sz w:val="24"/>
          <w:szCs w:val="24"/>
        </w:rPr>
        <w:t>Influence of climate modes on wildfire occurrence in the contiguous United States under current and future climates</w:t>
      </w:r>
    </w:p>
    <w:p w14:paraId="49C29441" w14:textId="36EC747A" w:rsidR="005C5730" w:rsidRPr="00D40E8A" w:rsidRDefault="005C5730" w:rsidP="00CF4AD8">
      <w:pPr>
        <w:spacing w:after="240"/>
        <w:rPr>
          <w:rFonts w:asciiTheme="minorHAnsi" w:eastAsia="Aptos" w:hAnsiTheme="minorHAnsi" w:cs="Aptos"/>
          <w:iCs/>
          <w:vertAlign w:val="superscript"/>
        </w:rPr>
      </w:pPr>
      <w:r w:rsidRPr="00F46EC0">
        <w:rPr>
          <w:rFonts w:asciiTheme="minorHAnsi" w:eastAsia="Aptos" w:hAnsiTheme="minorHAnsi" w:cs="Aptos"/>
          <w:iCs/>
        </w:rPr>
        <w:t>Theodore R. Keeping*</w:t>
      </w:r>
      <w:r w:rsidRPr="00F46EC0">
        <w:rPr>
          <w:rFonts w:asciiTheme="minorHAnsi" w:eastAsia="Aptos" w:hAnsiTheme="minorHAnsi" w:cs="Aptos"/>
          <w:iCs/>
          <w:vertAlign w:val="superscript"/>
        </w:rPr>
        <w:t>1,2</w:t>
      </w:r>
      <w:r w:rsidRPr="00F46EC0">
        <w:rPr>
          <w:rFonts w:asciiTheme="minorHAnsi" w:eastAsia="Aptos" w:hAnsiTheme="minorHAnsi" w:cs="Aptos"/>
          <w:iCs/>
        </w:rPr>
        <w:t>, Theodore G. Shepherd</w:t>
      </w:r>
      <w:r w:rsidRPr="00F46EC0">
        <w:rPr>
          <w:rFonts w:asciiTheme="minorHAnsi" w:eastAsia="Aptos" w:hAnsiTheme="minorHAnsi" w:cs="Aptos"/>
          <w:iCs/>
          <w:vertAlign w:val="superscript"/>
        </w:rPr>
        <w:t>3</w:t>
      </w:r>
      <w:r w:rsidRPr="00F46EC0">
        <w:rPr>
          <w:rFonts w:asciiTheme="minorHAnsi" w:eastAsia="Aptos" w:hAnsiTheme="minorHAnsi" w:cs="Aptos"/>
          <w:iCs/>
        </w:rPr>
        <w:t>, I. Colin Prentice</w:t>
      </w:r>
      <w:r w:rsidRPr="00F46EC0">
        <w:rPr>
          <w:rFonts w:asciiTheme="minorHAnsi" w:eastAsia="Aptos" w:hAnsiTheme="minorHAnsi" w:cs="Aptos"/>
          <w:iCs/>
          <w:vertAlign w:val="superscript"/>
        </w:rPr>
        <w:t>4</w:t>
      </w:r>
      <w:r w:rsidRPr="00F46EC0">
        <w:rPr>
          <w:rFonts w:asciiTheme="minorHAnsi" w:eastAsia="Aptos" w:hAnsiTheme="minorHAnsi" w:cs="Aptos"/>
          <w:iCs/>
        </w:rPr>
        <w:t>, Karin van der Wiel</w:t>
      </w:r>
      <w:r w:rsidRPr="00F46EC0">
        <w:rPr>
          <w:rFonts w:asciiTheme="minorHAnsi" w:eastAsia="Aptos" w:hAnsiTheme="minorHAnsi" w:cs="Aptos"/>
          <w:iCs/>
          <w:vertAlign w:val="superscript"/>
        </w:rPr>
        <w:t>5</w:t>
      </w:r>
      <w:r w:rsidRPr="00F46EC0">
        <w:rPr>
          <w:rFonts w:asciiTheme="minorHAnsi" w:eastAsia="Aptos" w:hAnsiTheme="minorHAnsi" w:cs="Aptos"/>
          <w:iCs/>
        </w:rPr>
        <w:t>, Sandy P. Harrison</w:t>
      </w:r>
      <w:r w:rsidRPr="00F46EC0">
        <w:rPr>
          <w:rFonts w:asciiTheme="minorHAnsi" w:eastAsia="Aptos" w:hAnsiTheme="minorHAnsi" w:cs="Aptos"/>
          <w:iCs/>
          <w:vertAlign w:val="superscript"/>
        </w:rPr>
        <w:t>1,2</w:t>
      </w:r>
    </w:p>
    <w:p w14:paraId="48BE6FFC" w14:textId="77777777" w:rsidR="005C5730" w:rsidRPr="00F46EC0" w:rsidRDefault="005C5730" w:rsidP="00CF4AD8">
      <w:pPr>
        <w:spacing w:after="240"/>
        <w:rPr>
          <w:rFonts w:asciiTheme="minorHAnsi" w:eastAsia="Aptos" w:hAnsiTheme="minorHAnsi" w:cs="Aptos"/>
          <w:iCs/>
        </w:rPr>
      </w:pPr>
      <w:r w:rsidRPr="00F46EC0">
        <w:rPr>
          <w:rFonts w:asciiTheme="minorHAnsi" w:eastAsia="Aptos" w:hAnsiTheme="minorHAnsi" w:cs="Aptos"/>
          <w:iCs/>
          <w:vertAlign w:val="superscript"/>
        </w:rPr>
        <w:t>1</w:t>
      </w:r>
      <w:r w:rsidRPr="00F46EC0">
        <w:rPr>
          <w:rFonts w:asciiTheme="minorHAnsi" w:eastAsia="Aptos" w:hAnsiTheme="minorHAnsi" w:cs="Aptos"/>
          <w:iCs/>
        </w:rPr>
        <w:t>Geography &amp; Environmental Science, University of Reading, Reading, UK</w:t>
      </w:r>
    </w:p>
    <w:p w14:paraId="4CDADF60" w14:textId="77777777" w:rsidR="005C5730" w:rsidRPr="00F46EC0" w:rsidRDefault="005C5730" w:rsidP="00CF4AD8">
      <w:pPr>
        <w:spacing w:after="240"/>
        <w:rPr>
          <w:rFonts w:asciiTheme="minorHAnsi" w:eastAsia="Aptos" w:hAnsiTheme="minorHAnsi" w:cs="Aptos"/>
          <w:iCs/>
        </w:rPr>
      </w:pPr>
      <w:r w:rsidRPr="00F46EC0">
        <w:rPr>
          <w:rFonts w:asciiTheme="minorHAnsi" w:eastAsia="Aptos" w:hAnsiTheme="minorHAnsi" w:cs="Aptos"/>
          <w:iCs/>
          <w:vertAlign w:val="superscript"/>
        </w:rPr>
        <w:t>2</w:t>
      </w:r>
      <w:r w:rsidRPr="00F46EC0">
        <w:rPr>
          <w:rFonts w:asciiTheme="minorHAnsi" w:eastAsia="Aptos" w:hAnsiTheme="minorHAnsi" w:cs="Aptos"/>
          <w:iCs/>
        </w:rPr>
        <w:t>Leverhulme Centre for Wildfires, Environment and Society, Imperial College London, London, UK</w:t>
      </w:r>
    </w:p>
    <w:p w14:paraId="03B854FF" w14:textId="77777777" w:rsidR="005C5730" w:rsidRPr="00F46EC0" w:rsidRDefault="005C5730" w:rsidP="00CF4AD8">
      <w:pPr>
        <w:spacing w:after="240"/>
        <w:rPr>
          <w:rFonts w:asciiTheme="minorHAnsi" w:eastAsia="Aptos" w:hAnsiTheme="minorHAnsi" w:cs="Aptos"/>
          <w:iCs/>
        </w:rPr>
      </w:pPr>
      <w:r w:rsidRPr="00F46EC0">
        <w:rPr>
          <w:rFonts w:asciiTheme="minorHAnsi" w:eastAsia="Aptos" w:hAnsiTheme="minorHAnsi" w:cs="Aptos"/>
          <w:iCs/>
          <w:vertAlign w:val="superscript"/>
        </w:rPr>
        <w:t>3</w:t>
      </w:r>
      <w:r w:rsidRPr="00F46EC0">
        <w:rPr>
          <w:rFonts w:asciiTheme="minorHAnsi" w:eastAsia="Aptos" w:hAnsiTheme="minorHAnsi" w:cs="Aptos"/>
          <w:iCs/>
        </w:rPr>
        <w:t>Department of Meteorology, University of Reading, Reading, UK</w:t>
      </w:r>
    </w:p>
    <w:p w14:paraId="51A17C6C" w14:textId="77777777" w:rsidR="005C5730" w:rsidRPr="00F46EC0" w:rsidRDefault="005C5730" w:rsidP="00CF4AD8">
      <w:pPr>
        <w:spacing w:after="240"/>
        <w:rPr>
          <w:rFonts w:asciiTheme="minorHAnsi" w:eastAsia="Aptos" w:hAnsiTheme="minorHAnsi" w:cs="Aptos"/>
          <w:iCs/>
          <w:vertAlign w:val="superscript"/>
        </w:rPr>
      </w:pPr>
      <w:r w:rsidRPr="00F46EC0">
        <w:rPr>
          <w:rFonts w:asciiTheme="minorHAnsi" w:eastAsia="Aptos" w:hAnsiTheme="minorHAnsi" w:cs="Aptos"/>
          <w:iCs/>
          <w:vertAlign w:val="superscript"/>
        </w:rPr>
        <w:t>4</w:t>
      </w:r>
      <w:r w:rsidRPr="00F46EC0">
        <w:rPr>
          <w:rFonts w:asciiTheme="minorHAnsi" w:eastAsia="Aptos" w:hAnsiTheme="minorHAnsi" w:cs="Aptos"/>
          <w:iCs/>
        </w:rPr>
        <w:t>Georgina Mace Centre for the Living Planet, Department of Life Sciences, Imperial College London, Ascot, UK</w:t>
      </w:r>
    </w:p>
    <w:p w14:paraId="1B0B6BC3" w14:textId="08CDC727" w:rsidR="005C5730" w:rsidRPr="00F46EC0" w:rsidRDefault="005C5730" w:rsidP="00CF4AD8">
      <w:pPr>
        <w:spacing w:after="240"/>
        <w:rPr>
          <w:rFonts w:asciiTheme="minorHAnsi" w:eastAsia="Aptos" w:hAnsiTheme="minorHAnsi" w:cs="Aptos"/>
          <w:iCs/>
        </w:rPr>
      </w:pPr>
      <w:r w:rsidRPr="00F46EC0">
        <w:rPr>
          <w:rFonts w:asciiTheme="minorHAnsi" w:eastAsia="Aptos" w:hAnsiTheme="minorHAnsi" w:cs="Aptos"/>
          <w:iCs/>
          <w:vertAlign w:val="superscript"/>
        </w:rPr>
        <w:t>5</w:t>
      </w:r>
      <w:r w:rsidRPr="00F46EC0">
        <w:rPr>
          <w:rFonts w:asciiTheme="minorHAnsi" w:eastAsia="Aptos" w:hAnsiTheme="minorHAnsi" w:cs="Aptos"/>
          <w:iCs/>
        </w:rPr>
        <w:t>Royal Netherlands Meteorological Institute (KNMI), De Bilt, The Netherlands</w:t>
      </w:r>
    </w:p>
    <w:p w14:paraId="533807C8" w14:textId="77777777" w:rsidR="009F6DFF" w:rsidRPr="00F46EC0" w:rsidRDefault="009F6DFF" w:rsidP="00CF4AD8">
      <w:pPr>
        <w:spacing w:after="240"/>
        <w:rPr>
          <w:rFonts w:asciiTheme="minorHAnsi" w:hAnsiTheme="minorHAnsi"/>
          <w:b/>
          <w:iCs/>
        </w:rPr>
      </w:pPr>
      <w:r w:rsidRPr="00F46EC0">
        <w:rPr>
          <w:rFonts w:asciiTheme="minorHAnsi" w:hAnsiTheme="minorHAnsi"/>
          <w:b/>
          <w:iCs/>
        </w:rPr>
        <w:t xml:space="preserve">* Correspondence: </w:t>
      </w:r>
    </w:p>
    <w:p w14:paraId="278F63CB" w14:textId="77777777" w:rsidR="009F6DFF" w:rsidRPr="00F46EC0" w:rsidRDefault="009F6DFF" w:rsidP="00CF4AD8">
      <w:pPr>
        <w:spacing w:after="240"/>
        <w:rPr>
          <w:rFonts w:asciiTheme="minorHAnsi" w:hAnsiTheme="minorHAnsi"/>
          <w:bCs/>
          <w:iCs/>
        </w:rPr>
      </w:pPr>
      <w:r w:rsidRPr="00F46EC0">
        <w:rPr>
          <w:rFonts w:asciiTheme="minorHAnsi" w:hAnsiTheme="minorHAnsi"/>
          <w:bCs/>
          <w:iCs/>
        </w:rPr>
        <w:t>Theodore R. Keeping</w:t>
      </w:r>
    </w:p>
    <w:p w14:paraId="2907D82D" w14:textId="249BBB6C" w:rsidR="00640239" w:rsidRDefault="00687A10" w:rsidP="00CF4AD8">
      <w:pPr>
        <w:spacing w:after="240"/>
        <w:rPr>
          <w:rFonts w:asciiTheme="minorHAnsi" w:hAnsiTheme="minorHAnsi"/>
          <w:color w:val="C00000"/>
        </w:rPr>
      </w:pPr>
      <w:hyperlink r:id="rId8" w:history="1">
        <w:r w:rsidR="007560F3" w:rsidRPr="00ED6173">
          <w:rPr>
            <w:rStyle w:val="Hyperlink"/>
            <w:rFonts w:asciiTheme="minorHAnsi" w:hAnsiTheme="minorHAnsi"/>
            <w:bCs/>
            <w:iCs/>
          </w:rPr>
          <w:t>t.r.keeping@pgr.reading.ac.uk</w:t>
        </w:r>
      </w:hyperlink>
    </w:p>
    <w:p w14:paraId="502FECBC" w14:textId="62BD7317" w:rsidR="00D40E8A" w:rsidRPr="00045951" w:rsidRDefault="00D40E8A" w:rsidP="00CF4AD8">
      <w:pPr>
        <w:spacing w:after="240"/>
        <w:jc w:val="both"/>
        <w:rPr>
          <w:rFonts w:asciiTheme="minorHAnsi" w:hAnsiTheme="minorHAnsi"/>
          <w:bCs/>
          <w:iCs/>
        </w:rPr>
      </w:pPr>
      <w:r>
        <w:rPr>
          <w:rFonts w:asciiTheme="minorHAnsi" w:hAnsiTheme="minorHAnsi"/>
        </w:rPr>
        <w:t>T</w:t>
      </w:r>
      <w:r w:rsidR="00640239">
        <w:rPr>
          <w:rFonts w:asciiTheme="minorHAnsi" w:hAnsiTheme="minorHAnsi"/>
        </w:rPr>
        <w:t>h</w:t>
      </w:r>
      <w:r>
        <w:rPr>
          <w:rFonts w:asciiTheme="minorHAnsi" w:hAnsiTheme="minorHAnsi"/>
        </w:rPr>
        <w:t>e</w:t>
      </w:r>
      <w:r w:rsidR="00640239">
        <w:rPr>
          <w:rFonts w:asciiTheme="minorHAnsi" w:hAnsiTheme="minorHAnsi"/>
        </w:rPr>
        <w:t xml:space="preserve"> </w:t>
      </w:r>
      <w:r>
        <w:rPr>
          <w:rFonts w:asciiTheme="minorHAnsi" w:hAnsiTheme="minorHAnsi"/>
        </w:rPr>
        <w:t>S</w:t>
      </w:r>
      <w:r w:rsidR="00640239">
        <w:rPr>
          <w:rFonts w:asciiTheme="minorHAnsi" w:hAnsiTheme="minorHAnsi"/>
        </w:rPr>
        <w:t xml:space="preserve">upplementary </w:t>
      </w:r>
      <w:r>
        <w:rPr>
          <w:rFonts w:asciiTheme="minorHAnsi" w:hAnsiTheme="minorHAnsi"/>
        </w:rPr>
        <w:t xml:space="preserve">Material is divided into </w:t>
      </w:r>
      <w:r w:rsidR="00640239">
        <w:rPr>
          <w:rFonts w:asciiTheme="minorHAnsi" w:hAnsiTheme="minorHAnsi"/>
        </w:rPr>
        <w:t xml:space="preserve">eight sections. </w:t>
      </w:r>
      <w:r w:rsidR="00640239" w:rsidRPr="00ED4BCE">
        <w:rPr>
          <w:rFonts w:asciiTheme="minorHAnsi" w:hAnsiTheme="minorHAnsi"/>
          <w:b/>
          <w:bCs/>
        </w:rPr>
        <w:t>Section 1</w:t>
      </w:r>
      <w:r w:rsidR="00640239">
        <w:rPr>
          <w:rFonts w:asciiTheme="minorHAnsi" w:hAnsiTheme="minorHAnsi"/>
        </w:rPr>
        <w:t xml:space="preserve"> gives an overview of previous work linking climate </w:t>
      </w:r>
      <w:proofErr w:type="spellStart"/>
      <w:r w:rsidR="00640239">
        <w:rPr>
          <w:rFonts w:asciiTheme="minorHAnsi" w:hAnsiTheme="minorHAnsi"/>
        </w:rPr>
        <w:t>modes</w:t>
      </w:r>
      <w:proofErr w:type="spellEnd"/>
      <w:r w:rsidR="00640239">
        <w:rPr>
          <w:rFonts w:asciiTheme="minorHAnsi" w:hAnsiTheme="minorHAnsi"/>
        </w:rPr>
        <w:t xml:space="preserve"> </w:t>
      </w:r>
      <w:r>
        <w:rPr>
          <w:rFonts w:asciiTheme="minorHAnsi" w:hAnsiTheme="minorHAnsi"/>
        </w:rPr>
        <w:t xml:space="preserve">and wildfire in </w:t>
      </w:r>
      <w:r w:rsidR="00640239">
        <w:rPr>
          <w:rFonts w:asciiTheme="minorHAnsi" w:hAnsiTheme="minorHAnsi"/>
        </w:rPr>
        <w:t xml:space="preserve">the contiguous US. </w:t>
      </w:r>
      <w:r w:rsidR="00C05993" w:rsidRPr="0001146A">
        <w:rPr>
          <w:rFonts w:asciiTheme="minorHAnsi" w:hAnsiTheme="minorHAnsi"/>
          <w:b/>
          <w:iCs/>
        </w:rPr>
        <w:t xml:space="preserve">Section </w:t>
      </w:r>
      <w:r w:rsidR="00C05993">
        <w:rPr>
          <w:rFonts w:asciiTheme="minorHAnsi" w:hAnsiTheme="minorHAnsi"/>
          <w:b/>
          <w:iCs/>
        </w:rPr>
        <w:t>2</w:t>
      </w:r>
      <w:r w:rsidR="00C05993">
        <w:rPr>
          <w:rFonts w:asciiTheme="minorHAnsi" w:hAnsiTheme="minorHAnsi"/>
          <w:bCs/>
          <w:iCs/>
        </w:rPr>
        <w:t xml:space="preserve"> evidences the insufficiency of reanalysis data to derive climate mode/wildfire relationships. </w:t>
      </w:r>
      <w:r w:rsidR="00C05993" w:rsidRPr="0001146A">
        <w:rPr>
          <w:rFonts w:asciiTheme="minorHAnsi" w:hAnsiTheme="minorHAnsi"/>
          <w:b/>
          <w:iCs/>
        </w:rPr>
        <w:t xml:space="preserve">Section </w:t>
      </w:r>
      <w:r w:rsidR="00C05993">
        <w:rPr>
          <w:rFonts w:asciiTheme="minorHAnsi" w:hAnsiTheme="minorHAnsi"/>
          <w:b/>
          <w:iCs/>
        </w:rPr>
        <w:t>3</w:t>
      </w:r>
      <w:r w:rsidR="00C05993">
        <w:rPr>
          <w:rFonts w:asciiTheme="minorHAnsi" w:hAnsiTheme="minorHAnsi"/>
          <w:bCs/>
          <w:iCs/>
        </w:rPr>
        <w:t xml:space="preserve"> provides maps of the ensemble mean and spread as well as regions referred to in this study. </w:t>
      </w:r>
      <w:r w:rsidR="00640239" w:rsidRPr="00ED4BCE">
        <w:rPr>
          <w:rFonts w:asciiTheme="minorHAnsi" w:hAnsiTheme="minorHAnsi"/>
          <w:b/>
          <w:bCs/>
        </w:rPr>
        <w:t>Section</w:t>
      </w:r>
      <w:r w:rsidRPr="00ED4BCE">
        <w:rPr>
          <w:rFonts w:asciiTheme="minorHAnsi" w:hAnsiTheme="minorHAnsi"/>
          <w:b/>
          <w:bCs/>
        </w:rPr>
        <w:t xml:space="preserve"> </w:t>
      </w:r>
      <w:r w:rsidR="009104E7">
        <w:rPr>
          <w:rFonts w:asciiTheme="minorHAnsi" w:hAnsiTheme="minorHAnsi"/>
          <w:b/>
          <w:bCs/>
        </w:rPr>
        <w:t>4</w:t>
      </w:r>
      <w:r>
        <w:rPr>
          <w:rFonts w:asciiTheme="minorHAnsi" w:hAnsiTheme="minorHAnsi"/>
        </w:rPr>
        <w:t xml:space="preserve"> provides an evaluation of the performance of the bias correction for the KNMI-LENTIS ensemble. </w:t>
      </w:r>
      <w:r w:rsidRPr="00ED4BCE">
        <w:rPr>
          <w:rFonts w:asciiTheme="minorHAnsi" w:hAnsiTheme="minorHAnsi"/>
          <w:b/>
          <w:bCs/>
        </w:rPr>
        <w:t xml:space="preserve">Section </w:t>
      </w:r>
      <w:r w:rsidR="009104E7">
        <w:rPr>
          <w:rFonts w:asciiTheme="minorHAnsi" w:hAnsiTheme="minorHAnsi"/>
          <w:b/>
          <w:bCs/>
        </w:rPr>
        <w:t>5</w:t>
      </w:r>
      <w:r>
        <w:rPr>
          <w:rFonts w:asciiTheme="minorHAnsi" w:hAnsiTheme="minorHAnsi"/>
        </w:rPr>
        <w:t xml:space="preserve"> provides an assessment of the representation of climate </w:t>
      </w:r>
      <w:proofErr w:type="spellStart"/>
      <w:r>
        <w:rPr>
          <w:rFonts w:asciiTheme="minorHAnsi" w:hAnsiTheme="minorHAnsi"/>
        </w:rPr>
        <w:t>modes</w:t>
      </w:r>
      <w:proofErr w:type="spellEnd"/>
      <w:r>
        <w:rPr>
          <w:rFonts w:asciiTheme="minorHAnsi" w:hAnsiTheme="minorHAnsi"/>
        </w:rPr>
        <w:t xml:space="preserve"> in the KNMI-LENTIS ensemble. </w:t>
      </w:r>
      <w:r w:rsidR="00C05993" w:rsidRPr="00ED4BCE">
        <w:rPr>
          <w:rFonts w:asciiTheme="minorHAnsi" w:hAnsiTheme="minorHAnsi"/>
          <w:b/>
          <w:bCs/>
        </w:rPr>
        <w:t xml:space="preserve">Section </w:t>
      </w:r>
      <w:r w:rsidR="00C05993">
        <w:rPr>
          <w:rFonts w:asciiTheme="minorHAnsi" w:hAnsiTheme="minorHAnsi"/>
          <w:b/>
          <w:bCs/>
        </w:rPr>
        <w:t>6</w:t>
      </w:r>
      <w:r w:rsidR="00C05993">
        <w:rPr>
          <w:rFonts w:asciiTheme="minorHAnsi" w:hAnsiTheme="minorHAnsi"/>
        </w:rPr>
        <w:t xml:space="preserve"> provides additional figures showing the areal effect of individual climate models in the recent climate ensemble. </w:t>
      </w:r>
      <w:r w:rsidRPr="00ED4BCE">
        <w:rPr>
          <w:rFonts w:asciiTheme="minorHAnsi" w:hAnsiTheme="minorHAnsi"/>
          <w:b/>
          <w:bCs/>
        </w:rPr>
        <w:t xml:space="preserve">Section </w:t>
      </w:r>
      <w:r w:rsidR="009104E7">
        <w:rPr>
          <w:rFonts w:asciiTheme="minorHAnsi" w:hAnsiTheme="minorHAnsi"/>
          <w:b/>
          <w:bCs/>
        </w:rPr>
        <w:t>7</w:t>
      </w:r>
      <w:r>
        <w:rPr>
          <w:rFonts w:asciiTheme="minorHAnsi" w:hAnsiTheme="minorHAnsi"/>
        </w:rPr>
        <w:t xml:space="preserve"> provides the ensemble correlations between ENSO, the IOD and TNA+1 indices</w:t>
      </w:r>
      <w:r w:rsidR="006039A1">
        <w:rPr>
          <w:rFonts w:asciiTheme="minorHAnsi" w:hAnsiTheme="minorHAnsi"/>
        </w:rPr>
        <w:t xml:space="preserve"> </w:t>
      </w:r>
      <w:r w:rsidR="006039A1">
        <w:rPr>
          <w:rFonts w:asciiTheme="minorHAnsi" w:hAnsiTheme="minorHAnsi"/>
          <w:bCs/>
          <w:iCs/>
        </w:rPr>
        <w:t>in the recent and +2°C climate ensembles</w:t>
      </w:r>
      <w:r>
        <w:rPr>
          <w:rFonts w:asciiTheme="minorHAnsi" w:hAnsiTheme="minorHAnsi"/>
        </w:rPr>
        <w:t xml:space="preserve">. </w:t>
      </w:r>
      <w:r w:rsidR="00C05993" w:rsidRPr="0001146A">
        <w:rPr>
          <w:rFonts w:asciiTheme="minorHAnsi" w:hAnsiTheme="minorHAnsi"/>
          <w:b/>
          <w:iCs/>
        </w:rPr>
        <w:t xml:space="preserve">Section </w:t>
      </w:r>
      <w:r w:rsidR="00C05993">
        <w:rPr>
          <w:rFonts w:asciiTheme="minorHAnsi" w:hAnsiTheme="minorHAnsi"/>
          <w:b/>
          <w:iCs/>
        </w:rPr>
        <w:t xml:space="preserve">8 </w:t>
      </w:r>
      <w:r w:rsidR="00C05993" w:rsidRPr="0001146A">
        <w:rPr>
          <w:rFonts w:asciiTheme="minorHAnsi" w:hAnsiTheme="minorHAnsi"/>
          <w:bCs/>
          <w:iCs/>
        </w:rPr>
        <w:t xml:space="preserve">gives maps of the effect of climate modes on </w:t>
      </w:r>
      <w:r w:rsidR="00C05993">
        <w:rPr>
          <w:rFonts w:asciiTheme="minorHAnsi" w:hAnsiTheme="minorHAnsi"/>
          <w:bCs/>
          <w:iCs/>
        </w:rPr>
        <w:t xml:space="preserve">key predictors of wildfire occurrence. </w:t>
      </w:r>
      <w:r w:rsidR="00212DA8" w:rsidRPr="00ED4BCE">
        <w:rPr>
          <w:rFonts w:asciiTheme="minorHAnsi" w:hAnsiTheme="minorHAnsi"/>
          <w:b/>
          <w:bCs/>
        </w:rPr>
        <w:t xml:space="preserve">Section </w:t>
      </w:r>
      <w:r w:rsidR="009104E7">
        <w:rPr>
          <w:rFonts w:asciiTheme="minorHAnsi" w:hAnsiTheme="minorHAnsi"/>
          <w:b/>
          <w:bCs/>
        </w:rPr>
        <w:t>9</w:t>
      </w:r>
      <w:r w:rsidR="00212DA8">
        <w:rPr>
          <w:rFonts w:asciiTheme="minorHAnsi" w:hAnsiTheme="minorHAnsi"/>
        </w:rPr>
        <w:t xml:space="preserve"> provides information of the effects of climate models on the probability distribution of annual wildfire numbers in different regions in the recent ensemble climate</w:t>
      </w:r>
      <w:r w:rsidR="00212DA8" w:rsidRPr="00ED4BCE">
        <w:rPr>
          <w:rFonts w:asciiTheme="minorHAnsi" w:hAnsiTheme="minorHAnsi"/>
          <w:b/>
          <w:bCs/>
        </w:rPr>
        <w:t xml:space="preserve">. Section </w:t>
      </w:r>
      <w:r w:rsidR="009104E7">
        <w:rPr>
          <w:rFonts w:asciiTheme="minorHAnsi" w:hAnsiTheme="minorHAnsi"/>
          <w:b/>
          <w:bCs/>
        </w:rPr>
        <w:t>10</w:t>
      </w:r>
      <w:r w:rsidR="00212DA8">
        <w:rPr>
          <w:rFonts w:asciiTheme="minorHAnsi" w:hAnsiTheme="minorHAnsi"/>
        </w:rPr>
        <w:t xml:space="preserve"> </w:t>
      </w:r>
      <w:r w:rsidR="00212DA8">
        <w:rPr>
          <w:rFonts w:asciiTheme="minorHAnsi" w:hAnsiTheme="minorHAnsi"/>
          <w:bCs/>
          <w:iCs/>
        </w:rPr>
        <w:t xml:space="preserve">illustrates the effect of climate modes on the wildfire seasonal length and peak timing in the recent ensemble climate. </w:t>
      </w:r>
      <w:r w:rsidR="00212DA8" w:rsidRPr="00ED4BCE">
        <w:rPr>
          <w:rFonts w:asciiTheme="minorHAnsi" w:hAnsiTheme="minorHAnsi"/>
          <w:b/>
          <w:iCs/>
        </w:rPr>
        <w:t xml:space="preserve">Section </w:t>
      </w:r>
      <w:r w:rsidR="009104E7">
        <w:rPr>
          <w:rFonts w:asciiTheme="minorHAnsi" w:hAnsiTheme="minorHAnsi"/>
          <w:b/>
          <w:iCs/>
        </w:rPr>
        <w:t>11</w:t>
      </w:r>
      <w:r w:rsidR="00212DA8">
        <w:rPr>
          <w:rFonts w:asciiTheme="minorHAnsi" w:hAnsiTheme="minorHAnsi"/>
          <w:bCs/>
          <w:iCs/>
        </w:rPr>
        <w:t xml:space="preserve"> provides additional material on the </w:t>
      </w:r>
      <w:r w:rsidR="00ED4BCE">
        <w:rPr>
          <w:rFonts w:asciiTheme="minorHAnsi" w:hAnsiTheme="minorHAnsi"/>
          <w:bCs/>
          <w:iCs/>
        </w:rPr>
        <w:t>areal extent</w:t>
      </w:r>
      <w:r w:rsidR="0020747C">
        <w:rPr>
          <w:rFonts w:asciiTheme="minorHAnsi" w:hAnsiTheme="minorHAnsi"/>
          <w:bCs/>
          <w:iCs/>
        </w:rPr>
        <w:t xml:space="preserve"> </w:t>
      </w:r>
      <w:r w:rsidR="00ED4BCE">
        <w:rPr>
          <w:rFonts w:asciiTheme="minorHAnsi" w:hAnsiTheme="minorHAnsi"/>
          <w:bCs/>
          <w:iCs/>
        </w:rPr>
        <w:t xml:space="preserve">and magnitude of the impact of </w:t>
      </w:r>
      <w:r w:rsidR="00212DA8">
        <w:rPr>
          <w:rFonts w:asciiTheme="minorHAnsi" w:hAnsiTheme="minorHAnsi"/>
          <w:bCs/>
          <w:iCs/>
        </w:rPr>
        <w:t xml:space="preserve">climate </w:t>
      </w:r>
      <w:proofErr w:type="spellStart"/>
      <w:r w:rsidR="00212DA8">
        <w:rPr>
          <w:rFonts w:asciiTheme="minorHAnsi" w:hAnsiTheme="minorHAnsi"/>
          <w:bCs/>
          <w:iCs/>
        </w:rPr>
        <w:t>modes</w:t>
      </w:r>
      <w:proofErr w:type="spellEnd"/>
      <w:r w:rsidR="00212DA8">
        <w:rPr>
          <w:rFonts w:asciiTheme="minorHAnsi" w:hAnsiTheme="minorHAnsi"/>
          <w:bCs/>
          <w:iCs/>
        </w:rPr>
        <w:t xml:space="preserve"> in the +2°C ensemble.</w:t>
      </w:r>
      <w:r w:rsidR="003F4F62">
        <w:rPr>
          <w:rFonts w:asciiTheme="minorHAnsi" w:hAnsiTheme="minorHAnsi"/>
          <w:bCs/>
          <w:iCs/>
        </w:rPr>
        <w:t xml:space="preserve"> </w:t>
      </w:r>
    </w:p>
    <w:p w14:paraId="3EA7C07F" w14:textId="3C8A00DF" w:rsidR="0037152B" w:rsidRDefault="00212DA8" w:rsidP="00CF4AD8">
      <w:pPr>
        <w:spacing w:after="240"/>
        <w:rPr>
          <w:rFonts w:asciiTheme="minorHAnsi" w:hAnsiTheme="minorHAnsi"/>
          <w:bCs/>
          <w:iCs/>
        </w:rPr>
      </w:pPr>
      <w:r>
        <w:rPr>
          <w:rFonts w:asciiTheme="minorHAnsi" w:hAnsiTheme="minorHAnsi"/>
          <w:bCs/>
          <w:iCs/>
        </w:rPr>
        <w:t>The Supplementary contains the following figures and tables:</w:t>
      </w:r>
    </w:p>
    <w:p w14:paraId="21419D3B" w14:textId="0F30D0F0" w:rsidR="00212DA8" w:rsidRDefault="00212DA8" w:rsidP="00CF4AD8">
      <w:pPr>
        <w:spacing w:after="240"/>
        <w:rPr>
          <w:rFonts w:asciiTheme="minorHAnsi" w:hAnsiTheme="minorHAnsi"/>
          <w:bCs/>
          <w:iCs/>
        </w:rPr>
      </w:pPr>
      <w:r w:rsidRPr="00212DA8">
        <w:rPr>
          <w:rFonts w:asciiTheme="minorHAnsi" w:hAnsiTheme="minorHAnsi"/>
          <w:b/>
          <w:iCs/>
        </w:rPr>
        <w:t>Table 1.1</w:t>
      </w:r>
      <w:r>
        <w:rPr>
          <w:rFonts w:asciiTheme="minorHAnsi" w:hAnsiTheme="minorHAnsi"/>
          <w:bCs/>
          <w:iCs/>
        </w:rPr>
        <w:t xml:space="preserve"> </w:t>
      </w:r>
      <w:r w:rsidRPr="009359F8">
        <w:rPr>
          <w:rFonts w:asciiTheme="minorHAnsi" w:hAnsiTheme="minorHAnsi"/>
          <w:bCs/>
          <w:iCs/>
        </w:rPr>
        <w:t>Overview of previous studies of the relationships between wildfire and climate modes</w:t>
      </w:r>
    </w:p>
    <w:p w14:paraId="1564D8F5" w14:textId="77777777" w:rsidR="006D24D3" w:rsidRPr="0001146A" w:rsidRDefault="006D24D3" w:rsidP="006D24D3">
      <w:pPr>
        <w:spacing w:after="240"/>
        <w:rPr>
          <w:rFonts w:asciiTheme="minorHAnsi" w:hAnsiTheme="minorHAnsi"/>
          <w:bCs/>
          <w:iCs/>
        </w:rPr>
      </w:pPr>
      <w:r w:rsidRPr="0001146A">
        <w:rPr>
          <w:rFonts w:asciiTheme="minorHAnsi" w:hAnsiTheme="minorHAnsi"/>
          <w:b/>
          <w:iCs/>
        </w:rPr>
        <w:t xml:space="preserve">Figure </w:t>
      </w:r>
      <w:r>
        <w:rPr>
          <w:rFonts w:asciiTheme="minorHAnsi" w:hAnsiTheme="minorHAnsi"/>
          <w:b/>
          <w:iCs/>
        </w:rPr>
        <w:t>2</w:t>
      </w:r>
      <w:r w:rsidRPr="0001146A">
        <w:rPr>
          <w:rFonts w:asciiTheme="minorHAnsi" w:hAnsiTheme="minorHAnsi"/>
          <w:b/>
          <w:iCs/>
        </w:rPr>
        <w:t>.1</w:t>
      </w:r>
      <w:r>
        <w:rPr>
          <w:rFonts w:asciiTheme="minorHAnsi" w:hAnsiTheme="minorHAnsi"/>
          <w:bCs/>
          <w:iCs/>
        </w:rPr>
        <w:t xml:space="preserve"> The association between reanalysis (1990-2019) annual wildfires and climate modes to 0.05 FDR-corrected significance. </w:t>
      </w:r>
    </w:p>
    <w:p w14:paraId="58E3F297" w14:textId="77777777" w:rsidR="006D24D3" w:rsidRDefault="006D24D3" w:rsidP="006D24D3">
      <w:pPr>
        <w:spacing w:after="240"/>
        <w:rPr>
          <w:rFonts w:asciiTheme="minorHAnsi" w:hAnsiTheme="minorHAnsi"/>
          <w:bCs/>
          <w:iCs/>
        </w:rPr>
      </w:pPr>
      <w:r w:rsidRPr="0001146A">
        <w:rPr>
          <w:rFonts w:asciiTheme="minorHAnsi" w:hAnsiTheme="minorHAnsi"/>
          <w:b/>
          <w:iCs/>
        </w:rPr>
        <w:t xml:space="preserve">Figure </w:t>
      </w:r>
      <w:r>
        <w:rPr>
          <w:rFonts w:asciiTheme="minorHAnsi" w:hAnsiTheme="minorHAnsi"/>
          <w:b/>
          <w:iCs/>
        </w:rPr>
        <w:t>2</w:t>
      </w:r>
      <w:r w:rsidRPr="0001146A">
        <w:rPr>
          <w:rFonts w:asciiTheme="minorHAnsi" w:hAnsiTheme="minorHAnsi"/>
          <w:b/>
          <w:iCs/>
        </w:rPr>
        <w:t>.2</w:t>
      </w:r>
      <w:r>
        <w:rPr>
          <w:rFonts w:asciiTheme="minorHAnsi" w:hAnsiTheme="minorHAnsi"/>
          <w:bCs/>
          <w:iCs/>
        </w:rPr>
        <w:t xml:space="preserve"> The association between reanalysis (1990-2019) annual wildfires and climate modes to any level of significance.</w:t>
      </w:r>
    </w:p>
    <w:p w14:paraId="3BDE5E8D" w14:textId="77777777" w:rsidR="006D24D3" w:rsidRDefault="006D24D3" w:rsidP="006D24D3">
      <w:pPr>
        <w:spacing w:after="240"/>
        <w:rPr>
          <w:rFonts w:asciiTheme="minorHAnsi" w:hAnsiTheme="minorHAnsi"/>
          <w:bCs/>
          <w:iCs/>
        </w:rPr>
      </w:pPr>
      <w:r w:rsidRPr="0001146A">
        <w:rPr>
          <w:rFonts w:asciiTheme="minorHAnsi" w:hAnsiTheme="minorHAnsi"/>
          <w:b/>
          <w:iCs/>
        </w:rPr>
        <w:t xml:space="preserve">Figure </w:t>
      </w:r>
      <w:r>
        <w:rPr>
          <w:rFonts w:asciiTheme="minorHAnsi" w:hAnsiTheme="minorHAnsi"/>
          <w:b/>
          <w:iCs/>
        </w:rPr>
        <w:t>2</w:t>
      </w:r>
      <w:r w:rsidRPr="0001146A">
        <w:rPr>
          <w:rFonts w:asciiTheme="minorHAnsi" w:hAnsiTheme="minorHAnsi"/>
          <w:b/>
          <w:iCs/>
        </w:rPr>
        <w:t>.3</w:t>
      </w:r>
      <w:r>
        <w:rPr>
          <w:rFonts w:asciiTheme="minorHAnsi" w:hAnsiTheme="minorHAnsi"/>
          <w:bCs/>
          <w:iCs/>
        </w:rPr>
        <w:t xml:space="preserve"> </w:t>
      </w:r>
      <w:r w:rsidRPr="008C4DDC">
        <w:rPr>
          <w:rFonts w:asciiTheme="minorHAnsi" w:hAnsiTheme="minorHAnsi"/>
          <w:bCs/>
          <w:iCs/>
        </w:rPr>
        <w:t>The association between</w:t>
      </w:r>
      <w:r>
        <w:rPr>
          <w:rFonts w:asciiTheme="minorHAnsi" w:hAnsiTheme="minorHAnsi"/>
          <w:bCs/>
          <w:iCs/>
        </w:rPr>
        <w:t xml:space="preserve"> observed (FPA FOD)</w:t>
      </w:r>
      <w:r w:rsidRPr="008C4DDC">
        <w:rPr>
          <w:rFonts w:asciiTheme="minorHAnsi" w:hAnsiTheme="minorHAnsi"/>
          <w:bCs/>
          <w:iCs/>
        </w:rPr>
        <w:t xml:space="preserve"> (199</w:t>
      </w:r>
      <w:r>
        <w:rPr>
          <w:rFonts w:asciiTheme="minorHAnsi" w:hAnsiTheme="minorHAnsi"/>
          <w:bCs/>
          <w:iCs/>
        </w:rPr>
        <w:t>2</w:t>
      </w:r>
      <w:r w:rsidRPr="008C4DDC">
        <w:rPr>
          <w:rFonts w:asciiTheme="minorHAnsi" w:hAnsiTheme="minorHAnsi"/>
          <w:bCs/>
          <w:iCs/>
        </w:rPr>
        <w:t>-2019) annual wildfires and climate modes to 0.05 FDR-corrected significance.</w:t>
      </w:r>
    </w:p>
    <w:p w14:paraId="5CDE1CF0" w14:textId="77777777" w:rsidR="006D24D3" w:rsidRDefault="006D24D3" w:rsidP="006D24D3">
      <w:pPr>
        <w:spacing w:after="240"/>
        <w:rPr>
          <w:rFonts w:asciiTheme="minorHAnsi" w:hAnsiTheme="minorHAnsi"/>
          <w:bCs/>
          <w:iCs/>
        </w:rPr>
      </w:pPr>
      <w:r w:rsidRPr="0001146A">
        <w:rPr>
          <w:rFonts w:asciiTheme="minorHAnsi" w:hAnsiTheme="minorHAnsi"/>
          <w:b/>
          <w:iCs/>
        </w:rPr>
        <w:t xml:space="preserve">Figure </w:t>
      </w:r>
      <w:r>
        <w:rPr>
          <w:rFonts w:asciiTheme="minorHAnsi" w:hAnsiTheme="minorHAnsi"/>
          <w:b/>
          <w:iCs/>
        </w:rPr>
        <w:t>2</w:t>
      </w:r>
      <w:r w:rsidRPr="0001146A">
        <w:rPr>
          <w:rFonts w:asciiTheme="minorHAnsi" w:hAnsiTheme="minorHAnsi"/>
          <w:b/>
          <w:iCs/>
        </w:rPr>
        <w:t>.4</w:t>
      </w:r>
      <w:r>
        <w:rPr>
          <w:rFonts w:asciiTheme="minorHAnsi" w:hAnsiTheme="minorHAnsi"/>
          <w:bCs/>
          <w:iCs/>
        </w:rPr>
        <w:t xml:space="preserve"> </w:t>
      </w:r>
      <w:r w:rsidRPr="008C4DDC">
        <w:rPr>
          <w:rFonts w:asciiTheme="minorHAnsi" w:hAnsiTheme="minorHAnsi"/>
          <w:bCs/>
          <w:iCs/>
        </w:rPr>
        <w:t>The association between</w:t>
      </w:r>
      <w:r>
        <w:rPr>
          <w:rFonts w:asciiTheme="minorHAnsi" w:hAnsiTheme="minorHAnsi"/>
          <w:bCs/>
          <w:iCs/>
        </w:rPr>
        <w:t xml:space="preserve"> observed (FPA FOD)</w:t>
      </w:r>
      <w:r w:rsidRPr="008C4DDC">
        <w:rPr>
          <w:rFonts w:asciiTheme="minorHAnsi" w:hAnsiTheme="minorHAnsi"/>
          <w:bCs/>
          <w:iCs/>
        </w:rPr>
        <w:t xml:space="preserve"> (199</w:t>
      </w:r>
      <w:r>
        <w:rPr>
          <w:rFonts w:asciiTheme="minorHAnsi" w:hAnsiTheme="minorHAnsi"/>
          <w:bCs/>
          <w:iCs/>
        </w:rPr>
        <w:t>2</w:t>
      </w:r>
      <w:r w:rsidRPr="008C4DDC">
        <w:rPr>
          <w:rFonts w:asciiTheme="minorHAnsi" w:hAnsiTheme="minorHAnsi"/>
          <w:bCs/>
          <w:iCs/>
        </w:rPr>
        <w:t xml:space="preserve">-2019) annual wildfires and climate modes to </w:t>
      </w:r>
      <w:r>
        <w:rPr>
          <w:rFonts w:asciiTheme="minorHAnsi" w:hAnsiTheme="minorHAnsi"/>
          <w:bCs/>
          <w:iCs/>
        </w:rPr>
        <w:t xml:space="preserve">any level </w:t>
      </w:r>
      <w:r w:rsidRPr="008C4DDC">
        <w:rPr>
          <w:rFonts w:asciiTheme="minorHAnsi" w:hAnsiTheme="minorHAnsi"/>
          <w:bCs/>
          <w:iCs/>
        </w:rPr>
        <w:t>significance.</w:t>
      </w:r>
    </w:p>
    <w:p w14:paraId="50091B99" w14:textId="77777777" w:rsidR="006D24D3" w:rsidRDefault="006D24D3" w:rsidP="006D24D3">
      <w:pPr>
        <w:spacing w:after="240"/>
        <w:rPr>
          <w:rFonts w:asciiTheme="minorHAnsi" w:hAnsiTheme="minorHAnsi"/>
          <w:bCs/>
          <w:iCs/>
        </w:rPr>
      </w:pPr>
      <w:r w:rsidRPr="0001146A">
        <w:rPr>
          <w:rFonts w:asciiTheme="minorHAnsi" w:hAnsiTheme="minorHAnsi"/>
          <w:b/>
          <w:iCs/>
        </w:rPr>
        <w:t xml:space="preserve">Figure </w:t>
      </w:r>
      <w:r>
        <w:rPr>
          <w:rFonts w:asciiTheme="minorHAnsi" w:hAnsiTheme="minorHAnsi"/>
          <w:b/>
          <w:iCs/>
        </w:rPr>
        <w:t>2</w:t>
      </w:r>
      <w:r w:rsidRPr="0001146A">
        <w:rPr>
          <w:rFonts w:asciiTheme="minorHAnsi" w:hAnsiTheme="minorHAnsi"/>
          <w:b/>
          <w:iCs/>
        </w:rPr>
        <w:t>.5</w:t>
      </w:r>
      <w:r>
        <w:rPr>
          <w:rFonts w:asciiTheme="minorHAnsi" w:hAnsiTheme="minorHAnsi"/>
          <w:bCs/>
          <w:iCs/>
        </w:rPr>
        <w:t xml:space="preserve"> Box plots of randomly selected mean annual wildfires compared to the effect seen in the large ensemble.</w:t>
      </w:r>
    </w:p>
    <w:p w14:paraId="7B43AE57" w14:textId="77777777" w:rsidR="006D24D3" w:rsidRDefault="006D24D3" w:rsidP="006D24D3">
      <w:pPr>
        <w:spacing w:after="240"/>
        <w:rPr>
          <w:rFonts w:asciiTheme="minorHAnsi" w:hAnsiTheme="minorHAnsi"/>
          <w:bCs/>
          <w:iCs/>
        </w:rPr>
      </w:pPr>
      <w:r w:rsidRPr="0001146A">
        <w:rPr>
          <w:rFonts w:asciiTheme="minorHAnsi" w:hAnsiTheme="minorHAnsi"/>
          <w:b/>
          <w:iCs/>
        </w:rPr>
        <w:t xml:space="preserve">Figure </w:t>
      </w:r>
      <w:r>
        <w:rPr>
          <w:rFonts w:asciiTheme="minorHAnsi" w:hAnsiTheme="minorHAnsi"/>
          <w:b/>
          <w:iCs/>
        </w:rPr>
        <w:t>3</w:t>
      </w:r>
      <w:r w:rsidRPr="0001146A">
        <w:rPr>
          <w:rFonts w:asciiTheme="minorHAnsi" w:hAnsiTheme="minorHAnsi"/>
          <w:b/>
          <w:iCs/>
        </w:rPr>
        <w:t>.1</w:t>
      </w:r>
      <w:r>
        <w:rPr>
          <w:rFonts w:asciiTheme="minorHAnsi" w:hAnsiTheme="minorHAnsi"/>
          <w:bCs/>
          <w:iCs/>
        </w:rPr>
        <w:t xml:space="preserve"> Maps of mean observed wildfire occurrences (FPA FOD), mean reanalysis modelled occurrences, and the mean and spread of annual wildfire occurrences in the ensemble recent and future climate.</w:t>
      </w:r>
    </w:p>
    <w:p w14:paraId="595AD919" w14:textId="25BBF49B" w:rsidR="006D24D3" w:rsidRDefault="006D24D3" w:rsidP="00CF4AD8">
      <w:pPr>
        <w:spacing w:after="240"/>
        <w:rPr>
          <w:rFonts w:asciiTheme="minorHAnsi" w:hAnsiTheme="minorHAnsi"/>
          <w:bCs/>
          <w:iCs/>
        </w:rPr>
      </w:pPr>
      <w:r w:rsidRPr="0001146A">
        <w:rPr>
          <w:rFonts w:asciiTheme="minorHAnsi" w:hAnsiTheme="minorHAnsi"/>
          <w:b/>
          <w:iCs/>
        </w:rPr>
        <w:t xml:space="preserve">Figure </w:t>
      </w:r>
      <w:r>
        <w:rPr>
          <w:rFonts w:asciiTheme="minorHAnsi" w:hAnsiTheme="minorHAnsi"/>
          <w:b/>
          <w:iCs/>
        </w:rPr>
        <w:t>3</w:t>
      </w:r>
      <w:r w:rsidRPr="0001146A">
        <w:rPr>
          <w:rFonts w:asciiTheme="minorHAnsi" w:hAnsiTheme="minorHAnsi"/>
          <w:b/>
          <w:iCs/>
        </w:rPr>
        <w:t xml:space="preserve">.2 </w:t>
      </w:r>
      <w:r>
        <w:rPr>
          <w:rFonts w:asciiTheme="minorHAnsi" w:hAnsiTheme="minorHAnsi"/>
          <w:bCs/>
          <w:iCs/>
        </w:rPr>
        <w:t>The regions referred to in this study, both ecoregions and GACC admin regions.</w:t>
      </w:r>
    </w:p>
    <w:p w14:paraId="590A1F5E" w14:textId="0D512561" w:rsidR="006039A1" w:rsidRDefault="006039A1" w:rsidP="00CF4AD8">
      <w:pPr>
        <w:spacing w:after="240"/>
        <w:rPr>
          <w:rFonts w:asciiTheme="minorHAnsi" w:hAnsiTheme="minorHAnsi"/>
          <w:bCs/>
          <w:iCs/>
        </w:rPr>
      </w:pPr>
      <w:r w:rsidRPr="006039A1">
        <w:rPr>
          <w:rFonts w:asciiTheme="minorHAnsi" w:hAnsiTheme="minorHAnsi"/>
          <w:b/>
          <w:iCs/>
        </w:rPr>
        <w:t xml:space="preserve">Table </w:t>
      </w:r>
      <w:r w:rsidR="009104E7">
        <w:rPr>
          <w:rFonts w:asciiTheme="minorHAnsi" w:hAnsiTheme="minorHAnsi"/>
          <w:b/>
          <w:iCs/>
        </w:rPr>
        <w:t>4</w:t>
      </w:r>
      <w:r w:rsidRPr="006039A1">
        <w:rPr>
          <w:rFonts w:asciiTheme="minorHAnsi" w:hAnsiTheme="minorHAnsi"/>
          <w:b/>
          <w:iCs/>
        </w:rPr>
        <w:t>.1</w:t>
      </w:r>
      <w:r>
        <w:rPr>
          <w:rFonts w:asciiTheme="minorHAnsi" w:hAnsiTheme="minorHAnsi"/>
          <w:bCs/>
          <w:iCs/>
        </w:rPr>
        <w:t xml:space="preserve"> </w:t>
      </w:r>
      <w:r w:rsidRPr="009359F8">
        <w:rPr>
          <w:rFonts w:asciiTheme="minorHAnsi" w:hAnsiTheme="minorHAnsi"/>
          <w:bCs/>
          <w:iCs/>
        </w:rPr>
        <w:t>Performance statistics of input variables into wildfire occurrence model.</w:t>
      </w:r>
      <w:r>
        <w:rPr>
          <w:rFonts w:asciiTheme="minorHAnsi" w:hAnsiTheme="minorHAnsi"/>
          <w:bCs/>
          <w:iCs/>
        </w:rPr>
        <w:t xml:space="preserve"> R</w:t>
      </w:r>
      <w:r w:rsidRPr="00D40E8A">
        <w:rPr>
          <w:rFonts w:asciiTheme="minorHAnsi" w:hAnsiTheme="minorHAnsi"/>
          <w:bCs/>
          <w:iCs/>
          <w:vertAlign w:val="superscript"/>
        </w:rPr>
        <w:t>2</w:t>
      </w:r>
      <w:r>
        <w:rPr>
          <w:rFonts w:asciiTheme="minorHAnsi" w:hAnsiTheme="minorHAnsi"/>
          <w:bCs/>
          <w:iCs/>
        </w:rPr>
        <w:t xml:space="preserve"> statistics comparing reanalysis data to the bias corrected and downscaled KNMI-LENTIS data input into the wildfire occurrence model, for the top four statistical moments.</w:t>
      </w:r>
    </w:p>
    <w:p w14:paraId="2FE32B3A" w14:textId="7D13B4FB" w:rsidR="0020747C" w:rsidRDefault="0020747C" w:rsidP="00CF4AD8">
      <w:pPr>
        <w:spacing w:after="240"/>
        <w:rPr>
          <w:rFonts w:asciiTheme="minorHAnsi" w:hAnsiTheme="minorHAnsi"/>
          <w:bCs/>
          <w:iCs/>
        </w:rPr>
      </w:pPr>
      <w:r w:rsidRPr="0020747C">
        <w:rPr>
          <w:rFonts w:asciiTheme="minorHAnsi" w:hAnsiTheme="minorHAnsi"/>
          <w:b/>
          <w:iCs/>
        </w:rPr>
        <w:t xml:space="preserve">Figure </w:t>
      </w:r>
      <w:r w:rsidR="009104E7">
        <w:rPr>
          <w:rFonts w:asciiTheme="minorHAnsi" w:hAnsiTheme="minorHAnsi"/>
          <w:b/>
          <w:iCs/>
        </w:rPr>
        <w:t>5</w:t>
      </w:r>
      <w:r w:rsidRPr="0020747C">
        <w:rPr>
          <w:rFonts w:asciiTheme="minorHAnsi" w:hAnsiTheme="minorHAnsi"/>
          <w:b/>
          <w:iCs/>
        </w:rPr>
        <w:t>.1</w:t>
      </w:r>
      <w:r>
        <w:rPr>
          <w:rFonts w:asciiTheme="minorHAnsi" w:hAnsiTheme="minorHAnsi"/>
          <w:bCs/>
          <w:iCs/>
        </w:rPr>
        <w:t xml:space="preserve"> The SST effect associated with the Atlantic Multidecadal Oscillation (AMO).</w:t>
      </w:r>
    </w:p>
    <w:p w14:paraId="277C45CA" w14:textId="7812EA9B" w:rsidR="0020747C" w:rsidRDefault="0020747C" w:rsidP="00CF4AD8">
      <w:pPr>
        <w:spacing w:after="240"/>
        <w:rPr>
          <w:rFonts w:asciiTheme="minorHAnsi" w:hAnsiTheme="minorHAnsi"/>
          <w:bCs/>
          <w:iCs/>
        </w:rPr>
      </w:pPr>
      <w:r w:rsidRPr="0020747C">
        <w:rPr>
          <w:rFonts w:asciiTheme="minorHAnsi" w:hAnsiTheme="minorHAnsi"/>
          <w:b/>
          <w:iCs/>
        </w:rPr>
        <w:t xml:space="preserve">Figure </w:t>
      </w:r>
      <w:r w:rsidR="009104E7">
        <w:rPr>
          <w:rFonts w:asciiTheme="minorHAnsi" w:hAnsiTheme="minorHAnsi"/>
          <w:b/>
          <w:iCs/>
        </w:rPr>
        <w:t>5</w:t>
      </w:r>
      <w:r w:rsidRPr="0020747C">
        <w:rPr>
          <w:rFonts w:asciiTheme="minorHAnsi" w:hAnsiTheme="minorHAnsi"/>
          <w:b/>
          <w:iCs/>
        </w:rPr>
        <w:t>.</w:t>
      </w:r>
      <w:r>
        <w:rPr>
          <w:rFonts w:asciiTheme="minorHAnsi" w:hAnsiTheme="minorHAnsi"/>
          <w:b/>
          <w:iCs/>
        </w:rPr>
        <w:t>2</w:t>
      </w:r>
      <w:r>
        <w:rPr>
          <w:rFonts w:asciiTheme="minorHAnsi" w:hAnsiTheme="minorHAnsi"/>
          <w:bCs/>
          <w:iCs/>
        </w:rPr>
        <w:t xml:space="preserve"> The SST effect associated with the Tropical South Atlantic (TSA).</w:t>
      </w:r>
    </w:p>
    <w:p w14:paraId="3EC4A50A" w14:textId="08BF2C08" w:rsidR="0020747C" w:rsidRDefault="0020747C" w:rsidP="00CF4AD8">
      <w:pPr>
        <w:spacing w:after="240"/>
        <w:rPr>
          <w:rFonts w:asciiTheme="minorHAnsi" w:hAnsiTheme="minorHAnsi"/>
          <w:bCs/>
          <w:iCs/>
        </w:rPr>
      </w:pPr>
      <w:r w:rsidRPr="0020747C">
        <w:rPr>
          <w:rFonts w:asciiTheme="minorHAnsi" w:hAnsiTheme="minorHAnsi"/>
          <w:b/>
          <w:iCs/>
        </w:rPr>
        <w:t xml:space="preserve">Figure </w:t>
      </w:r>
      <w:r w:rsidR="009104E7">
        <w:rPr>
          <w:rFonts w:asciiTheme="minorHAnsi" w:hAnsiTheme="minorHAnsi"/>
          <w:b/>
          <w:iCs/>
        </w:rPr>
        <w:t>5</w:t>
      </w:r>
      <w:r w:rsidRPr="0020747C">
        <w:rPr>
          <w:rFonts w:asciiTheme="minorHAnsi" w:hAnsiTheme="minorHAnsi"/>
          <w:b/>
          <w:iCs/>
        </w:rPr>
        <w:t>.</w:t>
      </w:r>
      <w:r>
        <w:rPr>
          <w:rFonts w:asciiTheme="minorHAnsi" w:hAnsiTheme="minorHAnsi"/>
          <w:b/>
          <w:iCs/>
        </w:rPr>
        <w:t>3</w:t>
      </w:r>
      <w:r>
        <w:rPr>
          <w:rFonts w:asciiTheme="minorHAnsi" w:hAnsiTheme="minorHAnsi"/>
          <w:bCs/>
          <w:iCs/>
        </w:rPr>
        <w:t xml:space="preserve"> The SST effect associated with the Tropical North Atlantic (TNA).</w:t>
      </w:r>
    </w:p>
    <w:p w14:paraId="577C6504" w14:textId="2908DBCA" w:rsidR="0020747C" w:rsidRDefault="0020747C" w:rsidP="00CF4AD8">
      <w:pPr>
        <w:spacing w:after="240"/>
        <w:rPr>
          <w:rFonts w:asciiTheme="minorHAnsi" w:hAnsiTheme="minorHAnsi"/>
          <w:bCs/>
          <w:iCs/>
        </w:rPr>
      </w:pPr>
      <w:r w:rsidRPr="0020747C">
        <w:rPr>
          <w:rFonts w:asciiTheme="minorHAnsi" w:hAnsiTheme="minorHAnsi"/>
          <w:b/>
          <w:iCs/>
        </w:rPr>
        <w:t xml:space="preserve">Figure </w:t>
      </w:r>
      <w:r w:rsidR="009104E7">
        <w:rPr>
          <w:rFonts w:asciiTheme="minorHAnsi" w:hAnsiTheme="minorHAnsi"/>
          <w:b/>
          <w:iCs/>
        </w:rPr>
        <w:t>5</w:t>
      </w:r>
      <w:r w:rsidRPr="0020747C">
        <w:rPr>
          <w:rFonts w:asciiTheme="minorHAnsi" w:hAnsiTheme="minorHAnsi"/>
          <w:b/>
          <w:iCs/>
        </w:rPr>
        <w:t>.</w:t>
      </w:r>
      <w:r>
        <w:rPr>
          <w:rFonts w:asciiTheme="minorHAnsi" w:hAnsiTheme="minorHAnsi"/>
          <w:b/>
          <w:iCs/>
        </w:rPr>
        <w:t>4</w:t>
      </w:r>
      <w:r>
        <w:rPr>
          <w:rFonts w:asciiTheme="minorHAnsi" w:hAnsiTheme="minorHAnsi"/>
          <w:bCs/>
          <w:iCs/>
        </w:rPr>
        <w:t xml:space="preserve"> The PSL effect associated with the Southern Annular Mode (SAM).</w:t>
      </w:r>
    </w:p>
    <w:p w14:paraId="3D53A958" w14:textId="53E4A6A7" w:rsidR="0020747C" w:rsidRDefault="0020747C" w:rsidP="00CF4AD8">
      <w:pPr>
        <w:spacing w:after="240"/>
        <w:rPr>
          <w:rFonts w:asciiTheme="minorHAnsi" w:hAnsiTheme="minorHAnsi"/>
          <w:bCs/>
          <w:iCs/>
        </w:rPr>
      </w:pPr>
      <w:r w:rsidRPr="0020747C">
        <w:rPr>
          <w:rFonts w:asciiTheme="minorHAnsi" w:hAnsiTheme="minorHAnsi"/>
          <w:b/>
          <w:iCs/>
        </w:rPr>
        <w:t xml:space="preserve">Figure </w:t>
      </w:r>
      <w:r w:rsidR="009104E7">
        <w:rPr>
          <w:rFonts w:asciiTheme="minorHAnsi" w:hAnsiTheme="minorHAnsi"/>
          <w:b/>
          <w:iCs/>
        </w:rPr>
        <w:t>5</w:t>
      </w:r>
      <w:r w:rsidRPr="0020747C">
        <w:rPr>
          <w:rFonts w:asciiTheme="minorHAnsi" w:hAnsiTheme="minorHAnsi"/>
          <w:b/>
          <w:iCs/>
        </w:rPr>
        <w:t>.</w:t>
      </w:r>
      <w:r>
        <w:rPr>
          <w:rFonts w:asciiTheme="minorHAnsi" w:hAnsiTheme="minorHAnsi"/>
          <w:b/>
          <w:iCs/>
        </w:rPr>
        <w:t>5</w:t>
      </w:r>
      <w:r>
        <w:rPr>
          <w:rFonts w:asciiTheme="minorHAnsi" w:hAnsiTheme="minorHAnsi"/>
          <w:bCs/>
          <w:iCs/>
        </w:rPr>
        <w:t xml:space="preserve"> The PSL effect associated with the Pacific/North American (PNA) Oscillation.</w:t>
      </w:r>
    </w:p>
    <w:p w14:paraId="2FE9F57F" w14:textId="05DA3F72" w:rsidR="0020747C" w:rsidRDefault="0020747C" w:rsidP="00CF4AD8">
      <w:pPr>
        <w:spacing w:after="240"/>
        <w:rPr>
          <w:rFonts w:asciiTheme="minorHAnsi" w:hAnsiTheme="minorHAnsi"/>
          <w:bCs/>
          <w:iCs/>
        </w:rPr>
      </w:pPr>
      <w:r w:rsidRPr="0020747C">
        <w:rPr>
          <w:rFonts w:asciiTheme="minorHAnsi" w:hAnsiTheme="minorHAnsi"/>
          <w:b/>
          <w:iCs/>
        </w:rPr>
        <w:t xml:space="preserve">Figure </w:t>
      </w:r>
      <w:r w:rsidR="009104E7">
        <w:rPr>
          <w:rFonts w:asciiTheme="minorHAnsi" w:hAnsiTheme="minorHAnsi"/>
          <w:b/>
          <w:iCs/>
        </w:rPr>
        <w:t>5</w:t>
      </w:r>
      <w:r w:rsidRPr="0020747C">
        <w:rPr>
          <w:rFonts w:asciiTheme="minorHAnsi" w:hAnsiTheme="minorHAnsi"/>
          <w:b/>
          <w:iCs/>
        </w:rPr>
        <w:t>.</w:t>
      </w:r>
      <w:r>
        <w:rPr>
          <w:rFonts w:asciiTheme="minorHAnsi" w:hAnsiTheme="minorHAnsi"/>
          <w:b/>
          <w:iCs/>
        </w:rPr>
        <w:t>6</w:t>
      </w:r>
      <w:r>
        <w:rPr>
          <w:rFonts w:asciiTheme="minorHAnsi" w:hAnsiTheme="minorHAnsi"/>
          <w:bCs/>
          <w:iCs/>
        </w:rPr>
        <w:t xml:space="preserve"> The SST effect associated with the Pacific Decadal Oscillation (PDO).</w:t>
      </w:r>
    </w:p>
    <w:p w14:paraId="664F4B30" w14:textId="20C0A5AC" w:rsidR="0020747C" w:rsidRDefault="0020747C" w:rsidP="00CF4AD8">
      <w:pPr>
        <w:spacing w:after="240"/>
        <w:rPr>
          <w:rFonts w:asciiTheme="minorHAnsi" w:hAnsiTheme="minorHAnsi"/>
          <w:bCs/>
          <w:iCs/>
        </w:rPr>
      </w:pPr>
      <w:r w:rsidRPr="0020747C">
        <w:rPr>
          <w:rFonts w:asciiTheme="minorHAnsi" w:hAnsiTheme="minorHAnsi"/>
          <w:b/>
          <w:iCs/>
        </w:rPr>
        <w:t xml:space="preserve">Figure </w:t>
      </w:r>
      <w:r w:rsidR="009104E7">
        <w:rPr>
          <w:rFonts w:asciiTheme="minorHAnsi" w:hAnsiTheme="minorHAnsi"/>
          <w:b/>
          <w:iCs/>
        </w:rPr>
        <w:t>5</w:t>
      </w:r>
      <w:r w:rsidRPr="0020747C">
        <w:rPr>
          <w:rFonts w:asciiTheme="minorHAnsi" w:hAnsiTheme="minorHAnsi"/>
          <w:b/>
          <w:iCs/>
        </w:rPr>
        <w:t>.</w:t>
      </w:r>
      <w:r>
        <w:rPr>
          <w:rFonts w:asciiTheme="minorHAnsi" w:hAnsiTheme="minorHAnsi"/>
          <w:b/>
          <w:iCs/>
        </w:rPr>
        <w:t>7</w:t>
      </w:r>
      <w:r>
        <w:rPr>
          <w:rFonts w:asciiTheme="minorHAnsi" w:hAnsiTheme="minorHAnsi"/>
          <w:bCs/>
          <w:iCs/>
        </w:rPr>
        <w:t xml:space="preserve"> The SST effect associated with the North Atlantic Oscillation (NAO).</w:t>
      </w:r>
    </w:p>
    <w:p w14:paraId="0D50338B" w14:textId="19A0863D" w:rsidR="0020747C" w:rsidRDefault="0020747C" w:rsidP="00CF4AD8">
      <w:pPr>
        <w:spacing w:after="240"/>
        <w:rPr>
          <w:rFonts w:asciiTheme="minorHAnsi" w:hAnsiTheme="minorHAnsi"/>
          <w:bCs/>
          <w:iCs/>
        </w:rPr>
      </w:pPr>
      <w:r w:rsidRPr="0020747C">
        <w:rPr>
          <w:rFonts w:asciiTheme="minorHAnsi" w:hAnsiTheme="minorHAnsi"/>
          <w:b/>
          <w:iCs/>
        </w:rPr>
        <w:t xml:space="preserve">Figure </w:t>
      </w:r>
      <w:r w:rsidR="009104E7">
        <w:rPr>
          <w:rFonts w:asciiTheme="minorHAnsi" w:hAnsiTheme="minorHAnsi"/>
          <w:b/>
          <w:iCs/>
        </w:rPr>
        <w:t>5</w:t>
      </w:r>
      <w:r w:rsidRPr="0020747C">
        <w:rPr>
          <w:rFonts w:asciiTheme="minorHAnsi" w:hAnsiTheme="minorHAnsi"/>
          <w:b/>
          <w:iCs/>
        </w:rPr>
        <w:t>.</w:t>
      </w:r>
      <w:r>
        <w:rPr>
          <w:rFonts w:asciiTheme="minorHAnsi" w:hAnsiTheme="minorHAnsi"/>
          <w:b/>
          <w:iCs/>
        </w:rPr>
        <w:t>8</w:t>
      </w:r>
      <w:r>
        <w:rPr>
          <w:rFonts w:asciiTheme="minorHAnsi" w:hAnsiTheme="minorHAnsi"/>
          <w:bCs/>
          <w:iCs/>
        </w:rPr>
        <w:t xml:space="preserve"> The SST effect associated with the Indian Ocean Dipole (IOD).</w:t>
      </w:r>
    </w:p>
    <w:p w14:paraId="5FD34B2A" w14:textId="3E4A81F7" w:rsidR="0020747C" w:rsidRDefault="0020747C" w:rsidP="00CF4AD8">
      <w:pPr>
        <w:spacing w:after="240"/>
        <w:rPr>
          <w:rFonts w:asciiTheme="minorHAnsi" w:hAnsiTheme="minorHAnsi"/>
          <w:bCs/>
          <w:iCs/>
        </w:rPr>
      </w:pPr>
      <w:r w:rsidRPr="0020747C">
        <w:rPr>
          <w:rFonts w:asciiTheme="minorHAnsi" w:hAnsiTheme="minorHAnsi"/>
          <w:b/>
          <w:iCs/>
        </w:rPr>
        <w:t xml:space="preserve">Figure </w:t>
      </w:r>
      <w:r w:rsidR="009104E7">
        <w:rPr>
          <w:rFonts w:asciiTheme="minorHAnsi" w:hAnsiTheme="minorHAnsi"/>
          <w:b/>
          <w:iCs/>
        </w:rPr>
        <w:t>5</w:t>
      </w:r>
      <w:r w:rsidRPr="0020747C">
        <w:rPr>
          <w:rFonts w:asciiTheme="minorHAnsi" w:hAnsiTheme="minorHAnsi"/>
          <w:b/>
          <w:iCs/>
        </w:rPr>
        <w:t>.</w:t>
      </w:r>
      <w:r>
        <w:rPr>
          <w:rFonts w:asciiTheme="minorHAnsi" w:hAnsiTheme="minorHAnsi"/>
          <w:b/>
          <w:iCs/>
        </w:rPr>
        <w:t>9</w:t>
      </w:r>
      <w:r>
        <w:rPr>
          <w:rFonts w:asciiTheme="minorHAnsi" w:hAnsiTheme="minorHAnsi"/>
          <w:bCs/>
          <w:iCs/>
        </w:rPr>
        <w:t xml:space="preserve"> The SST effect associated with El Niño Southern Oscillation (ENSO).</w:t>
      </w:r>
    </w:p>
    <w:p w14:paraId="3EED1C7E" w14:textId="4B68B639" w:rsidR="0020747C" w:rsidRDefault="0020747C" w:rsidP="00CF4AD8">
      <w:pPr>
        <w:spacing w:after="240"/>
        <w:rPr>
          <w:rFonts w:asciiTheme="minorHAnsi" w:hAnsiTheme="minorHAnsi"/>
          <w:bCs/>
          <w:iCs/>
        </w:rPr>
      </w:pPr>
      <w:r w:rsidRPr="0020747C">
        <w:rPr>
          <w:rFonts w:asciiTheme="minorHAnsi" w:hAnsiTheme="minorHAnsi"/>
          <w:b/>
          <w:iCs/>
        </w:rPr>
        <w:t xml:space="preserve">Figure </w:t>
      </w:r>
      <w:r w:rsidR="009104E7">
        <w:rPr>
          <w:rFonts w:asciiTheme="minorHAnsi" w:hAnsiTheme="minorHAnsi"/>
          <w:b/>
          <w:iCs/>
        </w:rPr>
        <w:t>5</w:t>
      </w:r>
      <w:r w:rsidRPr="0020747C">
        <w:rPr>
          <w:rFonts w:asciiTheme="minorHAnsi" w:hAnsiTheme="minorHAnsi"/>
          <w:b/>
          <w:iCs/>
        </w:rPr>
        <w:t>.</w:t>
      </w:r>
      <w:r>
        <w:rPr>
          <w:rFonts w:asciiTheme="minorHAnsi" w:hAnsiTheme="minorHAnsi"/>
          <w:b/>
          <w:iCs/>
        </w:rPr>
        <w:t>10</w:t>
      </w:r>
      <w:r>
        <w:rPr>
          <w:rFonts w:asciiTheme="minorHAnsi" w:hAnsiTheme="minorHAnsi"/>
          <w:bCs/>
          <w:iCs/>
        </w:rPr>
        <w:t xml:space="preserve"> The PSL effect associated with the East Atlantic (EA) Oscillation.</w:t>
      </w:r>
    </w:p>
    <w:p w14:paraId="40A015B5" w14:textId="0B238C37" w:rsidR="0020747C" w:rsidRDefault="0020747C" w:rsidP="00CF4AD8">
      <w:pPr>
        <w:spacing w:after="240"/>
        <w:rPr>
          <w:rFonts w:asciiTheme="minorHAnsi" w:hAnsiTheme="minorHAnsi"/>
          <w:bCs/>
          <w:iCs/>
        </w:rPr>
      </w:pPr>
      <w:r w:rsidRPr="0020747C">
        <w:rPr>
          <w:rFonts w:asciiTheme="minorHAnsi" w:hAnsiTheme="minorHAnsi"/>
          <w:b/>
          <w:iCs/>
        </w:rPr>
        <w:t xml:space="preserve">Figure </w:t>
      </w:r>
      <w:r w:rsidR="009104E7">
        <w:rPr>
          <w:rFonts w:asciiTheme="minorHAnsi" w:hAnsiTheme="minorHAnsi"/>
          <w:b/>
          <w:iCs/>
        </w:rPr>
        <w:t>5</w:t>
      </w:r>
      <w:r w:rsidRPr="0020747C">
        <w:rPr>
          <w:rFonts w:asciiTheme="minorHAnsi" w:hAnsiTheme="minorHAnsi"/>
          <w:b/>
          <w:iCs/>
        </w:rPr>
        <w:t>.</w:t>
      </w:r>
      <w:r>
        <w:rPr>
          <w:rFonts w:asciiTheme="minorHAnsi" w:hAnsiTheme="minorHAnsi"/>
          <w:b/>
          <w:iCs/>
        </w:rPr>
        <w:t>11</w:t>
      </w:r>
      <w:r>
        <w:rPr>
          <w:rFonts w:asciiTheme="minorHAnsi" w:hAnsiTheme="minorHAnsi"/>
          <w:bCs/>
          <w:iCs/>
        </w:rPr>
        <w:t xml:space="preserve"> The PSL effect associated with the Arctic Oscillation (AO).</w:t>
      </w:r>
    </w:p>
    <w:p w14:paraId="7A7127B1" w14:textId="6DC6D5D9" w:rsidR="006039A1" w:rsidRDefault="006039A1" w:rsidP="00CF4AD8">
      <w:pPr>
        <w:spacing w:after="240"/>
        <w:rPr>
          <w:rFonts w:asciiTheme="minorHAnsi" w:hAnsiTheme="minorHAnsi"/>
          <w:bCs/>
          <w:iCs/>
        </w:rPr>
      </w:pPr>
      <w:r w:rsidRPr="006039A1">
        <w:rPr>
          <w:rFonts w:asciiTheme="minorHAnsi" w:hAnsiTheme="minorHAnsi"/>
          <w:b/>
          <w:bCs/>
        </w:rPr>
        <w:t xml:space="preserve">Figure </w:t>
      </w:r>
      <w:r w:rsidR="009104E7">
        <w:rPr>
          <w:rFonts w:asciiTheme="minorHAnsi" w:hAnsiTheme="minorHAnsi"/>
          <w:b/>
          <w:bCs/>
        </w:rPr>
        <w:t>5</w:t>
      </w:r>
      <w:r w:rsidRPr="006039A1">
        <w:rPr>
          <w:rFonts w:asciiTheme="minorHAnsi" w:hAnsiTheme="minorHAnsi"/>
          <w:b/>
          <w:bCs/>
        </w:rPr>
        <w:t>.12</w:t>
      </w:r>
      <w:r>
        <w:rPr>
          <w:rFonts w:asciiTheme="minorHAnsi" w:hAnsiTheme="minorHAnsi"/>
        </w:rPr>
        <w:t xml:space="preserve"> </w:t>
      </w:r>
      <w:r w:rsidRPr="00D40E8A">
        <w:rPr>
          <w:rFonts w:asciiTheme="minorHAnsi" w:hAnsiTheme="minorHAnsi"/>
          <w:bCs/>
          <w:iCs/>
        </w:rPr>
        <w:t>The effect of all investigated modes on annual precipitation over the contiguous US</w:t>
      </w:r>
      <w:r>
        <w:rPr>
          <w:rFonts w:asciiTheme="minorHAnsi" w:hAnsiTheme="minorHAnsi"/>
          <w:bCs/>
          <w:iCs/>
        </w:rPr>
        <w:t>.</w:t>
      </w:r>
    </w:p>
    <w:p w14:paraId="19B2E462" w14:textId="0006C4B2" w:rsidR="00277AB2" w:rsidRDefault="006039A1" w:rsidP="00CF4AD8">
      <w:pPr>
        <w:spacing w:after="240"/>
        <w:rPr>
          <w:rFonts w:asciiTheme="minorHAnsi" w:hAnsiTheme="minorHAnsi"/>
          <w:b/>
          <w:iCs/>
        </w:rPr>
      </w:pPr>
      <w:r w:rsidRPr="006039A1">
        <w:rPr>
          <w:rFonts w:asciiTheme="minorHAnsi" w:hAnsiTheme="minorHAnsi"/>
          <w:b/>
          <w:iCs/>
        </w:rPr>
        <w:t xml:space="preserve">Figure </w:t>
      </w:r>
      <w:r w:rsidR="009104E7">
        <w:rPr>
          <w:rFonts w:asciiTheme="minorHAnsi" w:hAnsiTheme="minorHAnsi"/>
          <w:b/>
          <w:iCs/>
        </w:rPr>
        <w:t>5</w:t>
      </w:r>
      <w:r w:rsidRPr="006039A1">
        <w:rPr>
          <w:rFonts w:asciiTheme="minorHAnsi" w:hAnsiTheme="minorHAnsi"/>
          <w:b/>
          <w:iCs/>
        </w:rPr>
        <w:t>.1</w:t>
      </w:r>
      <w:r w:rsidR="00277AB2">
        <w:rPr>
          <w:rFonts w:asciiTheme="minorHAnsi" w:hAnsiTheme="minorHAnsi"/>
          <w:b/>
          <w:iCs/>
        </w:rPr>
        <w:t xml:space="preserve">3 </w:t>
      </w:r>
      <w:r w:rsidR="00277AB2" w:rsidRPr="00D40E8A">
        <w:rPr>
          <w:rFonts w:asciiTheme="minorHAnsi" w:hAnsiTheme="minorHAnsi"/>
          <w:bCs/>
          <w:iCs/>
        </w:rPr>
        <w:t xml:space="preserve">The </w:t>
      </w:r>
      <w:r w:rsidR="00277AB2">
        <w:rPr>
          <w:rFonts w:asciiTheme="minorHAnsi" w:hAnsiTheme="minorHAnsi"/>
          <w:bCs/>
          <w:iCs/>
        </w:rPr>
        <w:t>AMO</w:t>
      </w:r>
      <w:r w:rsidR="00277AB2" w:rsidRPr="00D40E8A">
        <w:rPr>
          <w:rFonts w:asciiTheme="minorHAnsi" w:hAnsiTheme="minorHAnsi"/>
          <w:bCs/>
          <w:iCs/>
        </w:rPr>
        <w:t xml:space="preserve"> ind</w:t>
      </w:r>
      <w:r w:rsidR="00277AB2">
        <w:rPr>
          <w:rFonts w:asciiTheme="minorHAnsi" w:hAnsiTheme="minorHAnsi"/>
          <w:bCs/>
          <w:iCs/>
        </w:rPr>
        <w:t>ex</w:t>
      </w:r>
      <w:r w:rsidR="00277AB2" w:rsidRPr="00D40E8A">
        <w:rPr>
          <w:rFonts w:asciiTheme="minorHAnsi" w:hAnsiTheme="minorHAnsi"/>
          <w:bCs/>
          <w:iCs/>
        </w:rPr>
        <w:t xml:space="preserve"> calculated from the 16 transient runs (1950-2100) from which the 160 time-slice ensemble members are derived.</w:t>
      </w:r>
    </w:p>
    <w:p w14:paraId="714A7CF6" w14:textId="1EB4927E" w:rsidR="006039A1" w:rsidRDefault="00277AB2" w:rsidP="00CF4AD8">
      <w:pPr>
        <w:spacing w:after="240"/>
        <w:rPr>
          <w:rFonts w:asciiTheme="minorHAnsi" w:hAnsiTheme="minorHAnsi"/>
          <w:bCs/>
          <w:iCs/>
        </w:rPr>
      </w:pPr>
      <w:r>
        <w:rPr>
          <w:rFonts w:asciiTheme="minorHAnsi" w:hAnsiTheme="minorHAnsi"/>
          <w:b/>
          <w:iCs/>
        </w:rPr>
        <w:t xml:space="preserve">Figure </w:t>
      </w:r>
      <w:r w:rsidR="009104E7">
        <w:rPr>
          <w:rFonts w:asciiTheme="minorHAnsi" w:hAnsiTheme="minorHAnsi"/>
          <w:b/>
          <w:iCs/>
        </w:rPr>
        <w:t>5</w:t>
      </w:r>
      <w:r w:rsidR="006039A1" w:rsidRPr="006039A1">
        <w:rPr>
          <w:rFonts w:asciiTheme="minorHAnsi" w:hAnsiTheme="minorHAnsi"/>
          <w:b/>
          <w:iCs/>
        </w:rPr>
        <w:t>.14</w:t>
      </w:r>
      <w:r w:rsidR="006039A1">
        <w:rPr>
          <w:rFonts w:asciiTheme="minorHAnsi" w:hAnsiTheme="minorHAnsi"/>
          <w:bCs/>
          <w:iCs/>
        </w:rPr>
        <w:t xml:space="preserve"> </w:t>
      </w:r>
      <w:r w:rsidR="006039A1" w:rsidRPr="00D40E8A">
        <w:rPr>
          <w:rFonts w:asciiTheme="minorHAnsi" w:hAnsiTheme="minorHAnsi"/>
          <w:bCs/>
          <w:iCs/>
        </w:rPr>
        <w:t>The PDO ind</w:t>
      </w:r>
      <w:r>
        <w:rPr>
          <w:rFonts w:asciiTheme="minorHAnsi" w:hAnsiTheme="minorHAnsi"/>
          <w:bCs/>
          <w:iCs/>
        </w:rPr>
        <w:t>ex</w:t>
      </w:r>
      <w:r w:rsidR="006039A1" w:rsidRPr="00D40E8A">
        <w:rPr>
          <w:rFonts w:asciiTheme="minorHAnsi" w:hAnsiTheme="minorHAnsi"/>
          <w:bCs/>
          <w:iCs/>
        </w:rPr>
        <w:t xml:space="preserve"> calculated from the 16 transient runs (1950-2100) from which the 160 time-slice ensemble members are derived.</w:t>
      </w:r>
    </w:p>
    <w:p w14:paraId="6AA655F5" w14:textId="1064BD9A" w:rsidR="00DB0A22" w:rsidRDefault="00DB0A22" w:rsidP="00CF4AD8">
      <w:pPr>
        <w:spacing w:after="240"/>
        <w:rPr>
          <w:rFonts w:asciiTheme="minorHAnsi" w:hAnsiTheme="minorHAnsi"/>
          <w:bCs/>
          <w:iCs/>
        </w:rPr>
      </w:pPr>
      <w:r w:rsidRPr="00FD434A">
        <w:rPr>
          <w:rFonts w:asciiTheme="minorHAnsi" w:hAnsiTheme="minorHAnsi"/>
          <w:b/>
          <w:iCs/>
        </w:rPr>
        <w:t xml:space="preserve">Figure </w:t>
      </w:r>
      <w:r w:rsidR="009104E7">
        <w:rPr>
          <w:rFonts w:asciiTheme="minorHAnsi" w:hAnsiTheme="minorHAnsi"/>
          <w:b/>
          <w:iCs/>
        </w:rPr>
        <w:t>5</w:t>
      </w:r>
      <w:r w:rsidRPr="00FD434A">
        <w:rPr>
          <w:rFonts w:asciiTheme="minorHAnsi" w:hAnsiTheme="minorHAnsi"/>
          <w:b/>
          <w:iCs/>
        </w:rPr>
        <w:t>.15</w:t>
      </w:r>
      <w:r>
        <w:rPr>
          <w:rFonts w:asciiTheme="minorHAnsi" w:hAnsiTheme="minorHAnsi"/>
          <w:bCs/>
          <w:iCs/>
        </w:rPr>
        <w:t xml:space="preserve"> The </w:t>
      </w:r>
      <w:r w:rsidR="00692ED8">
        <w:rPr>
          <w:rFonts w:asciiTheme="minorHAnsi" w:hAnsiTheme="minorHAnsi"/>
          <w:bCs/>
          <w:iCs/>
        </w:rPr>
        <w:t>distribution of the mode values in the recent and future climates, with K-S</w:t>
      </w:r>
      <w:r>
        <w:rPr>
          <w:rFonts w:asciiTheme="minorHAnsi" w:hAnsiTheme="minorHAnsi"/>
          <w:bCs/>
          <w:iCs/>
        </w:rPr>
        <w:t xml:space="preserve"> </w:t>
      </w:r>
      <w:r w:rsidR="00692ED8">
        <w:rPr>
          <w:rFonts w:asciiTheme="minorHAnsi" w:hAnsiTheme="minorHAnsi"/>
          <w:bCs/>
          <w:iCs/>
        </w:rPr>
        <w:t>test p-values comparing the distributions between time-slices given.</w:t>
      </w:r>
    </w:p>
    <w:p w14:paraId="4A86807E" w14:textId="03CA6530" w:rsidR="00DB0A22" w:rsidRDefault="00DB0A22" w:rsidP="00CF4AD8">
      <w:pPr>
        <w:spacing w:after="240"/>
        <w:rPr>
          <w:rFonts w:asciiTheme="minorHAnsi" w:hAnsiTheme="minorHAnsi"/>
          <w:bCs/>
          <w:iCs/>
        </w:rPr>
      </w:pPr>
      <w:r w:rsidRPr="00FD434A">
        <w:rPr>
          <w:rFonts w:asciiTheme="minorHAnsi" w:hAnsiTheme="minorHAnsi"/>
          <w:b/>
          <w:iCs/>
        </w:rPr>
        <w:t xml:space="preserve">Figure </w:t>
      </w:r>
      <w:r w:rsidR="009104E7">
        <w:rPr>
          <w:rFonts w:asciiTheme="minorHAnsi" w:hAnsiTheme="minorHAnsi"/>
          <w:b/>
          <w:iCs/>
        </w:rPr>
        <w:t>5</w:t>
      </w:r>
      <w:r w:rsidRPr="00FD434A">
        <w:rPr>
          <w:rFonts w:asciiTheme="minorHAnsi" w:hAnsiTheme="minorHAnsi"/>
          <w:b/>
          <w:iCs/>
        </w:rPr>
        <w:t>.16</w:t>
      </w:r>
      <w:r>
        <w:rPr>
          <w:rFonts w:asciiTheme="minorHAnsi" w:hAnsiTheme="minorHAnsi"/>
          <w:bCs/>
          <w:iCs/>
        </w:rPr>
        <w:t xml:space="preserve"> </w:t>
      </w:r>
      <w:r w:rsidR="00692ED8" w:rsidRPr="00692ED8">
        <w:rPr>
          <w:rFonts w:asciiTheme="minorHAnsi" w:hAnsiTheme="minorHAnsi"/>
          <w:bCs/>
          <w:iCs/>
        </w:rPr>
        <w:t>The SST effect associated with El Niño Southern Oscillation (ENSO)</w:t>
      </w:r>
      <w:r w:rsidR="00692ED8">
        <w:rPr>
          <w:rFonts w:asciiTheme="minorHAnsi" w:hAnsiTheme="minorHAnsi"/>
          <w:bCs/>
          <w:iCs/>
        </w:rPr>
        <w:t xml:space="preserve"> in the recent and future climates for comparison.</w:t>
      </w:r>
    </w:p>
    <w:p w14:paraId="3CB1125A" w14:textId="77777777" w:rsidR="00EF734B" w:rsidRDefault="00EF734B" w:rsidP="00EF734B">
      <w:pPr>
        <w:spacing w:after="240"/>
        <w:rPr>
          <w:rFonts w:asciiTheme="minorHAnsi" w:hAnsiTheme="minorHAnsi"/>
          <w:bCs/>
          <w:iCs/>
        </w:rPr>
      </w:pPr>
      <w:r w:rsidRPr="006039A1">
        <w:rPr>
          <w:rFonts w:asciiTheme="minorHAnsi" w:hAnsiTheme="minorHAnsi"/>
          <w:b/>
          <w:iCs/>
        </w:rPr>
        <w:t xml:space="preserve">Figure </w:t>
      </w:r>
      <w:r>
        <w:rPr>
          <w:rFonts w:asciiTheme="minorHAnsi" w:hAnsiTheme="minorHAnsi"/>
          <w:b/>
          <w:iCs/>
        </w:rPr>
        <w:t>6</w:t>
      </w:r>
      <w:r w:rsidRPr="006039A1">
        <w:rPr>
          <w:rFonts w:asciiTheme="minorHAnsi" w:hAnsiTheme="minorHAnsi"/>
          <w:b/>
          <w:iCs/>
        </w:rPr>
        <w:t>.1</w:t>
      </w:r>
      <w:r>
        <w:rPr>
          <w:rFonts w:asciiTheme="minorHAnsi" w:hAnsiTheme="minorHAnsi"/>
          <w:bCs/>
          <w:iCs/>
        </w:rPr>
        <w:t xml:space="preserve"> Scatterplots showing the relationship between ENSO and IOD, and ENSO and TNA+1 in the recent and +2°C climates</w:t>
      </w:r>
    </w:p>
    <w:p w14:paraId="01EDC2F9" w14:textId="0698844F" w:rsidR="00EF734B" w:rsidRPr="00212DA8" w:rsidRDefault="00EF734B" w:rsidP="00CF4AD8">
      <w:pPr>
        <w:spacing w:after="240"/>
        <w:rPr>
          <w:rFonts w:asciiTheme="minorHAnsi" w:hAnsiTheme="minorHAnsi"/>
        </w:rPr>
      </w:pPr>
      <w:r w:rsidRPr="002466DB">
        <w:rPr>
          <w:rFonts w:asciiTheme="minorHAnsi" w:hAnsiTheme="minorHAnsi"/>
          <w:b/>
          <w:iCs/>
        </w:rPr>
        <w:t xml:space="preserve">Figure </w:t>
      </w:r>
      <w:r>
        <w:rPr>
          <w:rFonts w:asciiTheme="minorHAnsi" w:hAnsiTheme="minorHAnsi"/>
          <w:b/>
          <w:iCs/>
        </w:rPr>
        <w:t>6.2</w:t>
      </w:r>
      <w:r>
        <w:rPr>
          <w:rFonts w:asciiTheme="minorHAnsi" w:hAnsiTheme="minorHAnsi"/>
          <w:bCs/>
          <w:iCs/>
        </w:rPr>
        <w:t xml:space="preserve"> </w:t>
      </w:r>
      <w:r w:rsidRPr="003C28D6">
        <w:rPr>
          <w:rFonts w:asciiTheme="minorHAnsi" w:hAnsiTheme="minorHAnsi"/>
          <w:bCs/>
          <w:iCs/>
        </w:rPr>
        <w:t xml:space="preserve">Scatterplots of annual temperature and precipitation </w:t>
      </w:r>
      <w:r>
        <w:rPr>
          <w:rFonts w:asciiTheme="minorHAnsi" w:hAnsiTheme="minorHAnsi"/>
          <w:bCs/>
          <w:iCs/>
        </w:rPr>
        <w:t>in the contiguous US against the climate mode index values.</w:t>
      </w:r>
    </w:p>
    <w:p w14:paraId="53D3CAF1" w14:textId="73D22505" w:rsidR="00212DA8" w:rsidRDefault="006039A1" w:rsidP="00CF4AD8">
      <w:pPr>
        <w:spacing w:after="240"/>
        <w:rPr>
          <w:rFonts w:asciiTheme="minorHAnsi" w:hAnsiTheme="minorHAnsi"/>
          <w:bCs/>
          <w:iCs/>
        </w:rPr>
      </w:pPr>
      <w:r>
        <w:rPr>
          <w:rFonts w:asciiTheme="minorHAnsi" w:hAnsiTheme="minorHAnsi"/>
          <w:b/>
          <w:iCs/>
        </w:rPr>
        <w:t xml:space="preserve">Figure </w:t>
      </w:r>
      <w:r w:rsidR="009104E7">
        <w:rPr>
          <w:rFonts w:asciiTheme="minorHAnsi" w:hAnsiTheme="minorHAnsi"/>
          <w:b/>
          <w:iCs/>
        </w:rPr>
        <w:t>7</w:t>
      </w:r>
      <w:r>
        <w:rPr>
          <w:rFonts w:asciiTheme="minorHAnsi" w:hAnsiTheme="minorHAnsi"/>
          <w:b/>
          <w:iCs/>
        </w:rPr>
        <w:t xml:space="preserve">.1 </w:t>
      </w:r>
      <w:r>
        <w:rPr>
          <w:rFonts w:asciiTheme="minorHAnsi" w:hAnsiTheme="minorHAnsi"/>
          <w:bCs/>
          <w:iCs/>
        </w:rPr>
        <w:t>The area of effect of each mode to a 5-sigma significance threshold.</w:t>
      </w:r>
    </w:p>
    <w:p w14:paraId="19EB453D" w14:textId="290D67E0" w:rsidR="006039A1" w:rsidRDefault="006039A1" w:rsidP="00CF4AD8">
      <w:pPr>
        <w:spacing w:after="240"/>
        <w:rPr>
          <w:rFonts w:asciiTheme="minorHAnsi" w:hAnsiTheme="minorHAnsi"/>
          <w:bCs/>
          <w:iCs/>
        </w:rPr>
      </w:pPr>
      <w:r w:rsidRPr="006039A1">
        <w:rPr>
          <w:rFonts w:asciiTheme="minorHAnsi" w:hAnsiTheme="minorHAnsi"/>
          <w:b/>
          <w:iCs/>
        </w:rPr>
        <w:t xml:space="preserve">Figure </w:t>
      </w:r>
      <w:r w:rsidR="009104E7">
        <w:rPr>
          <w:rFonts w:asciiTheme="minorHAnsi" w:hAnsiTheme="minorHAnsi"/>
          <w:b/>
          <w:iCs/>
        </w:rPr>
        <w:t>7</w:t>
      </w:r>
      <w:r w:rsidRPr="006039A1">
        <w:rPr>
          <w:rFonts w:asciiTheme="minorHAnsi" w:hAnsiTheme="minorHAnsi"/>
          <w:b/>
          <w:iCs/>
        </w:rPr>
        <w:t>.2</w:t>
      </w:r>
      <w:r>
        <w:rPr>
          <w:rFonts w:asciiTheme="minorHAnsi" w:hAnsiTheme="minorHAnsi"/>
          <w:bCs/>
          <w:iCs/>
        </w:rPr>
        <w:t xml:space="preserve"> The seasonally discrete area of significant influence of each mode.</w:t>
      </w:r>
    </w:p>
    <w:p w14:paraId="00388C79" w14:textId="57D7F3FD" w:rsidR="006039A1" w:rsidRDefault="006039A1" w:rsidP="00CF4AD8">
      <w:pPr>
        <w:spacing w:after="240"/>
        <w:rPr>
          <w:rFonts w:asciiTheme="minorHAnsi" w:hAnsiTheme="minorHAnsi"/>
          <w:bCs/>
          <w:iCs/>
        </w:rPr>
      </w:pPr>
      <w:r w:rsidRPr="006039A1">
        <w:rPr>
          <w:rFonts w:asciiTheme="minorHAnsi" w:hAnsiTheme="minorHAnsi"/>
          <w:b/>
          <w:iCs/>
        </w:rPr>
        <w:t xml:space="preserve">Figure </w:t>
      </w:r>
      <w:r w:rsidR="009104E7">
        <w:rPr>
          <w:rFonts w:asciiTheme="minorHAnsi" w:hAnsiTheme="minorHAnsi"/>
          <w:b/>
          <w:iCs/>
        </w:rPr>
        <w:t>7</w:t>
      </w:r>
      <w:r w:rsidRPr="006039A1">
        <w:rPr>
          <w:rFonts w:asciiTheme="minorHAnsi" w:hAnsiTheme="minorHAnsi"/>
          <w:b/>
          <w:iCs/>
        </w:rPr>
        <w:t>.3</w:t>
      </w:r>
      <w:r>
        <w:rPr>
          <w:rFonts w:asciiTheme="minorHAnsi" w:hAnsiTheme="minorHAnsi"/>
          <w:bCs/>
          <w:iCs/>
        </w:rPr>
        <w:t xml:space="preserve"> The geospatial effect on the annual number of fires of all modes not given in Figure 2.</w:t>
      </w:r>
    </w:p>
    <w:p w14:paraId="741DB731" w14:textId="77777777" w:rsidR="00EF734B" w:rsidRDefault="00EF734B" w:rsidP="00EF734B">
      <w:pPr>
        <w:spacing w:after="240"/>
        <w:rPr>
          <w:rFonts w:asciiTheme="minorHAnsi" w:hAnsiTheme="minorHAnsi"/>
          <w:bCs/>
          <w:iCs/>
        </w:rPr>
      </w:pPr>
      <w:r w:rsidRPr="0001146A">
        <w:rPr>
          <w:rFonts w:asciiTheme="minorHAnsi" w:hAnsiTheme="minorHAnsi"/>
          <w:b/>
          <w:iCs/>
        </w:rPr>
        <w:t xml:space="preserve">Figure </w:t>
      </w:r>
      <w:r>
        <w:rPr>
          <w:rFonts w:asciiTheme="minorHAnsi" w:hAnsiTheme="minorHAnsi"/>
          <w:b/>
          <w:iCs/>
        </w:rPr>
        <w:t>8</w:t>
      </w:r>
      <w:r w:rsidRPr="0001146A">
        <w:rPr>
          <w:rFonts w:asciiTheme="minorHAnsi" w:hAnsiTheme="minorHAnsi"/>
          <w:b/>
          <w:iCs/>
        </w:rPr>
        <w:t>.1</w:t>
      </w:r>
      <w:r w:rsidRPr="000E0520">
        <w:rPr>
          <w:rFonts w:asciiTheme="minorHAnsi" w:hAnsiTheme="minorHAnsi"/>
          <w:bCs/>
          <w:iCs/>
        </w:rPr>
        <w:t xml:space="preserve"> </w:t>
      </w:r>
      <w:r>
        <w:rPr>
          <w:rFonts w:asciiTheme="minorHAnsi" w:hAnsiTheme="minorHAnsi"/>
          <w:bCs/>
          <w:iCs/>
        </w:rPr>
        <w:t>The effect of climate modes on annual precipitation over the contiguous US</w:t>
      </w:r>
      <w:r w:rsidRPr="00AC6EE2">
        <w:rPr>
          <w:rFonts w:asciiTheme="minorHAnsi" w:hAnsiTheme="minorHAnsi"/>
          <w:bCs/>
          <w:iCs/>
        </w:rPr>
        <w:t xml:space="preserve"> </w:t>
      </w:r>
      <w:r>
        <w:rPr>
          <w:rFonts w:asciiTheme="minorHAnsi" w:hAnsiTheme="minorHAnsi"/>
          <w:bCs/>
          <w:iCs/>
        </w:rPr>
        <w:t>in the recent climate.</w:t>
      </w:r>
    </w:p>
    <w:p w14:paraId="3309C478" w14:textId="77777777" w:rsidR="00EF734B" w:rsidRDefault="00EF734B" w:rsidP="00EF734B">
      <w:pPr>
        <w:spacing w:after="240"/>
        <w:rPr>
          <w:rFonts w:asciiTheme="minorHAnsi" w:hAnsiTheme="minorHAnsi"/>
          <w:bCs/>
          <w:iCs/>
        </w:rPr>
      </w:pPr>
      <w:r w:rsidRPr="0001146A">
        <w:rPr>
          <w:rFonts w:asciiTheme="minorHAnsi" w:hAnsiTheme="minorHAnsi"/>
          <w:b/>
          <w:iCs/>
        </w:rPr>
        <w:t xml:space="preserve">Figure </w:t>
      </w:r>
      <w:r>
        <w:rPr>
          <w:rFonts w:asciiTheme="minorHAnsi" w:hAnsiTheme="minorHAnsi"/>
          <w:b/>
          <w:iCs/>
        </w:rPr>
        <w:t>8</w:t>
      </w:r>
      <w:r w:rsidRPr="0001146A">
        <w:rPr>
          <w:rFonts w:asciiTheme="minorHAnsi" w:hAnsiTheme="minorHAnsi"/>
          <w:b/>
          <w:iCs/>
        </w:rPr>
        <w:t>.2</w:t>
      </w:r>
      <w:r>
        <w:rPr>
          <w:rFonts w:asciiTheme="minorHAnsi" w:hAnsiTheme="minorHAnsi"/>
          <w:bCs/>
          <w:iCs/>
        </w:rPr>
        <w:t xml:space="preserve"> The effect of climate modes on annual vapour pressure deficit over the contiguous US</w:t>
      </w:r>
      <w:r w:rsidRPr="00AC6EE2">
        <w:rPr>
          <w:rFonts w:asciiTheme="minorHAnsi" w:hAnsiTheme="minorHAnsi"/>
          <w:bCs/>
          <w:iCs/>
        </w:rPr>
        <w:t xml:space="preserve"> </w:t>
      </w:r>
      <w:r>
        <w:rPr>
          <w:rFonts w:asciiTheme="minorHAnsi" w:hAnsiTheme="minorHAnsi"/>
          <w:bCs/>
          <w:iCs/>
        </w:rPr>
        <w:t>in the recent climate.</w:t>
      </w:r>
    </w:p>
    <w:p w14:paraId="18C2F834" w14:textId="77777777" w:rsidR="00EF734B" w:rsidRDefault="00EF734B" w:rsidP="00EF734B">
      <w:pPr>
        <w:spacing w:after="240"/>
        <w:rPr>
          <w:rFonts w:asciiTheme="minorHAnsi" w:hAnsiTheme="minorHAnsi"/>
          <w:bCs/>
          <w:iCs/>
        </w:rPr>
      </w:pPr>
      <w:r w:rsidRPr="0001146A">
        <w:rPr>
          <w:rFonts w:asciiTheme="minorHAnsi" w:hAnsiTheme="minorHAnsi"/>
          <w:b/>
          <w:iCs/>
        </w:rPr>
        <w:t xml:space="preserve">Figure </w:t>
      </w:r>
      <w:r>
        <w:rPr>
          <w:rFonts w:asciiTheme="minorHAnsi" w:hAnsiTheme="minorHAnsi"/>
          <w:b/>
          <w:iCs/>
        </w:rPr>
        <w:t>8.</w:t>
      </w:r>
      <w:r w:rsidRPr="0001146A">
        <w:rPr>
          <w:rFonts w:asciiTheme="minorHAnsi" w:hAnsiTheme="minorHAnsi"/>
          <w:b/>
          <w:iCs/>
        </w:rPr>
        <w:t>3</w:t>
      </w:r>
      <w:r>
        <w:rPr>
          <w:rFonts w:asciiTheme="minorHAnsi" w:hAnsiTheme="minorHAnsi"/>
          <w:bCs/>
          <w:iCs/>
        </w:rPr>
        <w:t xml:space="preserve"> </w:t>
      </w:r>
      <w:r w:rsidRPr="00662DFD">
        <w:rPr>
          <w:rFonts w:asciiTheme="minorHAnsi" w:hAnsiTheme="minorHAnsi"/>
          <w:bCs/>
          <w:iCs/>
        </w:rPr>
        <w:t xml:space="preserve">The effect of climate modes on annual </w:t>
      </w:r>
      <w:r>
        <w:rPr>
          <w:rFonts w:asciiTheme="minorHAnsi" w:hAnsiTheme="minorHAnsi"/>
          <w:bCs/>
          <w:iCs/>
        </w:rPr>
        <w:t>gross primary productivity</w:t>
      </w:r>
      <w:r w:rsidRPr="00662DFD">
        <w:rPr>
          <w:rFonts w:asciiTheme="minorHAnsi" w:hAnsiTheme="minorHAnsi"/>
          <w:bCs/>
          <w:iCs/>
        </w:rPr>
        <w:t xml:space="preserve"> over the contiguous US</w:t>
      </w:r>
      <w:r>
        <w:rPr>
          <w:rFonts w:asciiTheme="minorHAnsi" w:hAnsiTheme="minorHAnsi"/>
          <w:bCs/>
          <w:iCs/>
        </w:rPr>
        <w:t xml:space="preserve"> in the recent climate.</w:t>
      </w:r>
    </w:p>
    <w:p w14:paraId="0AB896BF" w14:textId="77777777" w:rsidR="00EF734B" w:rsidRPr="00AC6EE2" w:rsidRDefault="00EF734B" w:rsidP="00EF734B">
      <w:pPr>
        <w:spacing w:after="240"/>
        <w:rPr>
          <w:rFonts w:asciiTheme="minorHAnsi" w:hAnsiTheme="minorHAnsi"/>
          <w:bCs/>
          <w:iCs/>
        </w:rPr>
      </w:pPr>
      <w:r w:rsidRPr="0001146A">
        <w:rPr>
          <w:rFonts w:asciiTheme="minorHAnsi" w:hAnsiTheme="minorHAnsi"/>
          <w:b/>
          <w:iCs/>
        </w:rPr>
        <w:t xml:space="preserve">Figure </w:t>
      </w:r>
      <w:r>
        <w:rPr>
          <w:rFonts w:asciiTheme="minorHAnsi" w:hAnsiTheme="minorHAnsi"/>
          <w:b/>
          <w:iCs/>
        </w:rPr>
        <w:t>8</w:t>
      </w:r>
      <w:r w:rsidRPr="0001146A">
        <w:rPr>
          <w:rFonts w:asciiTheme="minorHAnsi" w:hAnsiTheme="minorHAnsi"/>
          <w:b/>
          <w:iCs/>
        </w:rPr>
        <w:t>.4</w:t>
      </w:r>
      <w:r w:rsidRPr="00AC6EE2">
        <w:rPr>
          <w:rFonts w:asciiTheme="minorHAnsi" w:hAnsiTheme="minorHAnsi"/>
          <w:bCs/>
          <w:iCs/>
        </w:rPr>
        <w:t xml:space="preserve"> </w:t>
      </w:r>
      <w:r>
        <w:rPr>
          <w:rFonts w:asciiTheme="minorHAnsi" w:hAnsiTheme="minorHAnsi"/>
          <w:bCs/>
          <w:iCs/>
        </w:rPr>
        <w:t>The effect of climate modes on annual precipitation over the contiguous US</w:t>
      </w:r>
      <w:r w:rsidRPr="00AC6EE2">
        <w:rPr>
          <w:rFonts w:asciiTheme="minorHAnsi" w:hAnsiTheme="minorHAnsi"/>
          <w:bCs/>
          <w:iCs/>
        </w:rPr>
        <w:t xml:space="preserve"> </w:t>
      </w:r>
      <w:r>
        <w:rPr>
          <w:rFonts w:asciiTheme="minorHAnsi" w:hAnsiTheme="minorHAnsi"/>
          <w:bCs/>
          <w:iCs/>
        </w:rPr>
        <w:t>in the +2°C climate.</w:t>
      </w:r>
    </w:p>
    <w:p w14:paraId="667BC52C" w14:textId="77777777" w:rsidR="00EF734B" w:rsidRPr="00AC6EE2" w:rsidRDefault="00EF734B" w:rsidP="00EF734B">
      <w:pPr>
        <w:spacing w:after="240"/>
        <w:rPr>
          <w:rFonts w:asciiTheme="minorHAnsi" w:hAnsiTheme="minorHAnsi"/>
          <w:bCs/>
          <w:iCs/>
        </w:rPr>
      </w:pPr>
      <w:r w:rsidRPr="0001146A">
        <w:rPr>
          <w:rFonts w:asciiTheme="minorHAnsi" w:hAnsiTheme="minorHAnsi"/>
          <w:b/>
          <w:iCs/>
        </w:rPr>
        <w:t xml:space="preserve">Figure </w:t>
      </w:r>
      <w:r>
        <w:rPr>
          <w:rFonts w:asciiTheme="minorHAnsi" w:hAnsiTheme="minorHAnsi"/>
          <w:b/>
          <w:iCs/>
        </w:rPr>
        <w:t>8</w:t>
      </w:r>
      <w:r w:rsidRPr="0001146A">
        <w:rPr>
          <w:rFonts w:asciiTheme="minorHAnsi" w:hAnsiTheme="minorHAnsi"/>
          <w:b/>
          <w:iCs/>
        </w:rPr>
        <w:t>.5</w:t>
      </w:r>
      <w:r w:rsidRPr="00AC6EE2">
        <w:rPr>
          <w:rFonts w:asciiTheme="minorHAnsi" w:hAnsiTheme="minorHAnsi"/>
          <w:bCs/>
          <w:iCs/>
        </w:rPr>
        <w:t xml:space="preserve"> </w:t>
      </w:r>
      <w:r>
        <w:rPr>
          <w:rFonts w:asciiTheme="minorHAnsi" w:hAnsiTheme="minorHAnsi"/>
          <w:bCs/>
          <w:iCs/>
        </w:rPr>
        <w:t>The effect of climate modes on annual vapour pressure deficit over the contiguous US in the +2°C climate.</w:t>
      </w:r>
    </w:p>
    <w:p w14:paraId="39AE6872" w14:textId="12B8146C" w:rsidR="006D24D3" w:rsidRDefault="00EF734B" w:rsidP="00CF4AD8">
      <w:pPr>
        <w:spacing w:after="240"/>
        <w:rPr>
          <w:rFonts w:asciiTheme="minorHAnsi" w:hAnsiTheme="minorHAnsi"/>
          <w:bCs/>
          <w:iCs/>
        </w:rPr>
      </w:pPr>
      <w:r w:rsidRPr="0001146A">
        <w:rPr>
          <w:rFonts w:asciiTheme="minorHAnsi" w:hAnsiTheme="minorHAnsi"/>
          <w:b/>
          <w:iCs/>
        </w:rPr>
        <w:t xml:space="preserve">Figure </w:t>
      </w:r>
      <w:r>
        <w:rPr>
          <w:rFonts w:asciiTheme="minorHAnsi" w:hAnsiTheme="minorHAnsi"/>
          <w:b/>
          <w:iCs/>
        </w:rPr>
        <w:t>8</w:t>
      </w:r>
      <w:r w:rsidRPr="0001146A">
        <w:rPr>
          <w:rFonts w:asciiTheme="minorHAnsi" w:hAnsiTheme="minorHAnsi"/>
          <w:b/>
          <w:iCs/>
        </w:rPr>
        <w:t>.6</w:t>
      </w:r>
      <w:r w:rsidRPr="00AC6EE2">
        <w:rPr>
          <w:rFonts w:asciiTheme="minorHAnsi" w:hAnsiTheme="minorHAnsi"/>
          <w:bCs/>
          <w:iCs/>
        </w:rPr>
        <w:t xml:space="preserve"> </w:t>
      </w:r>
      <w:r>
        <w:rPr>
          <w:rFonts w:asciiTheme="minorHAnsi" w:hAnsiTheme="minorHAnsi"/>
          <w:bCs/>
          <w:iCs/>
        </w:rPr>
        <w:t>The effect of climate modes on annual gross primary productivity over the contiguous US in the +2°C climate.</w:t>
      </w:r>
    </w:p>
    <w:p w14:paraId="3DD281DD" w14:textId="1346C327" w:rsidR="006C03A7" w:rsidRDefault="006C03A7" w:rsidP="00CF4AD8">
      <w:pPr>
        <w:spacing w:after="240"/>
        <w:rPr>
          <w:rFonts w:asciiTheme="minorHAnsi" w:hAnsiTheme="minorHAnsi"/>
          <w:bCs/>
          <w:iCs/>
        </w:rPr>
      </w:pPr>
      <w:r w:rsidRPr="006C03A7">
        <w:rPr>
          <w:rFonts w:asciiTheme="minorHAnsi" w:hAnsiTheme="minorHAnsi"/>
          <w:b/>
          <w:iCs/>
        </w:rPr>
        <w:t xml:space="preserve">Figure </w:t>
      </w:r>
      <w:r w:rsidR="009104E7">
        <w:rPr>
          <w:rFonts w:asciiTheme="minorHAnsi" w:hAnsiTheme="minorHAnsi"/>
          <w:b/>
          <w:iCs/>
        </w:rPr>
        <w:t>9</w:t>
      </w:r>
      <w:r w:rsidRPr="006C03A7">
        <w:rPr>
          <w:rFonts w:asciiTheme="minorHAnsi" w:hAnsiTheme="minorHAnsi"/>
          <w:b/>
          <w:iCs/>
        </w:rPr>
        <w:t>.1</w:t>
      </w:r>
      <w:r>
        <w:rPr>
          <w:rFonts w:asciiTheme="minorHAnsi" w:hAnsiTheme="minorHAnsi"/>
          <w:bCs/>
          <w:iCs/>
        </w:rPr>
        <w:t xml:space="preserve"> The effect of the positive and negative phases of the AMO+1 on the annual w</w:t>
      </w:r>
      <w:r w:rsidRPr="006C03A7">
        <w:rPr>
          <w:rFonts w:asciiTheme="minorHAnsi" w:hAnsiTheme="minorHAnsi"/>
          <w:bCs/>
          <w:iCs/>
        </w:rPr>
        <w:t>ildfire distributions in each of the US Geographic Area Coordination Centres</w:t>
      </w:r>
      <w:r>
        <w:rPr>
          <w:rFonts w:asciiTheme="minorHAnsi" w:hAnsiTheme="minorHAnsi"/>
          <w:bCs/>
          <w:iCs/>
        </w:rPr>
        <w:t>.</w:t>
      </w:r>
    </w:p>
    <w:p w14:paraId="5EF277D1" w14:textId="1CB96C29" w:rsidR="006C03A7" w:rsidRDefault="006C03A7" w:rsidP="00CF4AD8">
      <w:pPr>
        <w:spacing w:after="240"/>
        <w:rPr>
          <w:rFonts w:asciiTheme="minorHAnsi" w:hAnsiTheme="minorHAnsi"/>
          <w:bCs/>
          <w:iCs/>
        </w:rPr>
      </w:pPr>
      <w:r w:rsidRPr="006C03A7">
        <w:rPr>
          <w:rFonts w:asciiTheme="minorHAnsi" w:hAnsiTheme="minorHAnsi"/>
          <w:b/>
          <w:iCs/>
        </w:rPr>
        <w:t xml:space="preserve">Figure </w:t>
      </w:r>
      <w:r w:rsidR="009104E7">
        <w:rPr>
          <w:rFonts w:asciiTheme="minorHAnsi" w:hAnsiTheme="minorHAnsi"/>
          <w:b/>
          <w:iCs/>
        </w:rPr>
        <w:t>9</w:t>
      </w:r>
      <w:r w:rsidRPr="006C03A7">
        <w:rPr>
          <w:rFonts w:asciiTheme="minorHAnsi" w:hAnsiTheme="minorHAnsi"/>
          <w:b/>
          <w:iCs/>
        </w:rPr>
        <w:t>.</w:t>
      </w:r>
      <w:r>
        <w:rPr>
          <w:rFonts w:asciiTheme="minorHAnsi" w:hAnsiTheme="minorHAnsi"/>
          <w:b/>
          <w:iCs/>
        </w:rPr>
        <w:t>2</w:t>
      </w:r>
      <w:r>
        <w:rPr>
          <w:rFonts w:asciiTheme="minorHAnsi" w:hAnsiTheme="minorHAnsi"/>
          <w:bCs/>
          <w:iCs/>
        </w:rPr>
        <w:t xml:space="preserve"> The effect of the positive and negative phases of the TSA on the annual w</w:t>
      </w:r>
      <w:r w:rsidRPr="006C03A7">
        <w:rPr>
          <w:rFonts w:asciiTheme="minorHAnsi" w:hAnsiTheme="minorHAnsi"/>
          <w:bCs/>
          <w:iCs/>
        </w:rPr>
        <w:t>ildfire distributions in each of the US Geographic Area Coordination Centres</w:t>
      </w:r>
      <w:r>
        <w:rPr>
          <w:rFonts w:asciiTheme="minorHAnsi" w:hAnsiTheme="minorHAnsi"/>
          <w:bCs/>
          <w:iCs/>
        </w:rPr>
        <w:t>.</w:t>
      </w:r>
    </w:p>
    <w:p w14:paraId="4A497083" w14:textId="10773531" w:rsidR="006C03A7" w:rsidRDefault="006C03A7" w:rsidP="00CF4AD8">
      <w:pPr>
        <w:spacing w:after="240"/>
        <w:rPr>
          <w:rFonts w:asciiTheme="minorHAnsi" w:hAnsiTheme="minorHAnsi"/>
          <w:bCs/>
          <w:iCs/>
        </w:rPr>
      </w:pPr>
      <w:r w:rsidRPr="006C03A7">
        <w:rPr>
          <w:rFonts w:asciiTheme="minorHAnsi" w:hAnsiTheme="minorHAnsi"/>
          <w:b/>
          <w:iCs/>
        </w:rPr>
        <w:t xml:space="preserve">Figure </w:t>
      </w:r>
      <w:r w:rsidR="009104E7">
        <w:rPr>
          <w:rFonts w:asciiTheme="minorHAnsi" w:hAnsiTheme="minorHAnsi"/>
          <w:b/>
          <w:iCs/>
        </w:rPr>
        <w:t>9</w:t>
      </w:r>
      <w:r w:rsidRPr="006C03A7">
        <w:rPr>
          <w:rFonts w:asciiTheme="minorHAnsi" w:hAnsiTheme="minorHAnsi"/>
          <w:b/>
          <w:iCs/>
        </w:rPr>
        <w:t>.</w:t>
      </w:r>
      <w:r>
        <w:rPr>
          <w:rFonts w:asciiTheme="minorHAnsi" w:hAnsiTheme="minorHAnsi"/>
          <w:b/>
          <w:iCs/>
        </w:rPr>
        <w:t>3</w:t>
      </w:r>
      <w:r>
        <w:rPr>
          <w:rFonts w:asciiTheme="minorHAnsi" w:hAnsiTheme="minorHAnsi"/>
          <w:bCs/>
          <w:iCs/>
        </w:rPr>
        <w:t xml:space="preserve"> The effect of the positive and negative phases of the TNA+1 on the annual w</w:t>
      </w:r>
      <w:r w:rsidRPr="006C03A7">
        <w:rPr>
          <w:rFonts w:asciiTheme="minorHAnsi" w:hAnsiTheme="minorHAnsi"/>
          <w:bCs/>
          <w:iCs/>
        </w:rPr>
        <w:t>ildfire distributions in each of the US Geographic Area Coordination Centres</w:t>
      </w:r>
      <w:r>
        <w:rPr>
          <w:rFonts w:asciiTheme="minorHAnsi" w:hAnsiTheme="minorHAnsi"/>
          <w:bCs/>
          <w:iCs/>
        </w:rPr>
        <w:t>.</w:t>
      </w:r>
    </w:p>
    <w:p w14:paraId="0E9AEBF3" w14:textId="4840598A" w:rsidR="006C03A7" w:rsidRDefault="006C03A7" w:rsidP="00CF4AD8">
      <w:pPr>
        <w:spacing w:after="240"/>
        <w:rPr>
          <w:rFonts w:asciiTheme="minorHAnsi" w:hAnsiTheme="minorHAnsi"/>
          <w:bCs/>
          <w:iCs/>
        </w:rPr>
      </w:pPr>
      <w:r w:rsidRPr="006C03A7">
        <w:rPr>
          <w:rFonts w:asciiTheme="minorHAnsi" w:hAnsiTheme="minorHAnsi"/>
          <w:b/>
          <w:iCs/>
        </w:rPr>
        <w:t xml:space="preserve">Figure </w:t>
      </w:r>
      <w:r w:rsidR="009104E7">
        <w:rPr>
          <w:rFonts w:asciiTheme="minorHAnsi" w:hAnsiTheme="minorHAnsi"/>
          <w:b/>
          <w:iCs/>
        </w:rPr>
        <w:t>9</w:t>
      </w:r>
      <w:r w:rsidRPr="006C03A7">
        <w:rPr>
          <w:rFonts w:asciiTheme="minorHAnsi" w:hAnsiTheme="minorHAnsi"/>
          <w:b/>
          <w:iCs/>
        </w:rPr>
        <w:t>.</w:t>
      </w:r>
      <w:r>
        <w:rPr>
          <w:rFonts w:asciiTheme="minorHAnsi" w:hAnsiTheme="minorHAnsi"/>
          <w:b/>
          <w:iCs/>
        </w:rPr>
        <w:t>4</w:t>
      </w:r>
      <w:r>
        <w:rPr>
          <w:rFonts w:asciiTheme="minorHAnsi" w:hAnsiTheme="minorHAnsi"/>
          <w:bCs/>
          <w:iCs/>
        </w:rPr>
        <w:t xml:space="preserve"> The effect of the positive and negative phases of the PNA on the annual w</w:t>
      </w:r>
      <w:r w:rsidRPr="006C03A7">
        <w:rPr>
          <w:rFonts w:asciiTheme="minorHAnsi" w:hAnsiTheme="minorHAnsi"/>
          <w:bCs/>
          <w:iCs/>
        </w:rPr>
        <w:t>ildfire distributions in each of the US Geographic Area Coordination Centres</w:t>
      </w:r>
      <w:r>
        <w:rPr>
          <w:rFonts w:asciiTheme="minorHAnsi" w:hAnsiTheme="minorHAnsi"/>
          <w:bCs/>
          <w:iCs/>
        </w:rPr>
        <w:t>.</w:t>
      </w:r>
    </w:p>
    <w:p w14:paraId="3A52ED37" w14:textId="67B7DA92" w:rsidR="006C03A7" w:rsidRDefault="006C03A7" w:rsidP="00CF4AD8">
      <w:pPr>
        <w:spacing w:after="240"/>
        <w:rPr>
          <w:rFonts w:asciiTheme="minorHAnsi" w:hAnsiTheme="minorHAnsi"/>
          <w:bCs/>
          <w:iCs/>
        </w:rPr>
      </w:pPr>
      <w:r w:rsidRPr="006C03A7">
        <w:rPr>
          <w:rFonts w:asciiTheme="minorHAnsi" w:hAnsiTheme="minorHAnsi"/>
          <w:b/>
          <w:iCs/>
        </w:rPr>
        <w:t xml:space="preserve">Figure </w:t>
      </w:r>
      <w:r w:rsidR="009104E7">
        <w:rPr>
          <w:rFonts w:asciiTheme="minorHAnsi" w:hAnsiTheme="minorHAnsi"/>
          <w:b/>
          <w:iCs/>
        </w:rPr>
        <w:t>9</w:t>
      </w:r>
      <w:r w:rsidRPr="006C03A7">
        <w:rPr>
          <w:rFonts w:asciiTheme="minorHAnsi" w:hAnsiTheme="minorHAnsi"/>
          <w:b/>
          <w:iCs/>
        </w:rPr>
        <w:t>.</w:t>
      </w:r>
      <w:r>
        <w:rPr>
          <w:rFonts w:asciiTheme="minorHAnsi" w:hAnsiTheme="minorHAnsi"/>
          <w:b/>
          <w:iCs/>
        </w:rPr>
        <w:t>5</w:t>
      </w:r>
      <w:r>
        <w:rPr>
          <w:rFonts w:asciiTheme="minorHAnsi" w:hAnsiTheme="minorHAnsi"/>
          <w:bCs/>
          <w:iCs/>
        </w:rPr>
        <w:t xml:space="preserve"> The effect of the positive and negative phases of the PDO+1 on the annual w</w:t>
      </w:r>
      <w:r w:rsidRPr="006C03A7">
        <w:rPr>
          <w:rFonts w:asciiTheme="minorHAnsi" w:hAnsiTheme="minorHAnsi"/>
          <w:bCs/>
          <w:iCs/>
        </w:rPr>
        <w:t>ildfire distributions in each of the US Geographic Area Coordination Centres</w:t>
      </w:r>
      <w:r>
        <w:rPr>
          <w:rFonts w:asciiTheme="minorHAnsi" w:hAnsiTheme="minorHAnsi"/>
          <w:bCs/>
          <w:iCs/>
        </w:rPr>
        <w:t>.</w:t>
      </w:r>
    </w:p>
    <w:p w14:paraId="0879713B" w14:textId="13491245" w:rsidR="006C03A7" w:rsidRDefault="006C03A7" w:rsidP="00CF4AD8">
      <w:pPr>
        <w:spacing w:after="240"/>
        <w:rPr>
          <w:rFonts w:asciiTheme="minorHAnsi" w:hAnsiTheme="minorHAnsi"/>
          <w:bCs/>
          <w:iCs/>
        </w:rPr>
      </w:pPr>
      <w:r w:rsidRPr="006C03A7">
        <w:rPr>
          <w:rFonts w:asciiTheme="minorHAnsi" w:hAnsiTheme="minorHAnsi"/>
          <w:b/>
          <w:iCs/>
        </w:rPr>
        <w:t xml:space="preserve">Figure </w:t>
      </w:r>
      <w:r w:rsidR="009104E7">
        <w:rPr>
          <w:rFonts w:asciiTheme="minorHAnsi" w:hAnsiTheme="minorHAnsi"/>
          <w:b/>
          <w:iCs/>
        </w:rPr>
        <w:t>9</w:t>
      </w:r>
      <w:r w:rsidRPr="006C03A7">
        <w:rPr>
          <w:rFonts w:asciiTheme="minorHAnsi" w:hAnsiTheme="minorHAnsi"/>
          <w:b/>
          <w:iCs/>
        </w:rPr>
        <w:t>.</w:t>
      </w:r>
      <w:r>
        <w:rPr>
          <w:rFonts w:asciiTheme="minorHAnsi" w:hAnsiTheme="minorHAnsi"/>
          <w:b/>
          <w:iCs/>
        </w:rPr>
        <w:t>6</w:t>
      </w:r>
      <w:r>
        <w:rPr>
          <w:rFonts w:asciiTheme="minorHAnsi" w:hAnsiTheme="minorHAnsi"/>
          <w:bCs/>
          <w:iCs/>
        </w:rPr>
        <w:t xml:space="preserve"> The effect of the positive and negative phases of the NAO on the annual w</w:t>
      </w:r>
      <w:r w:rsidRPr="006C03A7">
        <w:rPr>
          <w:rFonts w:asciiTheme="minorHAnsi" w:hAnsiTheme="minorHAnsi"/>
          <w:bCs/>
          <w:iCs/>
        </w:rPr>
        <w:t>ildfire distributions in each of the US Geographic Area Coordination Centres</w:t>
      </w:r>
      <w:r>
        <w:rPr>
          <w:rFonts w:asciiTheme="minorHAnsi" w:hAnsiTheme="minorHAnsi"/>
          <w:bCs/>
          <w:iCs/>
        </w:rPr>
        <w:t>.</w:t>
      </w:r>
    </w:p>
    <w:p w14:paraId="0A215319" w14:textId="754EA4E0" w:rsidR="006C03A7" w:rsidRDefault="006C03A7" w:rsidP="00CF4AD8">
      <w:pPr>
        <w:spacing w:after="240"/>
        <w:rPr>
          <w:rFonts w:asciiTheme="minorHAnsi" w:hAnsiTheme="minorHAnsi"/>
          <w:bCs/>
          <w:iCs/>
        </w:rPr>
      </w:pPr>
      <w:r w:rsidRPr="006C03A7">
        <w:rPr>
          <w:rFonts w:asciiTheme="minorHAnsi" w:hAnsiTheme="minorHAnsi"/>
          <w:b/>
          <w:iCs/>
        </w:rPr>
        <w:t xml:space="preserve">Figure </w:t>
      </w:r>
      <w:r w:rsidR="009104E7">
        <w:rPr>
          <w:rFonts w:asciiTheme="minorHAnsi" w:hAnsiTheme="minorHAnsi"/>
          <w:b/>
          <w:iCs/>
        </w:rPr>
        <w:t>9</w:t>
      </w:r>
      <w:r w:rsidRPr="006C03A7">
        <w:rPr>
          <w:rFonts w:asciiTheme="minorHAnsi" w:hAnsiTheme="minorHAnsi"/>
          <w:b/>
          <w:iCs/>
        </w:rPr>
        <w:t>.</w:t>
      </w:r>
      <w:r>
        <w:rPr>
          <w:rFonts w:asciiTheme="minorHAnsi" w:hAnsiTheme="minorHAnsi"/>
          <w:b/>
          <w:iCs/>
        </w:rPr>
        <w:t>7</w:t>
      </w:r>
      <w:r>
        <w:rPr>
          <w:rFonts w:asciiTheme="minorHAnsi" w:hAnsiTheme="minorHAnsi"/>
          <w:bCs/>
          <w:iCs/>
        </w:rPr>
        <w:t xml:space="preserve"> The effect of the positive and negative phases of the IOD on the annual w</w:t>
      </w:r>
      <w:r w:rsidRPr="006C03A7">
        <w:rPr>
          <w:rFonts w:asciiTheme="minorHAnsi" w:hAnsiTheme="minorHAnsi"/>
          <w:bCs/>
          <w:iCs/>
        </w:rPr>
        <w:t>ildfire distributions in each of the US Geographic Area Coordination Centres</w:t>
      </w:r>
      <w:r>
        <w:rPr>
          <w:rFonts w:asciiTheme="minorHAnsi" w:hAnsiTheme="minorHAnsi"/>
          <w:bCs/>
          <w:iCs/>
        </w:rPr>
        <w:t>.</w:t>
      </w:r>
    </w:p>
    <w:p w14:paraId="7890FE6F" w14:textId="65180DF9" w:rsidR="006C03A7" w:rsidRPr="006C03A7" w:rsidRDefault="006C03A7" w:rsidP="00CF4AD8">
      <w:pPr>
        <w:spacing w:after="240"/>
        <w:rPr>
          <w:rFonts w:asciiTheme="minorHAnsi" w:hAnsiTheme="minorHAnsi"/>
          <w:bCs/>
          <w:iCs/>
        </w:rPr>
      </w:pPr>
      <w:r w:rsidRPr="006C03A7">
        <w:rPr>
          <w:rFonts w:asciiTheme="minorHAnsi" w:hAnsiTheme="minorHAnsi"/>
          <w:b/>
          <w:iCs/>
        </w:rPr>
        <w:t xml:space="preserve">Figure </w:t>
      </w:r>
      <w:r w:rsidR="009104E7">
        <w:rPr>
          <w:rFonts w:asciiTheme="minorHAnsi" w:hAnsiTheme="minorHAnsi"/>
          <w:b/>
          <w:iCs/>
        </w:rPr>
        <w:t>9</w:t>
      </w:r>
      <w:r w:rsidRPr="006C03A7">
        <w:rPr>
          <w:rFonts w:asciiTheme="minorHAnsi" w:hAnsiTheme="minorHAnsi"/>
          <w:b/>
          <w:iCs/>
        </w:rPr>
        <w:t>.</w:t>
      </w:r>
      <w:r>
        <w:rPr>
          <w:rFonts w:asciiTheme="minorHAnsi" w:hAnsiTheme="minorHAnsi"/>
          <w:b/>
          <w:iCs/>
        </w:rPr>
        <w:t>8</w:t>
      </w:r>
      <w:r>
        <w:rPr>
          <w:rFonts w:asciiTheme="minorHAnsi" w:hAnsiTheme="minorHAnsi"/>
          <w:bCs/>
          <w:iCs/>
        </w:rPr>
        <w:t xml:space="preserve"> The effect of the positive and negative phases of the ENSO on the annual w</w:t>
      </w:r>
      <w:r w:rsidRPr="006C03A7">
        <w:rPr>
          <w:rFonts w:asciiTheme="minorHAnsi" w:hAnsiTheme="minorHAnsi"/>
          <w:bCs/>
          <w:iCs/>
        </w:rPr>
        <w:t>ildfire distributions in each of the US Geographic Area Coordination Centres</w:t>
      </w:r>
      <w:r>
        <w:rPr>
          <w:rFonts w:asciiTheme="minorHAnsi" w:hAnsiTheme="minorHAnsi"/>
          <w:bCs/>
          <w:iCs/>
        </w:rPr>
        <w:t>.</w:t>
      </w:r>
    </w:p>
    <w:p w14:paraId="46A1F5C8" w14:textId="46500685" w:rsidR="006C03A7" w:rsidRDefault="00ED4BCE" w:rsidP="00CF4AD8">
      <w:pPr>
        <w:spacing w:after="240"/>
        <w:rPr>
          <w:rFonts w:asciiTheme="minorHAnsi" w:hAnsiTheme="minorHAnsi"/>
          <w:bCs/>
          <w:iCs/>
        </w:rPr>
      </w:pPr>
      <w:r w:rsidRPr="00ED4BCE">
        <w:rPr>
          <w:rFonts w:asciiTheme="minorHAnsi" w:hAnsiTheme="minorHAnsi"/>
          <w:b/>
          <w:iCs/>
        </w:rPr>
        <w:t xml:space="preserve">Figure </w:t>
      </w:r>
      <w:r w:rsidR="009104E7">
        <w:rPr>
          <w:rFonts w:asciiTheme="minorHAnsi" w:hAnsiTheme="minorHAnsi"/>
          <w:b/>
          <w:iCs/>
        </w:rPr>
        <w:t>10</w:t>
      </w:r>
      <w:r w:rsidRPr="00ED4BCE">
        <w:rPr>
          <w:rFonts w:asciiTheme="minorHAnsi" w:hAnsiTheme="minorHAnsi"/>
          <w:b/>
          <w:iCs/>
        </w:rPr>
        <w:t>.1</w:t>
      </w:r>
      <w:r>
        <w:rPr>
          <w:rFonts w:asciiTheme="minorHAnsi" w:hAnsiTheme="minorHAnsi"/>
          <w:bCs/>
          <w:iCs/>
        </w:rPr>
        <w:t xml:space="preserve"> The effect of the positive and negative phases of </w:t>
      </w:r>
      <w:r w:rsidR="00277AB2">
        <w:rPr>
          <w:rFonts w:asciiTheme="minorHAnsi" w:hAnsiTheme="minorHAnsi"/>
          <w:bCs/>
          <w:iCs/>
        </w:rPr>
        <w:t>ENSO</w:t>
      </w:r>
      <w:r w:rsidR="006C03A7" w:rsidRPr="006C03A7">
        <w:rPr>
          <w:rFonts w:asciiTheme="minorHAnsi" w:hAnsiTheme="minorHAnsi"/>
          <w:bCs/>
          <w:iCs/>
        </w:rPr>
        <w:t xml:space="preserve"> </w:t>
      </w:r>
      <w:r w:rsidR="006C03A7">
        <w:rPr>
          <w:rFonts w:asciiTheme="minorHAnsi" w:hAnsiTheme="minorHAnsi"/>
          <w:bCs/>
          <w:iCs/>
        </w:rPr>
        <w:t>on the length and peak timing of the fire season over the contiguous US.</w:t>
      </w:r>
    </w:p>
    <w:p w14:paraId="6A04F528" w14:textId="14C0874C" w:rsidR="006C03A7" w:rsidRDefault="006C03A7" w:rsidP="00CF4AD8">
      <w:pPr>
        <w:spacing w:after="240"/>
        <w:rPr>
          <w:rFonts w:asciiTheme="minorHAnsi" w:hAnsiTheme="minorHAnsi"/>
          <w:bCs/>
          <w:iCs/>
        </w:rPr>
      </w:pPr>
      <w:r w:rsidRPr="00ED4BCE">
        <w:rPr>
          <w:rFonts w:asciiTheme="minorHAnsi" w:hAnsiTheme="minorHAnsi"/>
          <w:b/>
          <w:iCs/>
        </w:rPr>
        <w:t xml:space="preserve">Figure </w:t>
      </w:r>
      <w:r w:rsidR="009104E7">
        <w:rPr>
          <w:rFonts w:asciiTheme="minorHAnsi" w:hAnsiTheme="minorHAnsi"/>
          <w:b/>
          <w:iCs/>
        </w:rPr>
        <w:t>10</w:t>
      </w:r>
      <w:r w:rsidRPr="00ED4BCE">
        <w:rPr>
          <w:rFonts w:asciiTheme="minorHAnsi" w:hAnsiTheme="minorHAnsi"/>
          <w:b/>
          <w:iCs/>
        </w:rPr>
        <w:t>.</w:t>
      </w:r>
      <w:r>
        <w:rPr>
          <w:rFonts w:asciiTheme="minorHAnsi" w:hAnsiTheme="minorHAnsi"/>
          <w:b/>
          <w:iCs/>
        </w:rPr>
        <w:t>2</w:t>
      </w:r>
      <w:r>
        <w:rPr>
          <w:rFonts w:asciiTheme="minorHAnsi" w:hAnsiTheme="minorHAnsi"/>
          <w:bCs/>
          <w:iCs/>
        </w:rPr>
        <w:t xml:space="preserve"> The effect of the positive and negative phases of IOD</w:t>
      </w:r>
      <w:r w:rsidRPr="006C03A7">
        <w:rPr>
          <w:rFonts w:asciiTheme="minorHAnsi" w:hAnsiTheme="minorHAnsi"/>
          <w:bCs/>
          <w:iCs/>
        </w:rPr>
        <w:t xml:space="preserve"> </w:t>
      </w:r>
      <w:r>
        <w:rPr>
          <w:rFonts w:asciiTheme="minorHAnsi" w:hAnsiTheme="minorHAnsi"/>
          <w:bCs/>
          <w:iCs/>
        </w:rPr>
        <w:t>on the length and peak timing of the fire season over the contiguous US.</w:t>
      </w:r>
    </w:p>
    <w:p w14:paraId="44DA5C75" w14:textId="2D12830C" w:rsidR="006C03A7" w:rsidRDefault="006C03A7" w:rsidP="00CF4AD8">
      <w:pPr>
        <w:spacing w:after="240"/>
        <w:rPr>
          <w:rFonts w:asciiTheme="minorHAnsi" w:hAnsiTheme="minorHAnsi"/>
          <w:bCs/>
          <w:iCs/>
        </w:rPr>
      </w:pPr>
      <w:r w:rsidRPr="00ED4BCE">
        <w:rPr>
          <w:rFonts w:asciiTheme="minorHAnsi" w:hAnsiTheme="minorHAnsi"/>
          <w:b/>
          <w:iCs/>
        </w:rPr>
        <w:t xml:space="preserve">Figure </w:t>
      </w:r>
      <w:r w:rsidR="009104E7">
        <w:rPr>
          <w:rFonts w:asciiTheme="minorHAnsi" w:hAnsiTheme="minorHAnsi"/>
          <w:b/>
          <w:iCs/>
        </w:rPr>
        <w:t>10</w:t>
      </w:r>
      <w:r w:rsidRPr="00ED4BCE">
        <w:rPr>
          <w:rFonts w:asciiTheme="minorHAnsi" w:hAnsiTheme="minorHAnsi"/>
          <w:b/>
          <w:iCs/>
        </w:rPr>
        <w:t>.</w:t>
      </w:r>
      <w:r>
        <w:rPr>
          <w:rFonts w:asciiTheme="minorHAnsi" w:hAnsiTheme="minorHAnsi"/>
          <w:b/>
          <w:iCs/>
        </w:rPr>
        <w:t>3</w:t>
      </w:r>
      <w:r>
        <w:rPr>
          <w:rFonts w:asciiTheme="minorHAnsi" w:hAnsiTheme="minorHAnsi"/>
          <w:bCs/>
          <w:iCs/>
        </w:rPr>
        <w:t xml:space="preserve"> The effect of the positive and negative phases of TNA+1</w:t>
      </w:r>
      <w:r w:rsidRPr="006C03A7">
        <w:rPr>
          <w:rFonts w:asciiTheme="minorHAnsi" w:hAnsiTheme="minorHAnsi"/>
          <w:bCs/>
          <w:iCs/>
        </w:rPr>
        <w:t xml:space="preserve"> </w:t>
      </w:r>
      <w:r>
        <w:rPr>
          <w:rFonts w:asciiTheme="minorHAnsi" w:hAnsiTheme="minorHAnsi"/>
          <w:bCs/>
          <w:iCs/>
        </w:rPr>
        <w:t>on the length and peak timing of the fire season over the contiguous US.</w:t>
      </w:r>
    </w:p>
    <w:p w14:paraId="77187741" w14:textId="6414842F" w:rsidR="006C03A7" w:rsidRDefault="006C03A7" w:rsidP="00CF4AD8">
      <w:pPr>
        <w:spacing w:after="240"/>
        <w:rPr>
          <w:rFonts w:asciiTheme="minorHAnsi" w:hAnsiTheme="minorHAnsi"/>
          <w:bCs/>
          <w:iCs/>
        </w:rPr>
      </w:pPr>
      <w:r w:rsidRPr="00ED4BCE">
        <w:rPr>
          <w:rFonts w:asciiTheme="minorHAnsi" w:hAnsiTheme="minorHAnsi"/>
          <w:b/>
          <w:iCs/>
        </w:rPr>
        <w:t xml:space="preserve">Figure </w:t>
      </w:r>
      <w:r w:rsidR="009104E7">
        <w:rPr>
          <w:rFonts w:asciiTheme="minorHAnsi" w:hAnsiTheme="minorHAnsi"/>
          <w:b/>
          <w:iCs/>
        </w:rPr>
        <w:t>10</w:t>
      </w:r>
      <w:r w:rsidRPr="00ED4BCE">
        <w:rPr>
          <w:rFonts w:asciiTheme="minorHAnsi" w:hAnsiTheme="minorHAnsi"/>
          <w:b/>
          <w:iCs/>
        </w:rPr>
        <w:t>.</w:t>
      </w:r>
      <w:r>
        <w:rPr>
          <w:rFonts w:asciiTheme="minorHAnsi" w:hAnsiTheme="minorHAnsi"/>
          <w:b/>
          <w:iCs/>
        </w:rPr>
        <w:t>4</w:t>
      </w:r>
      <w:r>
        <w:rPr>
          <w:rFonts w:asciiTheme="minorHAnsi" w:hAnsiTheme="minorHAnsi"/>
          <w:bCs/>
          <w:iCs/>
        </w:rPr>
        <w:t xml:space="preserve"> The effect of the positive and negative phases of PDO+1</w:t>
      </w:r>
      <w:r w:rsidRPr="006C03A7">
        <w:rPr>
          <w:rFonts w:asciiTheme="minorHAnsi" w:hAnsiTheme="minorHAnsi"/>
          <w:bCs/>
          <w:iCs/>
        </w:rPr>
        <w:t xml:space="preserve"> </w:t>
      </w:r>
      <w:r>
        <w:rPr>
          <w:rFonts w:asciiTheme="minorHAnsi" w:hAnsiTheme="minorHAnsi"/>
          <w:bCs/>
          <w:iCs/>
        </w:rPr>
        <w:t>on the length and peak timing of the fire season over the contiguous US.</w:t>
      </w:r>
    </w:p>
    <w:p w14:paraId="01E68F76" w14:textId="1EE7AB9B" w:rsidR="006C03A7" w:rsidRDefault="006C03A7" w:rsidP="00CF4AD8">
      <w:pPr>
        <w:spacing w:after="240"/>
        <w:rPr>
          <w:rFonts w:asciiTheme="minorHAnsi" w:hAnsiTheme="minorHAnsi"/>
          <w:bCs/>
          <w:iCs/>
        </w:rPr>
      </w:pPr>
      <w:r w:rsidRPr="00ED4BCE">
        <w:rPr>
          <w:rFonts w:asciiTheme="minorHAnsi" w:hAnsiTheme="minorHAnsi"/>
          <w:b/>
          <w:iCs/>
        </w:rPr>
        <w:t xml:space="preserve">Figure </w:t>
      </w:r>
      <w:r w:rsidR="009104E7">
        <w:rPr>
          <w:rFonts w:asciiTheme="minorHAnsi" w:hAnsiTheme="minorHAnsi"/>
          <w:b/>
          <w:iCs/>
        </w:rPr>
        <w:t>10</w:t>
      </w:r>
      <w:r w:rsidRPr="00ED4BCE">
        <w:rPr>
          <w:rFonts w:asciiTheme="minorHAnsi" w:hAnsiTheme="minorHAnsi"/>
          <w:b/>
          <w:iCs/>
        </w:rPr>
        <w:t>.</w:t>
      </w:r>
      <w:r>
        <w:rPr>
          <w:rFonts w:asciiTheme="minorHAnsi" w:hAnsiTheme="minorHAnsi"/>
          <w:b/>
          <w:iCs/>
        </w:rPr>
        <w:t>5</w:t>
      </w:r>
      <w:r>
        <w:rPr>
          <w:rFonts w:asciiTheme="minorHAnsi" w:hAnsiTheme="minorHAnsi"/>
          <w:bCs/>
          <w:iCs/>
        </w:rPr>
        <w:t xml:space="preserve"> The effect of the positive and negative phases of TSA</w:t>
      </w:r>
      <w:r w:rsidRPr="006C03A7">
        <w:rPr>
          <w:rFonts w:asciiTheme="minorHAnsi" w:hAnsiTheme="minorHAnsi"/>
          <w:bCs/>
          <w:iCs/>
        </w:rPr>
        <w:t xml:space="preserve"> </w:t>
      </w:r>
      <w:r>
        <w:rPr>
          <w:rFonts w:asciiTheme="minorHAnsi" w:hAnsiTheme="minorHAnsi"/>
          <w:bCs/>
          <w:iCs/>
        </w:rPr>
        <w:t>on the length and peak timing of the fire season over the contiguous US.</w:t>
      </w:r>
    </w:p>
    <w:p w14:paraId="7FEC65E2" w14:textId="33A368FB" w:rsidR="006C03A7" w:rsidRDefault="006C03A7" w:rsidP="00CF4AD8">
      <w:pPr>
        <w:spacing w:after="240"/>
        <w:rPr>
          <w:rFonts w:asciiTheme="minorHAnsi" w:hAnsiTheme="minorHAnsi"/>
          <w:bCs/>
          <w:iCs/>
        </w:rPr>
      </w:pPr>
      <w:r w:rsidRPr="00ED4BCE">
        <w:rPr>
          <w:rFonts w:asciiTheme="minorHAnsi" w:hAnsiTheme="minorHAnsi"/>
          <w:b/>
          <w:iCs/>
        </w:rPr>
        <w:t xml:space="preserve">Figure </w:t>
      </w:r>
      <w:r w:rsidR="009104E7">
        <w:rPr>
          <w:rFonts w:asciiTheme="minorHAnsi" w:hAnsiTheme="minorHAnsi"/>
          <w:b/>
          <w:iCs/>
        </w:rPr>
        <w:t>10</w:t>
      </w:r>
      <w:r w:rsidRPr="00ED4BCE">
        <w:rPr>
          <w:rFonts w:asciiTheme="minorHAnsi" w:hAnsiTheme="minorHAnsi"/>
          <w:b/>
          <w:iCs/>
        </w:rPr>
        <w:t>.</w:t>
      </w:r>
      <w:r>
        <w:rPr>
          <w:rFonts w:asciiTheme="minorHAnsi" w:hAnsiTheme="minorHAnsi"/>
          <w:b/>
          <w:iCs/>
        </w:rPr>
        <w:t>6</w:t>
      </w:r>
      <w:r>
        <w:rPr>
          <w:rFonts w:asciiTheme="minorHAnsi" w:hAnsiTheme="minorHAnsi"/>
          <w:bCs/>
          <w:iCs/>
        </w:rPr>
        <w:t xml:space="preserve"> The effect of the positive and negative phases of NAO</w:t>
      </w:r>
      <w:r w:rsidRPr="006C03A7">
        <w:rPr>
          <w:rFonts w:asciiTheme="minorHAnsi" w:hAnsiTheme="minorHAnsi"/>
          <w:bCs/>
          <w:iCs/>
        </w:rPr>
        <w:t xml:space="preserve"> </w:t>
      </w:r>
      <w:r>
        <w:rPr>
          <w:rFonts w:asciiTheme="minorHAnsi" w:hAnsiTheme="minorHAnsi"/>
          <w:bCs/>
          <w:iCs/>
        </w:rPr>
        <w:t>on the length and peak timing of the fire season over the contiguous US.</w:t>
      </w:r>
    </w:p>
    <w:p w14:paraId="3A092603" w14:textId="4107BC04" w:rsidR="006C03A7" w:rsidRDefault="006C03A7" w:rsidP="00CF4AD8">
      <w:pPr>
        <w:spacing w:after="240"/>
        <w:rPr>
          <w:rFonts w:asciiTheme="minorHAnsi" w:hAnsiTheme="minorHAnsi"/>
          <w:bCs/>
          <w:iCs/>
        </w:rPr>
      </w:pPr>
      <w:r w:rsidRPr="00ED4BCE">
        <w:rPr>
          <w:rFonts w:asciiTheme="minorHAnsi" w:hAnsiTheme="minorHAnsi"/>
          <w:b/>
          <w:iCs/>
        </w:rPr>
        <w:t xml:space="preserve">Figure </w:t>
      </w:r>
      <w:r w:rsidR="009104E7">
        <w:rPr>
          <w:rFonts w:asciiTheme="minorHAnsi" w:hAnsiTheme="minorHAnsi"/>
          <w:b/>
          <w:iCs/>
        </w:rPr>
        <w:t>10</w:t>
      </w:r>
      <w:r w:rsidRPr="00ED4BCE">
        <w:rPr>
          <w:rFonts w:asciiTheme="minorHAnsi" w:hAnsiTheme="minorHAnsi"/>
          <w:b/>
          <w:iCs/>
        </w:rPr>
        <w:t>.</w:t>
      </w:r>
      <w:r>
        <w:rPr>
          <w:rFonts w:asciiTheme="minorHAnsi" w:hAnsiTheme="minorHAnsi"/>
          <w:b/>
          <w:iCs/>
        </w:rPr>
        <w:t>7</w:t>
      </w:r>
      <w:r>
        <w:rPr>
          <w:rFonts w:asciiTheme="minorHAnsi" w:hAnsiTheme="minorHAnsi"/>
          <w:bCs/>
          <w:iCs/>
        </w:rPr>
        <w:t xml:space="preserve"> The effect of the positive and negative phases of AMO+1</w:t>
      </w:r>
      <w:r w:rsidRPr="006C03A7">
        <w:rPr>
          <w:rFonts w:asciiTheme="minorHAnsi" w:hAnsiTheme="minorHAnsi"/>
          <w:bCs/>
          <w:iCs/>
        </w:rPr>
        <w:t xml:space="preserve"> </w:t>
      </w:r>
      <w:r>
        <w:rPr>
          <w:rFonts w:asciiTheme="minorHAnsi" w:hAnsiTheme="minorHAnsi"/>
          <w:bCs/>
          <w:iCs/>
        </w:rPr>
        <w:t>on the length and peak timing of the fire season over the contiguous US.</w:t>
      </w:r>
    </w:p>
    <w:p w14:paraId="070AD447" w14:textId="76A954E4" w:rsidR="006C03A7" w:rsidRDefault="006C03A7" w:rsidP="00CF4AD8">
      <w:pPr>
        <w:spacing w:after="240"/>
        <w:rPr>
          <w:rFonts w:asciiTheme="minorHAnsi" w:hAnsiTheme="minorHAnsi"/>
          <w:bCs/>
          <w:iCs/>
        </w:rPr>
      </w:pPr>
      <w:r w:rsidRPr="00ED4BCE">
        <w:rPr>
          <w:rFonts w:asciiTheme="minorHAnsi" w:hAnsiTheme="minorHAnsi"/>
          <w:b/>
          <w:iCs/>
        </w:rPr>
        <w:t xml:space="preserve">Figure </w:t>
      </w:r>
      <w:r w:rsidR="009104E7">
        <w:rPr>
          <w:rFonts w:asciiTheme="minorHAnsi" w:hAnsiTheme="minorHAnsi"/>
          <w:b/>
          <w:iCs/>
        </w:rPr>
        <w:t>10</w:t>
      </w:r>
      <w:r w:rsidRPr="00ED4BCE">
        <w:rPr>
          <w:rFonts w:asciiTheme="minorHAnsi" w:hAnsiTheme="minorHAnsi"/>
          <w:b/>
          <w:iCs/>
        </w:rPr>
        <w:t>.</w:t>
      </w:r>
      <w:r>
        <w:rPr>
          <w:rFonts w:asciiTheme="minorHAnsi" w:hAnsiTheme="minorHAnsi"/>
          <w:b/>
          <w:iCs/>
        </w:rPr>
        <w:t>8</w:t>
      </w:r>
      <w:r>
        <w:rPr>
          <w:rFonts w:asciiTheme="minorHAnsi" w:hAnsiTheme="minorHAnsi"/>
          <w:bCs/>
          <w:iCs/>
        </w:rPr>
        <w:t xml:space="preserve"> The effect of the positive and negative phases of PNA</w:t>
      </w:r>
      <w:r w:rsidRPr="006C03A7">
        <w:rPr>
          <w:rFonts w:asciiTheme="minorHAnsi" w:hAnsiTheme="minorHAnsi"/>
          <w:bCs/>
          <w:iCs/>
        </w:rPr>
        <w:t xml:space="preserve"> </w:t>
      </w:r>
      <w:r>
        <w:rPr>
          <w:rFonts w:asciiTheme="minorHAnsi" w:hAnsiTheme="minorHAnsi"/>
          <w:bCs/>
          <w:iCs/>
        </w:rPr>
        <w:t>on the length and peak timing of the fire season over the contiguous US.</w:t>
      </w:r>
    </w:p>
    <w:p w14:paraId="46377FA1" w14:textId="592A9A46" w:rsidR="00ED4BCE" w:rsidRDefault="00ED4BCE" w:rsidP="00CF4AD8">
      <w:pPr>
        <w:spacing w:after="240"/>
        <w:rPr>
          <w:rFonts w:asciiTheme="minorHAnsi" w:hAnsiTheme="minorHAnsi"/>
          <w:bCs/>
          <w:iCs/>
        </w:rPr>
      </w:pPr>
      <w:r w:rsidRPr="00ED4BCE">
        <w:rPr>
          <w:rFonts w:asciiTheme="minorHAnsi" w:hAnsiTheme="minorHAnsi"/>
          <w:b/>
          <w:iCs/>
        </w:rPr>
        <w:t xml:space="preserve">Table </w:t>
      </w:r>
      <w:r w:rsidR="009104E7">
        <w:rPr>
          <w:rFonts w:asciiTheme="minorHAnsi" w:hAnsiTheme="minorHAnsi"/>
          <w:b/>
          <w:iCs/>
        </w:rPr>
        <w:t>11</w:t>
      </w:r>
      <w:r w:rsidRPr="00ED4BCE">
        <w:rPr>
          <w:rFonts w:asciiTheme="minorHAnsi" w:hAnsiTheme="minorHAnsi"/>
          <w:b/>
          <w:iCs/>
        </w:rPr>
        <w:t>.1</w:t>
      </w:r>
      <w:r>
        <w:rPr>
          <w:rFonts w:asciiTheme="minorHAnsi" w:hAnsiTheme="minorHAnsi"/>
          <w:bCs/>
          <w:iCs/>
        </w:rPr>
        <w:t xml:space="preserve"> The changing areas of the contiguous US affected by each mode with a future +2°C warming.</w:t>
      </w:r>
    </w:p>
    <w:p w14:paraId="36FE281D" w14:textId="48584E71" w:rsidR="006C03A7" w:rsidRDefault="00ED4BCE" w:rsidP="00CF4AD8">
      <w:pPr>
        <w:spacing w:after="240"/>
        <w:rPr>
          <w:rFonts w:asciiTheme="minorHAnsi" w:hAnsiTheme="minorHAnsi"/>
          <w:bCs/>
          <w:iCs/>
        </w:rPr>
      </w:pPr>
      <w:r w:rsidRPr="00ED4BCE">
        <w:rPr>
          <w:rFonts w:asciiTheme="minorHAnsi" w:hAnsiTheme="minorHAnsi"/>
          <w:b/>
          <w:iCs/>
        </w:rPr>
        <w:t xml:space="preserve">Figure </w:t>
      </w:r>
      <w:r w:rsidR="009104E7">
        <w:rPr>
          <w:rFonts w:asciiTheme="minorHAnsi" w:hAnsiTheme="minorHAnsi"/>
          <w:b/>
          <w:iCs/>
        </w:rPr>
        <w:t>11</w:t>
      </w:r>
      <w:r w:rsidRPr="00ED4BCE">
        <w:rPr>
          <w:rFonts w:asciiTheme="minorHAnsi" w:hAnsiTheme="minorHAnsi"/>
          <w:b/>
          <w:iCs/>
        </w:rPr>
        <w:t>.1</w:t>
      </w:r>
      <w:r>
        <w:rPr>
          <w:rFonts w:asciiTheme="minorHAnsi" w:hAnsiTheme="minorHAnsi"/>
          <w:bCs/>
          <w:iCs/>
        </w:rPr>
        <w:t xml:space="preserve"> The geospatial effect of the AMO+1</w:t>
      </w:r>
      <w:r w:rsidR="006C03A7" w:rsidRPr="006C03A7">
        <w:rPr>
          <w:rFonts w:asciiTheme="minorHAnsi" w:hAnsiTheme="minorHAnsi"/>
          <w:bCs/>
          <w:iCs/>
        </w:rPr>
        <w:t xml:space="preserve"> </w:t>
      </w:r>
      <w:r w:rsidR="006C03A7">
        <w:rPr>
          <w:rFonts w:asciiTheme="minorHAnsi" w:hAnsiTheme="minorHAnsi"/>
          <w:bCs/>
          <w:iCs/>
        </w:rPr>
        <w:t>on the annual number of wildfire occurrences in the recent and +2°C time-slices, with the strengthening or weakening effect of the mode (relative to the mean rate of wildfire occurrence) with +2°C climate change also shown.</w:t>
      </w:r>
    </w:p>
    <w:p w14:paraId="454226E5" w14:textId="11906305" w:rsidR="006C03A7" w:rsidRDefault="006C03A7" w:rsidP="00CF4AD8">
      <w:pPr>
        <w:spacing w:after="240"/>
        <w:rPr>
          <w:rFonts w:asciiTheme="minorHAnsi" w:hAnsiTheme="minorHAnsi"/>
          <w:bCs/>
          <w:iCs/>
        </w:rPr>
      </w:pPr>
      <w:r w:rsidRPr="00ED4BCE">
        <w:rPr>
          <w:rFonts w:asciiTheme="minorHAnsi" w:hAnsiTheme="minorHAnsi"/>
          <w:b/>
          <w:iCs/>
        </w:rPr>
        <w:t xml:space="preserve">Figure </w:t>
      </w:r>
      <w:r w:rsidR="009104E7">
        <w:rPr>
          <w:rFonts w:asciiTheme="minorHAnsi" w:hAnsiTheme="minorHAnsi"/>
          <w:b/>
          <w:iCs/>
        </w:rPr>
        <w:t>11</w:t>
      </w:r>
      <w:r w:rsidRPr="00ED4BCE">
        <w:rPr>
          <w:rFonts w:asciiTheme="minorHAnsi" w:hAnsiTheme="minorHAnsi"/>
          <w:b/>
          <w:iCs/>
        </w:rPr>
        <w:t>.</w:t>
      </w:r>
      <w:r>
        <w:rPr>
          <w:rFonts w:asciiTheme="minorHAnsi" w:hAnsiTheme="minorHAnsi"/>
          <w:b/>
          <w:iCs/>
        </w:rPr>
        <w:t>2</w:t>
      </w:r>
      <w:r>
        <w:rPr>
          <w:rFonts w:asciiTheme="minorHAnsi" w:hAnsiTheme="minorHAnsi"/>
          <w:bCs/>
          <w:iCs/>
        </w:rPr>
        <w:t xml:space="preserve"> The geospatial effect of the TNA+1</w:t>
      </w:r>
      <w:r w:rsidRPr="006C03A7">
        <w:rPr>
          <w:rFonts w:asciiTheme="minorHAnsi" w:hAnsiTheme="minorHAnsi"/>
          <w:bCs/>
          <w:iCs/>
        </w:rPr>
        <w:t xml:space="preserve"> </w:t>
      </w:r>
      <w:r>
        <w:rPr>
          <w:rFonts w:asciiTheme="minorHAnsi" w:hAnsiTheme="minorHAnsi"/>
          <w:bCs/>
          <w:iCs/>
        </w:rPr>
        <w:t>on the annual number of wildfire occurrences in the recent and +2°C time-slices, with the strengthening or weakening effect of the mode (relative to the mean rate of wildfire occurrence) with +2°C climate change also shown.</w:t>
      </w:r>
    </w:p>
    <w:p w14:paraId="48D4FE20" w14:textId="30E8B53E" w:rsidR="006C03A7" w:rsidRDefault="006C03A7" w:rsidP="00CF4AD8">
      <w:pPr>
        <w:spacing w:after="240"/>
        <w:rPr>
          <w:rFonts w:asciiTheme="minorHAnsi" w:hAnsiTheme="minorHAnsi"/>
          <w:bCs/>
          <w:iCs/>
        </w:rPr>
      </w:pPr>
      <w:r w:rsidRPr="00ED4BCE">
        <w:rPr>
          <w:rFonts w:asciiTheme="minorHAnsi" w:hAnsiTheme="minorHAnsi"/>
          <w:b/>
          <w:iCs/>
        </w:rPr>
        <w:t xml:space="preserve">Figure </w:t>
      </w:r>
      <w:r w:rsidR="009104E7">
        <w:rPr>
          <w:rFonts w:asciiTheme="minorHAnsi" w:hAnsiTheme="minorHAnsi"/>
          <w:b/>
          <w:iCs/>
        </w:rPr>
        <w:t>11</w:t>
      </w:r>
      <w:r w:rsidRPr="00ED4BCE">
        <w:rPr>
          <w:rFonts w:asciiTheme="minorHAnsi" w:hAnsiTheme="minorHAnsi"/>
          <w:b/>
          <w:iCs/>
        </w:rPr>
        <w:t>.</w:t>
      </w:r>
      <w:r>
        <w:rPr>
          <w:rFonts w:asciiTheme="minorHAnsi" w:hAnsiTheme="minorHAnsi"/>
          <w:b/>
          <w:iCs/>
        </w:rPr>
        <w:t>3</w:t>
      </w:r>
      <w:r>
        <w:rPr>
          <w:rFonts w:asciiTheme="minorHAnsi" w:hAnsiTheme="minorHAnsi"/>
          <w:bCs/>
          <w:iCs/>
        </w:rPr>
        <w:t xml:space="preserve"> The geospatial effect of the TSA</w:t>
      </w:r>
      <w:r w:rsidRPr="006C03A7">
        <w:rPr>
          <w:rFonts w:asciiTheme="minorHAnsi" w:hAnsiTheme="minorHAnsi"/>
          <w:bCs/>
          <w:iCs/>
        </w:rPr>
        <w:t xml:space="preserve"> </w:t>
      </w:r>
      <w:r>
        <w:rPr>
          <w:rFonts w:asciiTheme="minorHAnsi" w:hAnsiTheme="minorHAnsi"/>
          <w:bCs/>
          <w:iCs/>
        </w:rPr>
        <w:t>on the annual number of wildfire occurrences in the recent and +2°C time-slices, with the strengthening or weakening effect of the mode (relative to the mean rate of wildfire occurrence) with +2°C climate change also shown.</w:t>
      </w:r>
    </w:p>
    <w:p w14:paraId="31576674" w14:textId="7AD4F274" w:rsidR="006C03A7" w:rsidRDefault="006C03A7" w:rsidP="00CF4AD8">
      <w:pPr>
        <w:spacing w:after="240"/>
        <w:rPr>
          <w:rFonts w:asciiTheme="minorHAnsi" w:hAnsiTheme="minorHAnsi"/>
          <w:bCs/>
          <w:iCs/>
        </w:rPr>
      </w:pPr>
      <w:r w:rsidRPr="00ED4BCE">
        <w:rPr>
          <w:rFonts w:asciiTheme="minorHAnsi" w:hAnsiTheme="minorHAnsi"/>
          <w:b/>
          <w:iCs/>
        </w:rPr>
        <w:t xml:space="preserve">Figure </w:t>
      </w:r>
      <w:r w:rsidR="009104E7">
        <w:rPr>
          <w:rFonts w:asciiTheme="minorHAnsi" w:hAnsiTheme="minorHAnsi"/>
          <w:b/>
          <w:iCs/>
        </w:rPr>
        <w:t>11</w:t>
      </w:r>
      <w:r w:rsidRPr="00ED4BCE">
        <w:rPr>
          <w:rFonts w:asciiTheme="minorHAnsi" w:hAnsiTheme="minorHAnsi"/>
          <w:b/>
          <w:iCs/>
        </w:rPr>
        <w:t>.</w:t>
      </w:r>
      <w:r>
        <w:rPr>
          <w:rFonts w:asciiTheme="minorHAnsi" w:hAnsiTheme="minorHAnsi"/>
          <w:b/>
          <w:iCs/>
        </w:rPr>
        <w:t>4</w:t>
      </w:r>
      <w:r>
        <w:rPr>
          <w:rFonts w:asciiTheme="minorHAnsi" w:hAnsiTheme="minorHAnsi"/>
          <w:bCs/>
          <w:iCs/>
        </w:rPr>
        <w:t xml:space="preserve"> The geospatial effect of the PNA</w:t>
      </w:r>
      <w:r w:rsidRPr="006C03A7">
        <w:rPr>
          <w:rFonts w:asciiTheme="minorHAnsi" w:hAnsiTheme="minorHAnsi"/>
          <w:bCs/>
          <w:iCs/>
        </w:rPr>
        <w:t xml:space="preserve"> </w:t>
      </w:r>
      <w:r>
        <w:rPr>
          <w:rFonts w:asciiTheme="minorHAnsi" w:hAnsiTheme="minorHAnsi"/>
          <w:bCs/>
          <w:iCs/>
        </w:rPr>
        <w:t>on the annual number of wildfire occurrences in the recent and +2°C time-slices, with the strengthening or weakening effect of the mode (relative to the mean rate of wildfire occurrence) with +2°C climate change also shown.</w:t>
      </w:r>
    </w:p>
    <w:p w14:paraId="5F171223" w14:textId="2D7A5E7E" w:rsidR="006C03A7" w:rsidRDefault="006C03A7" w:rsidP="00CF4AD8">
      <w:pPr>
        <w:spacing w:after="240"/>
        <w:rPr>
          <w:rFonts w:asciiTheme="minorHAnsi" w:hAnsiTheme="minorHAnsi"/>
          <w:bCs/>
          <w:iCs/>
        </w:rPr>
      </w:pPr>
      <w:r w:rsidRPr="00ED4BCE">
        <w:rPr>
          <w:rFonts w:asciiTheme="minorHAnsi" w:hAnsiTheme="minorHAnsi"/>
          <w:b/>
          <w:iCs/>
        </w:rPr>
        <w:t xml:space="preserve">Figure </w:t>
      </w:r>
      <w:r w:rsidR="009104E7">
        <w:rPr>
          <w:rFonts w:asciiTheme="minorHAnsi" w:hAnsiTheme="minorHAnsi"/>
          <w:b/>
          <w:iCs/>
        </w:rPr>
        <w:t>11</w:t>
      </w:r>
      <w:r w:rsidRPr="00ED4BCE">
        <w:rPr>
          <w:rFonts w:asciiTheme="minorHAnsi" w:hAnsiTheme="minorHAnsi"/>
          <w:b/>
          <w:iCs/>
        </w:rPr>
        <w:t>.</w:t>
      </w:r>
      <w:r>
        <w:rPr>
          <w:rFonts w:asciiTheme="minorHAnsi" w:hAnsiTheme="minorHAnsi"/>
          <w:b/>
          <w:iCs/>
        </w:rPr>
        <w:t>5</w:t>
      </w:r>
      <w:r>
        <w:rPr>
          <w:rFonts w:asciiTheme="minorHAnsi" w:hAnsiTheme="minorHAnsi"/>
          <w:bCs/>
          <w:iCs/>
        </w:rPr>
        <w:t xml:space="preserve"> The geospatial effect of the PDO+1</w:t>
      </w:r>
      <w:r w:rsidRPr="006C03A7">
        <w:rPr>
          <w:rFonts w:asciiTheme="minorHAnsi" w:hAnsiTheme="minorHAnsi"/>
          <w:bCs/>
          <w:iCs/>
        </w:rPr>
        <w:t xml:space="preserve"> </w:t>
      </w:r>
      <w:r>
        <w:rPr>
          <w:rFonts w:asciiTheme="minorHAnsi" w:hAnsiTheme="minorHAnsi"/>
          <w:bCs/>
          <w:iCs/>
        </w:rPr>
        <w:t>on the annual number of wildfire occurrences in the recent and +2°C time-slices, with the strengthening or weakening effect of the mode (relative to the mean rate of wildfire occurrence) with +2°C climate change also shown.</w:t>
      </w:r>
    </w:p>
    <w:p w14:paraId="78427AA2" w14:textId="58D601FE" w:rsidR="006C03A7" w:rsidRDefault="006C03A7" w:rsidP="00CF4AD8">
      <w:pPr>
        <w:spacing w:after="240"/>
        <w:rPr>
          <w:rFonts w:asciiTheme="minorHAnsi" w:hAnsiTheme="minorHAnsi"/>
          <w:bCs/>
          <w:iCs/>
        </w:rPr>
      </w:pPr>
      <w:r w:rsidRPr="00ED4BCE">
        <w:rPr>
          <w:rFonts w:asciiTheme="minorHAnsi" w:hAnsiTheme="minorHAnsi"/>
          <w:b/>
          <w:iCs/>
        </w:rPr>
        <w:t xml:space="preserve">Figure </w:t>
      </w:r>
      <w:r w:rsidR="009104E7">
        <w:rPr>
          <w:rFonts w:asciiTheme="minorHAnsi" w:hAnsiTheme="minorHAnsi"/>
          <w:b/>
          <w:iCs/>
        </w:rPr>
        <w:t>11</w:t>
      </w:r>
      <w:r w:rsidRPr="00ED4BCE">
        <w:rPr>
          <w:rFonts w:asciiTheme="minorHAnsi" w:hAnsiTheme="minorHAnsi"/>
          <w:b/>
          <w:iCs/>
        </w:rPr>
        <w:t>.</w:t>
      </w:r>
      <w:r>
        <w:rPr>
          <w:rFonts w:asciiTheme="minorHAnsi" w:hAnsiTheme="minorHAnsi"/>
          <w:b/>
          <w:iCs/>
        </w:rPr>
        <w:t>6</w:t>
      </w:r>
      <w:r>
        <w:rPr>
          <w:rFonts w:asciiTheme="minorHAnsi" w:hAnsiTheme="minorHAnsi"/>
          <w:bCs/>
          <w:iCs/>
        </w:rPr>
        <w:t xml:space="preserve"> The geospatial effect of the NAO</w:t>
      </w:r>
      <w:r w:rsidRPr="006C03A7">
        <w:rPr>
          <w:rFonts w:asciiTheme="minorHAnsi" w:hAnsiTheme="minorHAnsi"/>
          <w:bCs/>
          <w:iCs/>
        </w:rPr>
        <w:t xml:space="preserve"> </w:t>
      </w:r>
      <w:r>
        <w:rPr>
          <w:rFonts w:asciiTheme="minorHAnsi" w:hAnsiTheme="minorHAnsi"/>
          <w:bCs/>
          <w:iCs/>
        </w:rPr>
        <w:t>on the annual number of wildfire occurrences in the recent and +2°C time-slices, with the strengthening or weakening effect of the mode (relative to the mean rate of wildfire occurrence) with +2°C climate change also shown.</w:t>
      </w:r>
    </w:p>
    <w:p w14:paraId="7990C660" w14:textId="0A2C8868" w:rsidR="006C03A7" w:rsidRDefault="006C03A7" w:rsidP="00CF4AD8">
      <w:pPr>
        <w:spacing w:after="240"/>
        <w:rPr>
          <w:rFonts w:asciiTheme="minorHAnsi" w:hAnsiTheme="minorHAnsi"/>
          <w:bCs/>
          <w:iCs/>
        </w:rPr>
      </w:pPr>
      <w:r w:rsidRPr="00ED4BCE">
        <w:rPr>
          <w:rFonts w:asciiTheme="minorHAnsi" w:hAnsiTheme="minorHAnsi"/>
          <w:b/>
          <w:iCs/>
        </w:rPr>
        <w:t xml:space="preserve">Figure </w:t>
      </w:r>
      <w:r w:rsidR="009104E7">
        <w:rPr>
          <w:rFonts w:asciiTheme="minorHAnsi" w:hAnsiTheme="minorHAnsi"/>
          <w:b/>
          <w:iCs/>
        </w:rPr>
        <w:t>11</w:t>
      </w:r>
      <w:r w:rsidRPr="00ED4BCE">
        <w:rPr>
          <w:rFonts w:asciiTheme="minorHAnsi" w:hAnsiTheme="minorHAnsi"/>
          <w:b/>
          <w:iCs/>
        </w:rPr>
        <w:t>.</w:t>
      </w:r>
      <w:r>
        <w:rPr>
          <w:rFonts w:asciiTheme="minorHAnsi" w:hAnsiTheme="minorHAnsi"/>
          <w:b/>
          <w:iCs/>
        </w:rPr>
        <w:t>7</w:t>
      </w:r>
      <w:r>
        <w:rPr>
          <w:rFonts w:asciiTheme="minorHAnsi" w:hAnsiTheme="minorHAnsi"/>
          <w:bCs/>
          <w:iCs/>
        </w:rPr>
        <w:t xml:space="preserve"> The geospatial effect of the IOD</w:t>
      </w:r>
      <w:r w:rsidRPr="006C03A7">
        <w:rPr>
          <w:rFonts w:asciiTheme="minorHAnsi" w:hAnsiTheme="minorHAnsi"/>
          <w:bCs/>
          <w:iCs/>
        </w:rPr>
        <w:t xml:space="preserve"> </w:t>
      </w:r>
      <w:r>
        <w:rPr>
          <w:rFonts w:asciiTheme="minorHAnsi" w:hAnsiTheme="minorHAnsi"/>
          <w:bCs/>
          <w:iCs/>
        </w:rPr>
        <w:t>on the annual number of wildfire occurrences in the recent and +2°C time-slices, with the strengthening or weakening effect of the mode (relative to the mean rate of wildfire occurrence) with +2°C climate change also shown.</w:t>
      </w:r>
    </w:p>
    <w:p w14:paraId="2CE35487" w14:textId="7E9A4B3D" w:rsidR="006C03A7" w:rsidRDefault="006C03A7" w:rsidP="00CF4AD8">
      <w:pPr>
        <w:spacing w:after="240"/>
        <w:rPr>
          <w:rFonts w:asciiTheme="minorHAnsi" w:hAnsiTheme="minorHAnsi"/>
          <w:bCs/>
          <w:iCs/>
        </w:rPr>
      </w:pPr>
      <w:r w:rsidRPr="00ED4BCE">
        <w:rPr>
          <w:rFonts w:asciiTheme="minorHAnsi" w:hAnsiTheme="minorHAnsi"/>
          <w:b/>
          <w:iCs/>
        </w:rPr>
        <w:t xml:space="preserve">Figure </w:t>
      </w:r>
      <w:r w:rsidR="009104E7">
        <w:rPr>
          <w:rFonts w:asciiTheme="minorHAnsi" w:hAnsiTheme="minorHAnsi"/>
          <w:b/>
          <w:iCs/>
        </w:rPr>
        <w:t>11</w:t>
      </w:r>
      <w:r w:rsidRPr="00ED4BCE">
        <w:rPr>
          <w:rFonts w:asciiTheme="minorHAnsi" w:hAnsiTheme="minorHAnsi"/>
          <w:b/>
          <w:iCs/>
        </w:rPr>
        <w:t>.</w:t>
      </w:r>
      <w:r>
        <w:rPr>
          <w:rFonts w:asciiTheme="minorHAnsi" w:hAnsiTheme="minorHAnsi"/>
          <w:b/>
          <w:iCs/>
        </w:rPr>
        <w:t>8</w:t>
      </w:r>
      <w:r>
        <w:rPr>
          <w:rFonts w:asciiTheme="minorHAnsi" w:hAnsiTheme="minorHAnsi"/>
          <w:bCs/>
          <w:iCs/>
        </w:rPr>
        <w:t xml:space="preserve"> The geospatial effect of the ENSO</w:t>
      </w:r>
      <w:r w:rsidRPr="006C03A7">
        <w:rPr>
          <w:rFonts w:asciiTheme="minorHAnsi" w:hAnsiTheme="minorHAnsi"/>
          <w:bCs/>
          <w:iCs/>
        </w:rPr>
        <w:t xml:space="preserve"> </w:t>
      </w:r>
      <w:r>
        <w:rPr>
          <w:rFonts w:asciiTheme="minorHAnsi" w:hAnsiTheme="minorHAnsi"/>
          <w:bCs/>
          <w:iCs/>
        </w:rPr>
        <w:t>on the annual number of wildfire occurrences in the recent and +2°C time-slices, with the strengthening or weakening effect of the mode (relative to the mean rate of wildfire occurrence) with +2°C climate change also shown.</w:t>
      </w:r>
    </w:p>
    <w:p w14:paraId="36C22B57" w14:textId="7E63F696" w:rsidR="000E0520" w:rsidRDefault="006C03A7" w:rsidP="00CF4AD8">
      <w:pPr>
        <w:spacing w:after="240"/>
        <w:rPr>
          <w:rFonts w:asciiTheme="minorHAnsi" w:hAnsiTheme="minorHAnsi"/>
          <w:bCs/>
          <w:iCs/>
        </w:rPr>
      </w:pPr>
      <w:r w:rsidRPr="00ED4BCE">
        <w:rPr>
          <w:rFonts w:asciiTheme="minorHAnsi" w:hAnsiTheme="minorHAnsi"/>
          <w:b/>
          <w:iCs/>
        </w:rPr>
        <w:t xml:space="preserve">Figure </w:t>
      </w:r>
      <w:r w:rsidR="009104E7">
        <w:rPr>
          <w:rFonts w:asciiTheme="minorHAnsi" w:hAnsiTheme="minorHAnsi"/>
          <w:b/>
          <w:iCs/>
        </w:rPr>
        <w:t>11</w:t>
      </w:r>
      <w:r w:rsidRPr="00ED4BCE">
        <w:rPr>
          <w:rFonts w:asciiTheme="minorHAnsi" w:hAnsiTheme="minorHAnsi"/>
          <w:b/>
          <w:iCs/>
        </w:rPr>
        <w:t>.</w:t>
      </w:r>
      <w:r>
        <w:rPr>
          <w:rFonts w:asciiTheme="minorHAnsi" w:hAnsiTheme="minorHAnsi"/>
          <w:b/>
          <w:iCs/>
        </w:rPr>
        <w:t>9</w:t>
      </w:r>
      <w:r>
        <w:rPr>
          <w:rFonts w:asciiTheme="minorHAnsi" w:hAnsiTheme="minorHAnsi"/>
          <w:bCs/>
          <w:iCs/>
        </w:rPr>
        <w:t xml:space="preserve"> The geospatial effect of the AO</w:t>
      </w:r>
      <w:r w:rsidRPr="006C03A7">
        <w:rPr>
          <w:rFonts w:asciiTheme="minorHAnsi" w:hAnsiTheme="minorHAnsi"/>
          <w:bCs/>
          <w:iCs/>
        </w:rPr>
        <w:t xml:space="preserve"> </w:t>
      </w:r>
      <w:r>
        <w:rPr>
          <w:rFonts w:asciiTheme="minorHAnsi" w:hAnsiTheme="minorHAnsi"/>
          <w:bCs/>
          <w:iCs/>
        </w:rPr>
        <w:t>on the annual number of wildfire occurrences in the recent and +2°C time-slices, with the strengthening or weakening effect of the mode (relative to the mean rate of wildfire occurrence) with +2°C climate change also shown.</w:t>
      </w:r>
    </w:p>
    <w:p w14:paraId="3897986C" w14:textId="73EAF7FB" w:rsidR="00013C12" w:rsidRDefault="000E0520">
      <w:pPr>
        <w:spacing w:after="160" w:line="279" w:lineRule="auto"/>
        <w:rPr>
          <w:rFonts w:asciiTheme="minorHAnsi" w:hAnsiTheme="minorHAnsi"/>
          <w:bCs/>
          <w:iCs/>
        </w:rPr>
      </w:pPr>
      <w:r w:rsidRPr="00FD434A">
        <w:rPr>
          <w:rFonts w:asciiTheme="minorHAnsi" w:hAnsiTheme="minorHAnsi"/>
          <w:b/>
          <w:iCs/>
        </w:rPr>
        <w:t xml:space="preserve">Figure </w:t>
      </w:r>
      <w:r w:rsidR="009104E7">
        <w:rPr>
          <w:rFonts w:asciiTheme="minorHAnsi" w:hAnsiTheme="minorHAnsi"/>
          <w:b/>
          <w:iCs/>
        </w:rPr>
        <w:t>11</w:t>
      </w:r>
      <w:r w:rsidRPr="00FD434A">
        <w:rPr>
          <w:rFonts w:asciiTheme="minorHAnsi" w:hAnsiTheme="minorHAnsi"/>
          <w:b/>
          <w:iCs/>
        </w:rPr>
        <w:t>.10</w:t>
      </w:r>
      <w:r w:rsidR="00332F40">
        <w:rPr>
          <w:rFonts w:asciiTheme="minorHAnsi" w:hAnsiTheme="minorHAnsi"/>
          <w:bCs/>
          <w:iCs/>
        </w:rPr>
        <w:t xml:space="preserve"> </w:t>
      </w:r>
      <w:r w:rsidR="00165A67">
        <w:rPr>
          <w:rFonts w:asciiTheme="minorHAnsi" w:hAnsiTheme="minorHAnsi"/>
          <w:bCs/>
          <w:iCs/>
        </w:rPr>
        <w:t>Comparative effect of La Niña years versus +2°C global warming on wildfire occurrence likelihood.</w:t>
      </w:r>
      <w:r w:rsidR="00013C12">
        <w:rPr>
          <w:rFonts w:asciiTheme="minorHAnsi" w:hAnsiTheme="minorHAnsi"/>
          <w:bCs/>
          <w:iCs/>
        </w:rPr>
        <w:br w:type="page"/>
      </w:r>
    </w:p>
    <w:p w14:paraId="5D235910" w14:textId="64EA7426" w:rsidR="006449E2" w:rsidRDefault="001B0676" w:rsidP="00D40E8A">
      <w:pPr>
        <w:pStyle w:val="Heading3"/>
        <w:rPr>
          <w:rFonts w:asciiTheme="minorHAnsi" w:hAnsiTheme="minorHAnsi"/>
          <w:b/>
          <w:iCs/>
          <w:color w:val="000000" w:themeColor="text1"/>
        </w:rPr>
      </w:pPr>
      <w:r>
        <w:rPr>
          <w:rFonts w:asciiTheme="minorHAnsi" w:hAnsiTheme="minorHAnsi"/>
          <w:b/>
          <w:iCs/>
          <w:color w:val="000000" w:themeColor="text1"/>
        </w:rPr>
        <w:t xml:space="preserve">Supplementary Section 1: Overview of </w:t>
      </w:r>
      <w:r w:rsidR="000F60C8">
        <w:rPr>
          <w:rFonts w:asciiTheme="minorHAnsi" w:hAnsiTheme="minorHAnsi"/>
          <w:b/>
          <w:iCs/>
          <w:color w:val="000000" w:themeColor="text1"/>
        </w:rPr>
        <w:t>Previous Studies</w:t>
      </w:r>
    </w:p>
    <w:p w14:paraId="33A74EB2" w14:textId="1000256B" w:rsidR="00303C74" w:rsidRDefault="00F05D32" w:rsidP="00192F9B">
      <w:pPr>
        <w:spacing w:before="160" w:after="80"/>
        <w:rPr>
          <w:rFonts w:asciiTheme="minorHAnsi" w:hAnsiTheme="minorHAnsi"/>
          <w:color w:val="000000" w:themeColor="text1"/>
        </w:rPr>
      </w:pPr>
      <w:r>
        <w:rPr>
          <w:rFonts w:asciiTheme="minorHAnsi" w:hAnsiTheme="minorHAnsi"/>
          <w:color w:val="000000" w:themeColor="text1"/>
        </w:rPr>
        <w:t>M</w:t>
      </w:r>
      <w:r w:rsidR="008D4B62">
        <w:rPr>
          <w:rFonts w:asciiTheme="minorHAnsi" w:hAnsiTheme="minorHAnsi"/>
          <w:color w:val="000000" w:themeColor="text1"/>
        </w:rPr>
        <w:t xml:space="preserve">ost </w:t>
      </w:r>
      <w:r w:rsidR="008D4B62" w:rsidRPr="00D40E8A">
        <w:rPr>
          <w:rFonts w:asciiTheme="minorHAnsi" w:hAnsiTheme="minorHAnsi"/>
          <w:color w:val="000000" w:themeColor="text1"/>
        </w:rPr>
        <w:t xml:space="preserve">previous studies on the association between climate </w:t>
      </w:r>
      <w:proofErr w:type="spellStart"/>
      <w:r w:rsidR="008D4B62" w:rsidRPr="00D40E8A">
        <w:rPr>
          <w:rFonts w:asciiTheme="minorHAnsi" w:hAnsiTheme="minorHAnsi"/>
          <w:color w:val="000000" w:themeColor="text1"/>
        </w:rPr>
        <w:t>modes</w:t>
      </w:r>
      <w:proofErr w:type="spellEnd"/>
      <w:r w:rsidR="008D4B62" w:rsidRPr="00D40E8A">
        <w:rPr>
          <w:rFonts w:asciiTheme="minorHAnsi" w:hAnsiTheme="minorHAnsi"/>
          <w:color w:val="000000" w:themeColor="text1"/>
        </w:rPr>
        <w:t xml:space="preserve"> and </w:t>
      </w:r>
      <w:r>
        <w:rPr>
          <w:rFonts w:asciiTheme="minorHAnsi" w:hAnsiTheme="minorHAnsi"/>
          <w:color w:val="000000" w:themeColor="text1"/>
        </w:rPr>
        <w:t xml:space="preserve">wildfire in the </w:t>
      </w:r>
      <w:r w:rsidR="008D4B62" w:rsidRPr="00D40E8A">
        <w:rPr>
          <w:rFonts w:asciiTheme="minorHAnsi" w:hAnsiTheme="minorHAnsi"/>
          <w:color w:val="000000" w:themeColor="text1"/>
        </w:rPr>
        <w:t xml:space="preserve">contiguous US have focussed on site-based </w:t>
      </w:r>
      <w:r>
        <w:rPr>
          <w:rFonts w:asciiTheme="minorHAnsi" w:hAnsiTheme="minorHAnsi"/>
          <w:color w:val="000000" w:themeColor="text1"/>
        </w:rPr>
        <w:t xml:space="preserve">or regional </w:t>
      </w:r>
      <w:r w:rsidR="008D4B62" w:rsidRPr="00D40E8A">
        <w:rPr>
          <w:rFonts w:asciiTheme="minorHAnsi" w:hAnsiTheme="minorHAnsi"/>
          <w:color w:val="000000" w:themeColor="text1"/>
        </w:rPr>
        <w:t>reconstructions of the wildfire record</w:t>
      </w:r>
      <w:r w:rsidR="008D4B62">
        <w:rPr>
          <w:rFonts w:asciiTheme="minorHAnsi" w:hAnsiTheme="minorHAnsi"/>
          <w:color w:val="000000" w:themeColor="text1"/>
        </w:rPr>
        <w:t xml:space="preserve"> from tree ring fire-scars. </w:t>
      </w:r>
      <w:r>
        <w:rPr>
          <w:rFonts w:asciiTheme="minorHAnsi" w:hAnsiTheme="minorHAnsi"/>
          <w:color w:val="000000" w:themeColor="text1"/>
        </w:rPr>
        <w:t xml:space="preserve">These can provide analyses covering multiple decades to centuries, but necessarily only focus on a limited spatial extent. </w:t>
      </w:r>
      <w:r w:rsidR="008D4B62">
        <w:rPr>
          <w:rFonts w:asciiTheme="minorHAnsi" w:hAnsiTheme="minorHAnsi"/>
          <w:color w:val="000000" w:themeColor="text1"/>
        </w:rPr>
        <w:t>State wildfire records and remote sensing have also been used</w:t>
      </w:r>
      <w:r>
        <w:rPr>
          <w:rFonts w:asciiTheme="minorHAnsi" w:hAnsiTheme="minorHAnsi"/>
          <w:color w:val="000000" w:themeColor="text1"/>
        </w:rPr>
        <w:t>. These cover a</w:t>
      </w:r>
      <w:r w:rsidR="008D4B62">
        <w:rPr>
          <w:rFonts w:asciiTheme="minorHAnsi" w:hAnsiTheme="minorHAnsi"/>
          <w:color w:val="000000" w:themeColor="text1"/>
        </w:rPr>
        <w:t xml:space="preserve"> larger </w:t>
      </w:r>
      <w:r>
        <w:rPr>
          <w:rFonts w:asciiTheme="minorHAnsi" w:hAnsiTheme="minorHAnsi"/>
          <w:color w:val="000000" w:themeColor="text1"/>
        </w:rPr>
        <w:t xml:space="preserve">and </w:t>
      </w:r>
      <w:r w:rsidR="008D4B62">
        <w:rPr>
          <w:rFonts w:asciiTheme="minorHAnsi" w:hAnsiTheme="minorHAnsi"/>
          <w:color w:val="000000" w:themeColor="text1"/>
        </w:rPr>
        <w:t xml:space="preserve">more continuous area, but </w:t>
      </w:r>
      <w:r>
        <w:rPr>
          <w:rFonts w:asciiTheme="minorHAnsi" w:hAnsiTheme="minorHAnsi"/>
          <w:color w:val="000000" w:themeColor="text1"/>
        </w:rPr>
        <w:t>cover</w:t>
      </w:r>
      <w:r w:rsidR="008D4B62">
        <w:rPr>
          <w:rFonts w:asciiTheme="minorHAnsi" w:hAnsiTheme="minorHAnsi"/>
          <w:color w:val="000000" w:themeColor="text1"/>
        </w:rPr>
        <w:t xml:space="preserve"> a shorter study period where the effects of a given climate mode </w:t>
      </w:r>
      <w:r>
        <w:rPr>
          <w:rFonts w:asciiTheme="minorHAnsi" w:hAnsiTheme="minorHAnsi"/>
          <w:color w:val="000000" w:themeColor="text1"/>
        </w:rPr>
        <w:t>may be</w:t>
      </w:r>
      <w:r w:rsidR="008D4B62">
        <w:rPr>
          <w:rFonts w:asciiTheme="minorHAnsi" w:hAnsiTheme="minorHAnsi"/>
          <w:color w:val="000000" w:themeColor="text1"/>
        </w:rPr>
        <w:t xml:space="preserve"> much more uncertain.</w:t>
      </w:r>
    </w:p>
    <w:p w14:paraId="4F32A1D8" w14:textId="64DB24E1" w:rsidR="000F515E" w:rsidRPr="00A6286B" w:rsidRDefault="000F515E" w:rsidP="00192F9B">
      <w:pPr>
        <w:spacing w:before="160" w:after="80"/>
        <w:rPr>
          <w:rFonts w:asciiTheme="minorHAnsi" w:hAnsiTheme="minorHAnsi"/>
          <w:color w:val="000000" w:themeColor="text1"/>
        </w:rPr>
      </w:pPr>
      <w:r>
        <w:rPr>
          <w:rFonts w:asciiTheme="minorHAnsi" w:hAnsiTheme="minorHAnsi"/>
          <w:color w:val="000000" w:themeColor="text1"/>
        </w:rPr>
        <w:t xml:space="preserve">Acronyms: </w:t>
      </w:r>
      <w:r w:rsidR="00D775F5">
        <w:rPr>
          <w:rFonts w:asciiTheme="minorHAnsi" w:hAnsiTheme="minorHAnsi"/>
          <w:color w:val="000000" w:themeColor="text1"/>
        </w:rPr>
        <w:t>ENSO</w:t>
      </w:r>
      <w:r w:rsidR="00D23AE0">
        <w:rPr>
          <w:rFonts w:asciiTheme="minorHAnsi" w:hAnsiTheme="minorHAnsi"/>
          <w:color w:val="000000" w:themeColor="text1"/>
        </w:rPr>
        <w:t xml:space="preserve"> (El Niño Southern Oscillation)</w:t>
      </w:r>
      <w:r w:rsidR="00D775F5">
        <w:rPr>
          <w:rFonts w:asciiTheme="minorHAnsi" w:hAnsiTheme="minorHAnsi"/>
          <w:color w:val="000000" w:themeColor="text1"/>
        </w:rPr>
        <w:t>, AMO</w:t>
      </w:r>
      <w:r w:rsidR="00D23AE0">
        <w:rPr>
          <w:rFonts w:asciiTheme="minorHAnsi" w:hAnsiTheme="minorHAnsi"/>
          <w:color w:val="000000" w:themeColor="text1"/>
        </w:rPr>
        <w:t xml:space="preserve"> (Atlantic Multidecadal Oscillation)</w:t>
      </w:r>
      <w:r w:rsidR="00D775F5">
        <w:rPr>
          <w:rFonts w:asciiTheme="minorHAnsi" w:hAnsiTheme="minorHAnsi"/>
          <w:color w:val="000000" w:themeColor="text1"/>
        </w:rPr>
        <w:t xml:space="preserve">, </w:t>
      </w:r>
      <w:r w:rsidR="00D23AE0">
        <w:rPr>
          <w:rFonts w:asciiTheme="minorHAnsi" w:hAnsiTheme="minorHAnsi"/>
          <w:color w:val="000000" w:themeColor="text1"/>
        </w:rPr>
        <w:t>PDO (Pacific Decadal Oscillation)</w:t>
      </w:r>
      <w:r w:rsidR="00D775F5">
        <w:rPr>
          <w:rFonts w:asciiTheme="minorHAnsi" w:hAnsiTheme="minorHAnsi"/>
          <w:color w:val="000000" w:themeColor="text1"/>
        </w:rPr>
        <w:t>, SOI</w:t>
      </w:r>
      <w:r w:rsidR="00D23AE0">
        <w:rPr>
          <w:rFonts w:asciiTheme="minorHAnsi" w:hAnsiTheme="minorHAnsi"/>
          <w:color w:val="000000" w:themeColor="text1"/>
        </w:rPr>
        <w:t xml:space="preserve"> (Southern Oscillation Index)</w:t>
      </w:r>
      <w:r w:rsidR="00D775F5">
        <w:rPr>
          <w:rFonts w:asciiTheme="minorHAnsi" w:hAnsiTheme="minorHAnsi"/>
          <w:color w:val="000000" w:themeColor="text1"/>
        </w:rPr>
        <w:t>, NAO</w:t>
      </w:r>
      <w:r w:rsidR="00D23AE0">
        <w:rPr>
          <w:rFonts w:asciiTheme="minorHAnsi" w:hAnsiTheme="minorHAnsi"/>
          <w:color w:val="000000" w:themeColor="text1"/>
        </w:rPr>
        <w:t xml:space="preserve"> (North Atlantic Oscillation)</w:t>
      </w:r>
      <w:r w:rsidR="00D775F5">
        <w:rPr>
          <w:rFonts w:asciiTheme="minorHAnsi" w:hAnsiTheme="minorHAnsi"/>
          <w:color w:val="000000" w:themeColor="text1"/>
        </w:rPr>
        <w:t>, PDSI</w:t>
      </w:r>
      <w:r w:rsidR="00D23AE0">
        <w:rPr>
          <w:rFonts w:asciiTheme="minorHAnsi" w:hAnsiTheme="minorHAnsi"/>
          <w:color w:val="000000" w:themeColor="text1"/>
        </w:rPr>
        <w:t xml:space="preserve"> (Palmer Drought Severity Index), MEI (Multivariate ENSO Index), NOAA (</w:t>
      </w:r>
      <w:r w:rsidR="00D23AE0" w:rsidRPr="00D23AE0">
        <w:rPr>
          <w:rFonts w:asciiTheme="minorHAnsi" w:hAnsiTheme="minorHAnsi"/>
          <w:color w:val="000000" w:themeColor="text1"/>
        </w:rPr>
        <w:t>National Oceanic and Atmospheric Administration</w:t>
      </w:r>
      <w:r w:rsidR="00D23AE0">
        <w:rPr>
          <w:rFonts w:asciiTheme="minorHAnsi" w:hAnsiTheme="minorHAnsi"/>
          <w:color w:val="000000" w:themeColor="text1"/>
        </w:rPr>
        <w:t>), NCAR (</w:t>
      </w:r>
      <w:r w:rsidR="00D23AE0" w:rsidRPr="00D23AE0">
        <w:rPr>
          <w:rFonts w:asciiTheme="minorHAnsi" w:hAnsiTheme="minorHAnsi"/>
          <w:color w:val="000000" w:themeColor="text1"/>
        </w:rPr>
        <w:t>National Center for Atmospheric Research</w:t>
      </w:r>
      <w:r w:rsidR="00D23AE0">
        <w:rPr>
          <w:rFonts w:asciiTheme="minorHAnsi" w:hAnsiTheme="minorHAnsi"/>
          <w:color w:val="000000" w:themeColor="text1"/>
        </w:rPr>
        <w:t>), NCEP (</w:t>
      </w:r>
      <w:r w:rsidR="00D23AE0" w:rsidRPr="00D23AE0">
        <w:rPr>
          <w:rFonts w:asciiTheme="minorHAnsi" w:hAnsiTheme="minorHAnsi"/>
          <w:color w:val="000000" w:themeColor="text1"/>
        </w:rPr>
        <w:t xml:space="preserve">National </w:t>
      </w:r>
      <w:proofErr w:type="spellStart"/>
      <w:r w:rsidR="00D23AE0" w:rsidRPr="00D23AE0">
        <w:rPr>
          <w:rFonts w:asciiTheme="minorHAnsi" w:hAnsiTheme="minorHAnsi"/>
          <w:color w:val="000000" w:themeColor="text1"/>
        </w:rPr>
        <w:t>Centers</w:t>
      </w:r>
      <w:proofErr w:type="spellEnd"/>
      <w:r w:rsidR="00D23AE0" w:rsidRPr="00D23AE0">
        <w:rPr>
          <w:rFonts w:asciiTheme="minorHAnsi" w:hAnsiTheme="minorHAnsi"/>
          <w:color w:val="000000" w:themeColor="text1"/>
        </w:rPr>
        <w:t xml:space="preserve"> for Environmental Prediction</w:t>
      </w:r>
      <w:r w:rsidR="00D23AE0">
        <w:rPr>
          <w:rFonts w:asciiTheme="minorHAnsi" w:hAnsiTheme="minorHAnsi"/>
          <w:color w:val="000000" w:themeColor="text1"/>
        </w:rPr>
        <w:t>), PNA (Pacific/North American)</w:t>
      </w:r>
      <w:r w:rsidR="009D241F">
        <w:rPr>
          <w:rFonts w:asciiTheme="minorHAnsi" w:hAnsiTheme="minorHAnsi"/>
          <w:color w:val="000000" w:themeColor="text1"/>
        </w:rPr>
        <w:t>.</w:t>
      </w:r>
    </w:p>
    <w:p w14:paraId="3E4EAAFA" w14:textId="1C7883D2" w:rsidR="006449E2" w:rsidRPr="00207935" w:rsidRDefault="006449E2" w:rsidP="00207935">
      <w:pPr>
        <w:spacing w:before="160" w:after="80"/>
        <w:jc w:val="both"/>
        <w:rPr>
          <w:rFonts w:asciiTheme="minorHAnsi" w:hAnsiTheme="minorHAnsi"/>
          <w:bCs/>
          <w:i/>
        </w:rPr>
      </w:pPr>
      <w:r w:rsidRPr="00207935">
        <w:rPr>
          <w:rFonts w:asciiTheme="minorHAnsi" w:hAnsiTheme="minorHAnsi"/>
          <w:bCs/>
          <w:i/>
        </w:rPr>
        <w:t>Supplementary Table 1</w:t>
      </w:r>
      <w:r w:rsidR="004027C6" w:rsidRPr="00207935">
        <w:rPr>
          <w:rFonts w:asciiTheme="minorHAnsi" w:hAnsiTheme="minorHAnsi"/>
          <w:bCs/>
          <w:i/>
        </w:rPr>
        <w:t>.1</w:t>
      </w:r>
      <w:r w:rsidRPr="00207935">
        <w:rPr>
          <w:rFonts w:asciiTheme="minorHAnsi" w:hAnsiTheme="minorHAnsi"/>
          <w:i/>
        </w:rPr>
        <w:t xml:space="preserve">: </w:t>
      </w:r>
      <w:r w:rsidRPr="00207935">
        <w:rPr>
          <w:rFonts w:asciiTheme="minorHAnsi" w:hAnsiTheme="minorHAnsi"/>
          <w:bCs/>
          <w:i/>
        </w:rPr>
        <w:t xml:space="preserve">Overview of previous studies of the relationships between wildfire and climate </w:t>
      </w:r>
      <w:proofErr w:type="spellStart"/>
      <w:r w:rsidRPr="00207935">
        <w:rPr>
          <w:rFonts w:asciiTheme="minorHAnsi" w:hAnsiTheme="minorHAnsi"/>
          <w:bCs/>
          <w:i/>
        </w:rPr>
        <w:t>modes</w:t>
      </w:r>
      <w:proofErr w:type="spellEnd"/>
      <w:r w:rsidRPr="00207935">
        <w:rPr>
          <w:rFonts w:asciiTheme="minorHAnsi" w:hAnsiTheme="minorHAnsi"/>
          <w:bCs/>
          <w:i/>
        </w:rPr>
        <w:t xml:space="preserve"> for the contiguous US.</w:t>
      </w:r>
    </w:p>
    <w:tbl>
      <w:tblPr>
        <w:tblStyle w:val="TableGrid"/>
        <w:tblW w:w="11873" w:type="dxa"/>
        <w:tblInd w:w="-1284"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702"/>
        <w:gridCol w:w="3827"/>
        <w:gridCol w:w="1275"/>
        <w:gridCol w:w="2410"/>
        <w:gridCol w:w="1417"/>
        <w:gridCol w:w="1242"/>
      </w:tblGrid>
      <w:tr w:rsidR="000F515E" w:rsidRPr="00F46EC0" w14:paraId="193395CC" w14:textId="40EE8AC5" w:rsidTr="000F515E">
        <w:trPr>
          <w:trHeight w:val="300"/>
        </w:trPr>
        <w:tc>
          <w:tcPr>
            <w:tcW w:w="1702" w:type="dxa"/>
          </w:tcPr>
          <w:p w14:paraId="26A33EF4" w14:textId="3C097EE2" w:rsidR="00C77E14" w:rsidRPr="00F46EC0" w:rsidRDefault="00C77E14" w:rsidP="000F515E">
            <w:pPr>
              <w:rPr>
                <w:rFonts w:asciiTheme="minorHAnsi" w:eastAsia="Aptos" w:hAnsiTheme="minorHAnsi" w:cs="Aptos"/>
                <w:b/>
                <w:iCs/>
                <w:color w:val="000000" w:themeColor="text1"/>
                <w:sz w:val="20"/>
                <w:szCs w:val="20"/>
              </w:rPr>
            </w:pPr>
            <w:r w:rsidRPr="00F46EC0">
              <w:rPr>
                <w:rFonts w:asciiTheme="minorHAnsi" w:eastAsia="Aptos" w:hAnsiTheme="minorHAnsi" w:cs="Aptos"/>
                <w:b/>
                <w:iCs/>
                <w:color w:val="000000" w:themeColor="text1"/>
                <w:sz w:val="20"/>
                <w:szCs w:val="20"/>
              </w:rPr>
              <w:t>Reference</w:t>
            </w:r>
          </w:p>
        </w:tc>
        <w:tc>
          <w:tcPr>
            <w:tcW w:w="3827" w:type="dxa"/>
          </w:tcPr>
          <w:p w14:paraId="382466A4" w14:textId="77777777" w:rsidR="00C77E14" w:rsidRPr="00F46EC0" w:rsidRDefault="00C77E14" w:rsidP="000F515E">
            <w:pPr>
              <w:rPr>
                <w:rFonts w:asciiTheme="minorHAnsi" w:eastAsia="Aptos" w:hAnsiTheme="minorHAnsi" w:cs="Aptos"/>
                <w:b/>
                <w:iCs/>
                <w:color w:val="000000" w:themeColor="text1"/>
                <w:sz w:val="20"/>
                <w:szCs w:val="20"/>
              </w:rPr>
            </w:pPr>
            <w:r>
              <w:rPr>
                <w:rFonts w:asciiTheme="minorHAnsi" w:eastAsia="Aptos" w:hAnsiTheme="minorHAnsi" w:cs="Aptos"/>
                <w:b/>
                <w:iCs/>
                <w:color w:val="000000" w:themeColor="text1"/>
                <w:sz w:val="20"/>
                <w:szCs w:val="20"/>
              </w:rPr>
              <w:t>Study Extent</w:t>
            </w:r>
          </w:p>
        </w:tc>
        <w:tc>
          <w:tcPr>
            <w:tcW w:w="1275" w:type="dxa"/>
          </w:tcPr>
          <w:p w14:paraId="678278DE" w14:textId="77777777" w:rsidR="00C77E14" w:rsidRPr="00F46EC0" w:rsidRDefault="00C77E14" w:rsidP="000F515E">
            <w:pPr>
              <w:rPr>
                <w:rFonts w:asciiTheme="minorHAnsi" w:eastAsia="Aptos" w:hAnsiTheme="minorHAnsi" w:cs="Aptos"/>
                <w:b/>
                <w:iCs/>
                <w:color w:val="000000" w:themeColor="text1"/>
                <w:sz w:val="20"/>
                <w:szCs w:val="20"/>
              </w:rPr>
            </w:pPr>
            <w:r>
              <w:rPr>
                <w:rFonts w:asciiTheme="minorHAnsi" w:eastAsia="Aptos" w:hAnsiTheme="minorHAnsi" w:cs="Aptos"/>
                <w:b/>
                <w:iCs/>
                <w:color w:val="000000" w:themeColor="text1"/>
                <w:sz w:val="20"/>
                <w:szCs w:val="20"/>
              </w:rPr>
              <w:t>Study Period</w:t>
            </w:r>
          </w:p>
        </w:tc>
        <w:tc>
          <w:tcPr>
            <w:tcW w:w="2410" w:type="dxa"/>
          </w:tcPr>
          <w:p w14:paraId="1363CDF1" w14:textId="31099BF4" w:rsidR="00C77E14" w:rsidRPr="00F46EC0" w:rsidRDefault="00C77E14" w:rsidP="000F515E">
            <w:pPr>
              <w:rPr>
                <w:rFonts w:asciiTheme="minorHAnsi" w:eastAsia="Aptos" w:hAnsiTheme="minorHAnsi" w:cs="Aptos"/>
                <w:b/>
                <w:iCs/>
                <w:color w:val="000000" w:themeColor="text1"/>
                <w:sz w:val="20"/>
                <w:szCs w:val="20"/>
              </w:rPr>
            </w:pPr>
            <w:r w:rsidRPr="00F46EC0">
              <w:rPr>
                <w:rFonts w:asciiTheme="minorHAnsi" w:eastAsia="Aptos" w:hAnsiTheme="minorHAnsi" w:cs="Aptos"/>
                <w:b/>
                <w:iCs/>
                <w:color w:val="000000" w:themeColor="text1"/>
                <w:sz w:val="20"/>
                <w:szCs w:val="20"/>
              </w:rPr>
              <w:t xml:space="preserve">Mode </w:t>
            </w:r>
            <w:r w:rsidR="00355015">
              <w:rPr>
                <w:rFonts w:asciiTheme="minorHAnsi" w:eastAsia="Aptos" w:hAnsiTheme="minorHAnsi" w:cs="Aptos"/>
                <w:b/>
                <w:iCs/>
                <w:color w:val="000000" w:themeColor="text1"/>
                <w:sz w:val="20"/>
                <w:szCs w:val="20"/>
              </w:rPr>
              <w:t>Source</w:t>
            </w:r>
          </w:p>
        </w:tc>
        <w:tc>
          <w:tcPr>
            <w:tcW w:w="1417" w:type="dxa"/>
          </w:tcPr>
          <w:p w14:paraId="0D0DCBBE" w14:textId="2D371A00" w:rsidR="00C77E14" w:rsidRPr="00F46EC0" w:rsidRDefault="00C77E14" w:rsidP="000F515E">
            <w:pPr>
              <w:rPr>
                <w:rFonts w:asciiTheme="minorHAnsi" w:eastAsia="Aptos" w:hAnsiTheme="minorHAnsi" w:cs="Aptos"/>
                <w:b/>
                <w:iCs/>
                <w:color w:val="000000" w:themeColor="text1"/>
                <w:sz w:val="20"/>
                <w:szCs w:val="20"/>
              </w:rPr>
            </w:pPr>
            <w:r w:rsidRPr="00F46EC0">
              <w:rPr>
                <w:rFonts w:asciiTheme="minorHAnsi" w:eastAsia="Aptos" w:hAnsiTheme="minorHAnsi" w:cs="Aptos"/>
                <w:b/>
                <w:iCs/>
                <w:color w:val="000000" w:themeColor="text1"/>
                <w:sz w:val="20"/>
                <w:szCs w:val="20"/>
              </w:rPr>
              <w:t>Data Source</w:t>
            </w:r>
          </w:p>
        </w:tc>
        <w:tc>
          <w:tcPr>
            <w:tcW w:w="1242" w:type="dxa"/>
          </w:tcPr>
          <w:p w14:paraId="1A4E750B" w14:textId="199389A1" w:rsidR="00C77E14" w:rsidRPr="00F46EC0" w:rsidRDefault="00355015" w:rsidP="000F515E">
            <w:pPr>
              <w:rPr>
                <w:rFonts w:asciiTheme="minorHAnsi" w:eastAsia="Aptos" w:hAnsiTheme="minorHAnsi" w:cs="Aptos"/>
                <w:b/>
                <w:iCs/>
                <w:color w:val="000000" w:themeColor="text1"/>
                <w:sz w:val="20"/>
                <w:szCs w:val="20"/>
              </w:rPr>
            </w:pPr>
            <w:r>
              <w:rPr>
                <w:rFonts w:asciiTheme="minorHAnsi" w:eastAsia="Aptos" w:hAnsiTheme="minorHAnsi" w:cs="Aptos"/>
                <w:b/>
                <w:iCs/>
                <w:color w:val="000000" w:themeColor="text1"/>
                <w:sz w:val="20"/>
                <w:szCs w:val="20"/>
              </w:rPr>
              <w:t xml:space="preserve">Wildfire </w:t>
            </w:r>
            <w:r w:rsidR="00A6286B">
              <w:rPr>
                <w:rFonts w:asciiTheme="minorHAnsi" w:eastAsia="Aptos" w:hAnsiTheme="minorHAnsi" w:cs="Aptos"/>
                <w:b/>
                <w:iCs/>
                <w:color w:val="000000" w:themeColor="text1"/>
                <w:sz w:val="20"/>
                <w:szCs w:val="20"/>
              </w:rPr>
              <w:t>Property</w:t>
            </w:r>
          </w:p>
        </w:tc>
      </w:tr>
      <w:tr w:rsidR="00266543" w:rsidRPr="00F46EC0" w14:paraId="0E0A61A7" w14:textId="4EECF9CB" w:rsidTr="000F515E">
        <w:trPr>
          <w:trHeight w:val="300"/>
        </w:trPr>
        <w:tc>
          <w:tcPr>
            <w:tcW w:w="1702" w:type="dxa"/>
          </w:tcPr>
          <w:p w14:paraId="6B901515" w14:textId="53557818" w:rsidR="00C77E14" w:rsidRDefault="00C77E14"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Ascoli et al. (2020)</w:t>
            </w:r>
          </w:p>
        </w:tc>
        <w:tc>
          <w:tcPr>
            <w:tcW w:w="3827" w:type="dxa"/>
          </w:tcPr>
          <w:p w14:paraId="73EFE83E" w14:textId="77777777" w:rsidR="00C77E14" w:rsidRPr="00F46EC0" w:rsidRDefault="00C77E14"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Alaska, Yukon, Alberta, Quebec. (7, 8, 15, 7 sites)</w:t>
            </w:r>
          </w:p>
        </w:tc>
        <w:tc>
          <w:tcPr>
            <w:tcW w:w="1275" w:type="dxa"/>
          </w:tcPr>
          <w:p w14:paraId="55AD8071" w14:textId="77777777" w:rsidR="00C77E14" w:rsidRPr="00F46EC0" w:rsidRDefault="00C77E14" w:rsidP="000F515E">
            <w:pPr>
              <w:rPr>
                <w:rFonts w:asciiTheme="minorHAnsi" w:eastAsia="Aptos" w:hAnsiTheme="minorHAnsi" w:cs="Aptos"/>
                <w:iCs/>
                <w:color w:val="000000" w:themeColor="text1"/>
                <w:sz w:val="20"/>
                <w:szCs w:val="20"/>
              </w:rPr>
            </w:pPr>
            <w:r w:rsidRPr="001E6CB6">
              <w:rPr>
                <w:rFonts w:asciiTheme="minorHAnsi" w:eastAsia="Aptos" w:hAnsiTheme="minorHAnsi" w:cs="Aptos"/>
                <w:iCs/>
                <w:color w:val="000000" w:themeColor="text1"/>
                <w:sz w:val="20"/>
                <w:szCs w:val="20"/>
              </w:rPr>
              <w:t>1957–2016</w:t>
            </w:r>
            <w:r>
              <w:rPr>
                <w:rFonts w:asciiTheme="minorHAnsi" w:eastAsia="Aptos" w:hAnsiTheme="minorHAnsi" w:cs="Aptos"/>
                <w:iCs/>
                <w:color w:val="000000" w:themeColor="text1"/>
                <w:sz w:val="20"/>
                <w:szCs w:val="20"/>
              </w:rPr>
              <w:t xml:space="preserve">, </w:t>
            </w:r>
            <w:r w:rsidRPr="001E6CB6">
              <w:rPr>
                <w:rFonts w:asciiTheme="minorHAnsi" w:eastAsia="Aptos" w:hAnsiTheme="minorHAnsi" w:cs="Aptos"/>
                <w:iCs/>
                <w:color w:val="000000" w:themeColor="text1"/>
                <w:sz w:val="20"/>
                <w:szCs w:val="20"/>
              </w:rPr>
              <w:t>1987–2016</w:t>
            </w:r>
            <w:r>
              <w:rPr>
                <w:rFonts w:asciiTheme="minorHAnsi" w:eastAsia="Aptos" w:hAnsiTheme="minorHAnsi" w:cs="Aptos"/>
                <w:iCs/>
                <w:color w:val="000000" w:themeColor="text1"/>
                <w:sz w:val="20"/>
                <w:szCs w:val="20"/>
              </w:rPr>
              <w:t xml:space="preserve">, </w:t>
            </w:r>
            <w:r w:rsidRPr="001E6CB6">
              <w:rPr>
                <w:rFonts w:asciiTheme="minorHAnsi" w:eastAsia="Aptos" w:hAnsiTheme="minorHAnsi" w:cs="Aptos"/>
                <w:iCs/>
                <w:color w:val="000000" w:themeColor="text1"/>
                <w:sz w:val="20"/>
                <w:szCs w:val="20"/>
              </w:rPr>
              <w:t>1951–2016</w:t>
            </w:r>
            <w:r>
              <w:rPr>
                <w:rFonts w:asciiTheme="minorHAnsi" w:eastAsia="Aptos" w:hAnsiTheme="minorHAnsi" w:cs="Aptos"/>
                <w:iCs/>
                <w:color w:val="000000" w:themeColor="text1"/>
                <w:sz w:val="20"/>
                <w:szCs w:val="20"/>
              </w:rPr>
              <w:t xml:space="preserve">, </w:t>
            </w:r>
            <w:r w:rsidRPr="001E6CB6">
              <w:rPr>
                <w:rFonts w:asciiTheme="minorHAnsi" w:eastAsia="Aptos" w:hAnsiTheme="minorHAnsi" w:cs="Aptos"/>
                <w:iCs/>
                <w:color w:val="000000" w:themeColor="text1"/>
                <w:sz w:val="20"/>
                <w:szCs w:val="20"/>
              </w:rPr>
              <w:t>1989–2014</w:t>
            </w:r>
          </w:p>
        </w:tc>
        <w:tc>
          <w:tcPr>
            <w:tcW w:w="2410" w:type="dxa"/>
          </w:tcPr>
          <w:p w14:paraId="7C255ADF" w14:textId="77777777" w:rsidR="00C77E14" w:rsidRPr="00F46EC0" w:rsidRDefault="00C77E14"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and AMO from ocean temperatures.</w:t>
            </w:r>
          </w:p>
        </w:tc>
        <w:tc>
          <w:tcPr>
            <w:tcW w:w="1417" w:type="dxa"/>
            <w:vAlign w:val="center"/>
          </w:tcPr>
          <w:p w14:paraId="7BF100E8" w14:textId="0B53B515" w:rsidR="00C77E14" w:rsidRPr="00F46EC0" w:rsidRDefault="00150D89" w:rsidP="00266543">
            <w:pPr>
              <w:rPr>
                <w:rFonts w:asciiTheme="minorHAnsi" w:eastAsia="Aptos" w:hAnsiTheme="minorHAnsi" w:cs="Aptos"/>
                <w:iCs/>
                <w:color w:val="000000" w:themeColor="text1"/>
                <w:sz w:val="20"/>
                <w:szCs w:val="20"/>
              </w:rPr>
            </w:pPr>
            <w:r w:rsidRPr="00150D89">
              <w:rPr>
                <w:rFonts w:asciiTheme="minorHAnsi" w:eastAsia="Aptos" w:hAnsiTheme="minorHAnsi" w:cs="Aptos"/>
                <w:iCs/>
                <w:color w:val="000000" w:themeColor="text1"/>
                <w:sz w:val="20"/>
                <w:szCs w:val="20"/>
              </w:rPr>
              <w:t>Correlation of</w:t>
            </w:r>
            <w:r>
              <w:rPr>
                <w:rFonts w:asciiTheme="minorHAnsi" w:eastAsia="Aptos" w:hAnsiTheme="minorHAnsi" w:cs="Aptos"/>
                <w:i/>
                <w:color w:val="000000" w:themeColor="text1"/>
                <w:sz w:val="20"/>
                <w:szCs w:val="20"/>
              </w:rPr>
              <w:t xml:space="preserve"> </w:t>
            </w:r>
            <w:proofErr w:type="spellStart"/>
            <w:r>
              <w:rPr>
                <w:rFonts w:asciiTheme="minorHAnsi" w:eastAsia="Aptos" w:hAnsiTheme="minorHAnsi" w:cs="Aptos"/>
                <w:i/>
                <w:color w:val="000000" w:themeColor="text1"/>
                <w:sz w:val="20"/>
                <w:szCs w:val="20"/>
              </w:rPr>
              <w:t>p</w:t>
            </w:r>
            <w:r w:rsidR="00C77E14" w:rsidRPr="008A4E59">
              <w:rPr>
                <w:rFonts w:asciiTheme="minorHAnsi" w:eastAsia="Aptos" w:hAnsiTheme="minorHAnsi" w:cs="Aptos"/>
                <w:i/>
                <w:color w:val="000000" w:themeColor="text1"/>
                <w:sz w:val="20"/>
                <w:szCs w:val="20"/>
              </w:rPr>
              <w:t>icea</w:t>
            </w:r>
            <w:proofErr w:type="spellEnd"/>
            <w:r w:rsidR="00C77E14" w:rsidRPr="008A4E59">
              <w:rPr>
                <w:rFonts w:asciiTheme="minorHAnsi" w:eastAsia="Aptos" w:hAnsiTheme="minorHAnsi" w:cs="Aptos"/>
                <w:i/>
                <w:color w:val="000000" w:themeColor="text1"/>
                <w:sz w:val="20"/>
                <w:szCs w:val="20"/>
              </w:rPr>
              <w:t xml:space="preserve"> </w:t>
            </w:r>
            <w:proofErr w:type="spellStart"/>
            <w:r w:rsidR="00C77E14" w:rsidRPr="008A4E59">
              <w:rPr>
                <w:rFonts w:asciiTheme="minorHAnsi" w:eastAsia="Aptos" w:hAnsiTheme="minorHAnsi" w:cs="Aptos"/>
                <w:i/>
                <w:color w:val="000000" w:themeColor="text1"/>
                <w:sz w:val="20"/>
                <w:szCs w:val="20"/>
              </w:rPr>
              <w:t>glauca</w:t>
            </w:r>
            <w:proofErr w:type="spellEnd"/>
            <w:r w:rsidR="00C77E14" w:rsidRPr="00F46EC0">
              <w:rPr>
                <w:rFonts w:asciiTheme="minorHAnsi" w:eastAsia="Aptos" w:hAnsiTheme="minorHAnsi" w:cs="Aptos"/>
                <w:iCs/>
                <w:color w:val="000000" w:themeColor="text1"/>
                <w:sz w:val="20"/>
                <w:szCs w:val="20"/>
              </w:rPr>
              <w:t xml:space="preserve"> </w:t>
            </w:r>
            <w:proofErr w:type="spellStart"/>
            <w:r w:rsidR="00C77E14" w:rsidRPr="00F46EC0">
              <w:rPr>
                <w:rFonts w:asciiTheme="minorHAnsi" w:eastAsia="Aptos" w:hAnsiTheme="minorHAnsi" w:cs="Aptos"/>
                <w:iCs/>
                <w:color w:val="000000" w:themeColor="text1"/>
                <w:sz w:val="20"/>
                <w:szCs w:val="20"/>
              </w:rPr>
              <w:t>masting</w:t>
            </w:r>
            <w:proofErr w:type="spellEnd"/>
            <w:r w:rsidR="00C77E14" w:rsidRPr="00F46EC0">
              <w:rPr>
                <w:rFonts w:asciiTheme="minorHAnsi" w:eastAsia="Aptos" w:hAnsiTheme="minorHAnsi" w:cs="Aptos"/>
                <w:iCs/>
                <w:color w:val="000000" w:themeColor="text1"/>
                <w:sz w:val="20"/>
                <w:szCs w:val="20"/>
              </w:rPr>
              <w:t xml:space="preserve"> chronologies</w:t>
            </w:r>
            <w:r>
              <w:rPr>
                <w:rFonts w:asciiTheme="minorHAnsi" w:eastAsia="Aptos" w:hAnsiTheme="minorHAnsi" w:cs="Aptos"/>
                <w:iCs/>
                <w:color w:val="000000" w:themeColor="text1"/>
                <w:sz w:val="20"/>
                <w:szCs w:val="20"/>
              </w:rPr>
              <w:t xml:space="preserve"> with burnt area</w:t>
            </w:r>
          </w:p>
        </w:tc>
        <w:tc>
          <w:tcPr>
            <w:tcW w:w="1242" w:type="dxa"/>
            <w:vAlign w:val="center"/>
          </w:tcPr>
          <w:p w14:paraId="7437AF91" w14:textId="66B85A84" w:rsidR="00C77E14" w:rsidRPr="00F46EC0" w:rsidRDefault="00351FBC" w:rsidP="00266543">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Burnt area</w:t>
            </w:r>
          </w:p>
        </w:tc>
      </w:tr>
      <w:tr w:rsidR="00266543" w:rsidRPr="00F46EC0" w14:paraId="00718964" w14:textId="77777777" w:rsidTr="000F515E">
        <w:trPr>
          <w:trHeight w:val="300"/>
        </w:trPr>
        <w:tc>
          <w:tcPr>
            <w:tcW w:w="1702" w:type="dxa"/>
          </w:tcPr>
          <w:p w14:paraId="7DBC0B4A" w14:textId="318ECEC8"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 xml:space="preserve">Westerling </w:t>
            </w:r>
            <w:r>
              <w:rPr>
                <w:rFonts w:asciiTheme="minorHAnsi" w:eastAsia="Aptos" w:hAnsiTheme="minorHAnsi" w:cs="Aptos"/>
                <w:iCs/>
                <w:color w:val="000000" w:themeColor="text1"/>
                <w:sz w:val="20"/>
                <w:szCs w:val="20"/>
              </w:rPr>
              <w:t>&amp;</w:t>
            </w:r>
            <w:r w:rsidRPr="00F46EC0">
              <w:rPr>
                <w:rFonts w:asciiTheme="minorHAnsi" w:eastAsia="Aptos" w:hAnsiTheme="minorHAnsi" w:cs="Aptos"/>
                <w:iCs/>
                <w:color w:val="000000" w:themeColor="text1"/>
                <w:sz w:val="20"/>
                <w:szCs w:val="20"/>
              </w:rPr>
              <w:t xml:space="preserve"> Swetnam (2003)</w:t>
            </w:r>
          </w:p>
        </w:tc>
        <w:tc>
          <w:tcPr>
            <w:tcW w:w="3827" w:type="dxa"/>
          </w:tcPr>
          <w:p w14:paraId="320A1D94" w14:textId="02AC66A3" w:rsidR="00997822" w:rsidRDefault="00997822"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Continental United States (</w:t>
            </w:r>
            <w:r w:rsidR="00266543">
              <w:rPr>
                <w:rFonts w:asciiTheme="minorHAnsi" w:eastAsia="Aptos" w:hAnsiTheme="minorHAnsi" w:cs="Aptos"/>
                <w:iCs/>
                <w:color w:val="000000" w:themeColor="text1"/>
                <w:sz w:val="20"/>
                <w:szCs w:val="20"/>
              </w:rPr>
              <w:t>number of</w:t>
            </w:r>
            <w:r>
              <w:rPr>
                <w:rFonts w:asciiTheme="minorHAnsi" w:eastAsia="Aptos" w:hAnsiTheme="minorHAnsi" w:cs="Aptos"/>
                <w:iCs/>
                <w:color w:val="000000" w:themeColor="text1"/>
                <w:sz w:val="20"/>
                <w:szCs w:val="20"/>
              </w:rPr>
              <w:t xml:space="preserve"> trees and </w:t>
            </w:r>
            <w:r w:rsidR="00266543">
              <w:rPr>
                <w:rFonts w:asciiTheme="minorHAnsi" w:eastAsia="Aptos" w:hAnsiTheme="minorHAnsi" w:cs="Aptos"/>
                <w:iCs/>
                <w:color w:val="000000" w:themeColor="text1"/>
                <w:sz w:val="20"/>
                <w:szCs w:val="20"/>
              </w:rPr>
              <w:t>number of</w:t>
            </w:r>
            <w:r>
              <w:rPr>
                <w:rFonts w:asciiTheme="minorHAnsi" w:eastAsia="Aptos" w:hAnsiTheme="minorHAnsi" w:cs="Aptos"/>
                <w:iCs/>
                <w:color w:val="000000" w:themeColor="text1"/>
                <w:sz w:val="20"/>
                <w:szCs w:val="20"/>
              </w:rPr>
              <w:t xml:space="preserve"> sites not stated)</w:t>
            </w:r>
          </w:p>
        </w:tc>
        <w:tc>
          <w:tcPr>
            <w:tcW w:w="1275" w:type="dxa"/>
          </w:tcPr>
          <w:p w14:paraId="491D8ECE" w14:textId="5ACB6771" w:rsidR="00997822" w:rsidRDefault="00997822"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1701–1978, 1916–</w:t>
            </w:r>
            <w:r w:rsidRPr="00B75D85">
              <w:rPr>
                <w:rFonts w:asciiTheme="minorHAnsi" w:eastAsia="Aptos" w:hAnsiTheme="minorHAnsi" w:cs="Aptos"/>
                <w:iCs/>
                <w:color w:val="000000" w:themeColor="text1"/>
                <w:sz w:val="20"/>
                <w:szCs w:val="20"/>
              </w:rPr>
              <w:t>197</w:t>
            </w:r>
            <w:r>
              <w:rPr>
                <w:rFonts w:asciiTheme="minorHAnsi" w:eastAsia="Aptos" w:hAnsiTheme="minorHAnsi" w:cs="Aptos"/>
                <w:iCs/>
                <w:color w:val="000000" w:themeColor="text1"/>
                <w:sz w:val="20"/>
                <w:szCs w:val="20"/>
              </w:rPr>
              <w:t>8</w:t>
            </w:r>
          </w:p>
        </w:tc>
        <w:tc>
          <w:tcPr>
            <w:tcW w:w="2410" w:type="dxa"/>
          </w:tcPr>
          <w:p w14:paraId="0DFC5F16" w14:textId="484C3D68"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and PDO reconstructed (tree-ring) and modern (observed)</w:t>
            </w:r>
          </w:p>
        </w:tc>
        <w:tc>
          <w:tcPr>
            <w:tcW w:w="1417" w:type="dxa"/>
            <w:vMerge w:val="restart"/>
            <w:vAlign w:val="center"/>
          </w:tcPr>
          <w:p w14:paraId="25D89833" w14:textId="566AE1CB" w:rsidR="00997822" w:rsidRPr="00F46EC0" w:rsidRDefault="00997822" w:rsidP="00266543">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Fire</w:t>
            </w:r>
            <w:r w:rsidRPr="00F46EC0">
              <w:rPr>
                <w:rFonts w:asciiTheme="minorHAnsi" w:eastAsia="Aptos" w:hAnsiTheme="minorHAnsi" w:cs="Aptos"/>
                <w:iCs/>
                <w:color w:val="000000" w:themeColor="text1"/>
                <w:sz w:val="20"/>
                <w:szCs w:val="20"/>
              </w:rPr>
              <w:t xml:space="preserve"> scars </w:t>
            </w:r>
          </w:p>
        </w:tc>
        <w:tc>
          <w:tcPr>
            <w:tcW w:w="1242" w:type="dxa"/>
            <w:vMerge w:val="restart"/>
            <w:vAlign w:val="center"/>
          </w:tcPr>
          <w:p w14:paraId="0153A1C4" w14:textId="3743F22A" w:rsidR="00997822" w:rsidRDefault="001753C0" w:rsidP="00266543">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 xml:space="preserve">Fire </w:t>
            </w:r>
            <w:r w:rsidR="00150D89">
              <w:rPr>
                <w:rFonts w:asciiTheme="minorHAnsi" w:eastAsia="Aptos" w:hAnsiTheme="minorHAnsi" w:cs="Aptos"/>
                <w:iCs/>
                <w:color w:val="000000" w:themeColor="text1"/>
                <w:sz w:val="20"/>
                <w:szCs w:val="20"/>
              </w:rPr>
              <w:t>occurrence</w:t>
            </w:r>
          </w:p>
        </w:tc>
      </w:tr>
      <w:tr w:rsidR="00266543" w:rsidRPr="00F46EC0" w14:paraId="5F5B600E" w14:textId="77777777" w:rsidTr="000F515E">
        <w:trPr>
          <w:trHeight w:val="300"/>
        </w:trPr>
        <w:tc>
          <w:tcPr>
            <w:tcW w:w="1702" w:type="dxa"/>
          </w:tcPr>
          <w:p w14:paraId="7BA7AD29" w14:textId="503B2C6B"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Hessl et al. (2004)</w:t>
            </w:r>
          </w:p>
        </w:tc>
        <w:tc>
          <w:tcPr>
            <w:tcW w:w="3827" w:type="dxa"/>
          </w:tcPr>
          <w:p w14:paraId="6AAAF40E" w14:textId="25F1BF59" w:rsidR="00997822" w:rsidRDefault="00997822"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C</w:t>
            </w:r>
            <w:r w:rsidRPr="00AE6B0D">
              <w:rPr>
                <w:rFonts w:asciiTheme="minorHAnsi" w:eastAsia="Aptos" w:hAnsiTheme="minorHAnsi" w:cs="Aptos"/>
                <w:iCs/>
                <w:color w:val="000000" w:themeColor="text1"/>
                <w:sz w:val="20"/>
                <w:szCs w:val="20"/>
              </w:rPr>
              <w:t xml:space="preserve">entral and </w:t>
            </w:r>
            <w:r>
              <w:rPr>
                <w:rFonts w:asciiTheme="minorHAnsi" w:eastAsia="Aptos" w:hAnsiTheme="minorHAnsi" w:cs="Aptos"/>
                <w:iCs/>
                <w:color w:val="000000" w:themeColor="text1"/>
                <w:sz w:val="20"/>
                <w:szCs w:val="20"/>
              </w:rPr>
              <w:t>E</w:t>
            </w:r>
            <w:r w:rsidRPr="00AE6B0D">
              <w:rPr>
                <w:rFonts w:asciiTheme="minorHAnsi" w:eastAsia="Aptos" w:hAnsiTheme="minorHAnsi" w:cs="Aptos"/>
                <w:iCs/>
                <w:color w:val="000000" w:themeColor="text1"/>
                <w:sz w:val="20"/>
                <w:szCs w:val="20"/>
              </w:rPr>
              <w:t>astern Washington State</w:t>
            </w:r>
            <w:r w:rsidR="00266543">
              <w:rPr>
                <w:rFonts w:asciiTheme="minorHAnsi" w:eastAsia="Aptos" w:hAnsiTheme="minorHAnsi" w:cs="Aptos"/>
                <w:iCs/>
                <w:color w:val="000000" w:themeColor="text1"/>
                <w:sz w:val="20"/>
                <w:szCs w:val="20"/>
              </w:rPr>
              <w:t xml:space="preserve"> </w:t>
            </w:r>
            <w:r>
              <w:rPr>
                <w:rFonts w:asciiTheme="minorHAnsi" w:eastAsia="Aptos" w:hAnsiTheme="minorHAnsi" w:cs="Aptos"/>
                <w:iCs/>
                <w:color w:val="000000" w:themeColor="text1"/>
                <w:sz w:val="20"/>
                <w:szCs w:val="20"/>
              </w:rPr>
              <w:t>(5 sites, 1701 trees)</w:t>
            </w:r>
          </w:p>
        </w:tc>
        <w:tc>
          <w:tcPr>
            <w:tcW w:w="1275" w:type="dxa"/>
          </w:tcPr>
          <w:p w14:paraId="3B61A829" w14:textId="067E776D" w:rsidR="00997822" w:rsidRDefault="00997822"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1700-1990</w:t>
            </w:r>
          </w:p>
        </w:tc>
        <w:tc>
          <w:tcPr>
            <w:tcW w:w="2410" w:type="dxa"/>
          </w:tcPr>
          <w:p w14:paraId="2C7CF607" w14:textId="3CB84606"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and PDO from tree rings</w:t>
            </w:r>
          </w:p>
        </w:tc>
        <w:tc>
          <w:tcPr>
            <w:tcW w:w="1417" w:type="dxa"/>
            <w:vMerge/>
            <w:vAlign w:val="center"/>
          </w:tcPr>
          <w:p w14:paraId="50F728CF" w14:textId="4F78108C" w:rsidR="00997822" w:rsidRPr="00F46EC0" w:rsidRDefault="00997822" w:rsidP="00266543">
            <w:pPr>
              <w:rPr>
                <w:rFonts w:asciiTheme="minorHAnsi" w:eastAsia="Aptos" w:hAnsiTheme="minorHAnsi" w:cs="Aptos"/>
                <w:iCs/>
                <w:color w:val="000000" w:themeColor="text1"/>
                <w:sz w:val="20"/>
                <w:szCs w:val="20"/>
              </w:rPr>
            </w:pPr>
          </w:p>
        </w:tc>
        <w:tc>
          <w:tcPr>
            <w:tcW w:w="1242" w:type="dxa"/>
            <w:vMerge/>
            <w:vAlign w:val="center"/>
          </w:tcPr>
          <w:p w14:paraId="34E564DE" w14:textId="63D14871" w:rsidR="00997822" w:rsidRDefault="00997822" w:rsidP="00266543">
            <w:pPr>
              <w:rPr>
                <w:rFonts w:asciiTheme="minorHAnsi" w:eastAsia="Aptos" w:hAnsiTheme="minorHAnsi" w:cs="Aptos"/>
                <w:iCs/>
                <w:color w:val="000000" w:themeColor="text1"/>
                <w:sz w:val="20"/>
                <w:szCs w:val="20"/>
              </w:rPr>
            </w:pPr>
          </w:p>
        </w:tc>
      </w:tr>
      <w:tr w:rsidR="00266543" w:rsidRPr="00F46EC0" w14:paraId="0DA63B92" w14:textId="77777777" w:rsidTr="000F515E">
        <w:trPr>
          <w:trHeight w:val="300"/>
        </w:trPr>
        <w:tc>
          <w:tcPr>
            <w:tcW w:w="1702" w:type="dxa"/>
          </w:tcPr>
          <w:p w14:paraId="7B3CE59C" w14:textId="505E8D3E"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Heyerdahl et al. (2002)</w:t>
            </w:r>
          </w:p>
        </w:tc>
        <w:tc>
          <w:tcPr>
            <w:tcW w:w="3827" w:type="dxa"/>
          </w:tcPr>
          <w:p w14:paraId="6A41946B" w14:textId="565D66CD" w:rsidR="00997822" w:rsidRDefault="00997822"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 xml:space="preserve">Eastern Oregon and Washington States </w:t>
            </w:r>
            <w:r w:rsidRPr="00F46EC0">
              <w:rPr>
                <w:rFonts w:asciiTheme="minorHAnsi" w:eastAsia="Aptos" w:hAnsiTheme="minorHAnsi" w:cs="Aptos"/>
                <w:iCs/>
                <w:color w:val="000000" w:themeColor="text1"/>
                <w:sz w:val="20"/>
                <w:szCs w:val="20"/>
              </w:rPr>
              <w:t>(</w:t>
            </w:r>
            <w:r>
              <w:rPr>
                <w:rFonts w:asciiTheme="minorHAnsi" w:eastAsia="Aptos" w:hAnsiTheme="minorHAnsi" w:cs="Aptos"/>
                <w:iCs/>
                <w:color w:val="000000" w:themeColor="text1"/>
                <w:sz w:val="20"/>
                <w:szCs w:val="20"/>
              </w:rPr>
              <w:t xml:space="preserve">4 sites, </w:t>
            </w:r>
            <w:r w:rsidRPr="00F46EC0">
              <w:rPr>
                <w:rFonts w:asciiTheme="minorHAnsi" w:eastAsia="Aptos" w:hAnsiTheme="minorHAnsi" w:cs="Aptos"/>
                <w:iCs/>
                <w:color w:val="000000" w:themeColor="text1"/>
                <w:sz w:val="20"/>
                <w:szCs w:val="20"/>
              </w:rPr>
              <w:t>3659 trees)</w:t>
            </w:r>
          </w:p>
        </w:tc>
        <w:tc>
          <w:tcPr>
            <w:tcW w:w="1275" w:type="dxa"/>
          </w:tcPr>
          <w:p w14:paraId="70E7CBB9" w14:textId="583DBA29" w:rsidR="00997822" w:rsidRDefault="00997822" w:rsidP="000F515E">
            <w:pPr>
              <w:rPr>
                <w:rFonts w:asciiTheme="minorHAnsi" w:eastAsia="Aptos" w:hAnsiTheme="minorHAnsi" w:cs="Aptos"/>
                <w:iCs/>
                <w:color w:val="000000" w:themeColor="text1"/>
                <w:sz w:val="20"/>
                <w:szCs w:val="20"/>
              </w:rPr>
            </w:pPr>
            <w:r w:rsidRPr="00AE6B0D">
              <w:rPr>
                <w:rFonts w:asciiTheme="minorHAnsi" w:eastAsia="Aptos" w:hAnsiTheme="minorHAnsi" w:cs="Aptos"/>
                <w:iCs/>
                <w:color w:val="000000" w:themeColor="text1"/>
                <w:sz w:val="20"/>
                <w:szCs w:val="20"/>
              </w:rPr>
              <w:t>1687–1994</w:t>
            </w:r>
          </w:p>
        </w:tc>
        <w:tc>
          <w:tcPr>
            <w:tcW w:w="2410" w:type="dxa"/>
          </w:tcPr>
          <w:p w14:paraId="077F65E8" w14:textId="531BA21E"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from SOI (modern) and tree rings (historical)</w:t>
            </w:r>
          </w:p>
        </w:tc>
        <w:tc>
          <w:tcPr>
            <w:tcW w:w="1417" w:type="dxa"/>
            <w:vMerge/>
            <w:vAlign w:val="center"/>
          </w:tcPr>
          <w:p w14:paraId="3D7525C3" w14:textId="15915C8F" w:rsidR="00997822" w:rsidRPr="00F46EC0" w:rsidRDefault="00997822" w:rsidP="00266543">
            <w:pPr>
              <w:rPr>
                <w:rFonts w:asciiTheme="minorHAnsi" w:eastAsia="Aptos" w:hAnsiTheme="minorHAnsi" w:cs="Aptos"/>
                <w:iCs/>
                <w:color w:val="000000" w:themeColor="text1"/>
                <w:sz w:val="20"/>
                <w:szCs w:val="20"/>
              </w:rPr>
            </w:pPr>
          </w:p>
        </w:tc>
        <w:tc>
          <w:tcPr>
            <w:tcW w:w="1242" w:type="dxa"/>
            <w:vMerge/>
            <w:vAlign w:val="center"/>
          </w:tcPr>
          <w:p w14:paraId="52367152" w14:textId="526E030B" w:rsidR="00997822" w:rsidRDefault="00997822" w:rsidP="00266543">
            <w:pPr>
              <w:rPr>
                <w:rFonts w:asciiTheme="minorHAnsi" w:eastAsia="Aptos" w:hAnsiTheme="minorHAnsi" w:cs="Aptos"/>
                <w:iCs/>
                <w:color w:val="000000" w:themeColor="text1"/>
                <w:sz w:val="20"/>
                <w:szCs w:val="20"/>
              </w:rPr>
            </w:pPr>
          </w:p>
        </w:tc>
      </w:tr>
      <w:tr w:rsidR="00266543" w:rsidRPr="00F46EC0" w14:paraId="7643FFFD" w14:textId="77777777" w:rsidTr="000F515E">
        <w:trPr>
          <w:trHeight w:val="300"/>
        </w:trPr>
        <w:tc>
          <w:tcPr>
            <w:tcW w:w="1702" w:type="dxa"/>
          </w:tcPr>
          <w:p w14:paraId="0362855A" w14:textId="16E69E51"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Heyerdahl et al. (2008)</w:t>
            </w:r>
          </w:p>
        </w:tc>
        <w:tc>
          <w:tcPr>
            <w:tcW w:w="3827" w:type="dxa"/>
          </w:tcPr>
          <w:p w14:paraId="75A28BE2" w14:textId="285449CA" w:rsidR="00997822" w:rsidRDefault="00997822" w:rsidP="000F515E">
            <w:pPr>
              <w:rPr>
                <w:rFonts w:asciiTheme="minorHAnsi" w:eastAsia="Aptos" w:hAnsiTheme="minorHAnsi" w:cs="Aptos"/>
                <w:iCs/>
                <w:color w:val="000000" w:themeColor="text1"/>
                <w:sz w:val="20"/>
                <w:szCs w:val="20"/>
              </w:rPr>
            </w:pPr>
            <w:r w:rsidRPr="00F27331">
              <w:rPr>
                <w:rFonts w:asciiTheme="minorHAnsi" w:eastAsia="Aptos" w:hAnsiTheme="minorHAnsi" w:cs="Aptos"/>
                <w:iCs/>
                <w:color w:val="000000" w:themeColor="text1"/>
                <w:sz w:val="20"/>
                <w:szCs w:val="20"/>
              </w:rPr>
              <w:t xml:space="preserve">Interior Oregon and Washington States and Southern British Columbia Province </w:t>
            </w:r>
            <w:r>
              <w:rPr>
                <w:rFonts w:asciiTheme="minorHAnsi" w:eastAsia="Aptos" w:hAnsiTheme="minorHAnsi" w:cs="Aptos"/>
                <w:iCs/>
                <w:color w:val="000000" w:themeColor="text1"/>
                <w:sz w:val="20"/>
                <w:szCs w:val="20"/>
              </w:rPr>
              <w:t>(</w:t>
            </w:r>
            <w:r w:rsidRPr="00AE6B0D">
              <w:rPr>
                <w:rFonts w:asciiTheme="minorHAnsi" w:eastAsia="Aptos" w:hAnsiTheme="minorHAnsi" w:cs="Aptos"/>
                <w:iCs/>
                <w:color w:val="000000" w:themeColor="text1"/>
                <w:sz w:val="20"/>
                <w:szCs w:val="20"/>
              </w:rPr>
              <w:t>15 sites</w:t>
            </w:r>
            <w:r>
              <w:rPr>
                <w:rFonts w:asciiTheme="minorHAnsi" w:eastAsia="Aptos" w:hAnsiTheme="minorHAnsi" w:cs="Aptos"/>
                <w:iCs/>
                <w:color w:val="000000" w:themeColor="text1"/>
                <w:sz w:val="20"/>
                <w:szCs w:val="20"/>
              </w:rPr>
              <w:t>, 3720 trees)</w:t>
            </w:r>
          </w:p>
        </w:tc>
        <w:tc>
          <w:tcPr>
            <w:tcW w:w="1275" w:type="dxa"/>
          </w:tcPr>
          <w:p w14:paraId="77DD5429" w14:textId="449FA559" w:rsidR="00997822" w:rsidRDefault="00997822" w:rsidP="000F515E">
            <w:pPr>
              <w:rPr>
                <w:rFonts w:asciiTheme="minorHAnsi" w:eastAsia="Aptos" w:hAnsiTheme="minorHAnsi" w:cs="Aptos"/>
                <w:iCs/>
                <w:color w:val="000000" w:themeColor="text1"/>
                <w:sz w:val="20"/>
                <w:szCs w:val="20"/>
              </w:rPr>
            </w:pPr>
            <w:r w:rsidRPr="00AE6B0D">
              <w:rPr>
                <w:rFonts w:asciiTheme="minorHAnsi" w:eastAsia="Aptos" w:hAnsiTheme="minorHAnsi" w:cs="Aptos"/>
                <w:iCs/>
                <w:color w:val="000000" w:themeColor="text1"/>
                <w:sz w:val="20"/>
                <w:szCs w:val="20"/>
              </w:rPr>
              <w:t>1651</w:t>
            </w:r>
            <w:r>
              <w:rPr>
                <w:rFonts w:asciiTheme="minorHAnsi" w:eastAsia="Aptos" w:hAnsiTheme="minorHAnsi" w:cs="Aptos"/>
                <w:iCs/>
                <w:color w:val="000000" w:themeColor="text1"/>
                <w:sz w:val="20"/>
                <w:szCs w:val="20"/>
              </w:rPr>
              <w:t>–</w:t>
            </w:r>
            <w:r w:rsidRPr="00AE6B0D">
              <w:rPr>
                <w:rFonts w:asciiTheme="minorHAnsi" w:eastAsia="Aptos" w:hAnsiTheme="minorHAnsi" w:cs="Aptos"/>
                <w:iCs/>
                <w:color w:val="000000" w:themeColor="text1"/>
                <w:sz w:val="20"/>
                <w:szCs w:val="20"/>
              </w:rPr>
              <w:t>1900</w:t>
            </w:r>
          </w:p>
        </w:tc>
        <w:tc>
          <w:tcPr>
            <w:tcW w:w="2410" w:type="dxa"/>
          </w:tcPr>
          <w:p w14:paraId="00F29ADD" w14:textId="3B970E71"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and PDO from tree rings</w:t>
            </w:r>
          </w:p>
        </w:tc>
        <w:tc>
          <w:tcPr>
            <w:tcW w:w="1417" w:type="dxa"/>
            <w:vMerge/>
            <w:vAlign w:val="center"/>
          </w:tcPr>
          <w:p w14:paraId="762BCE66" w14:textId="6E544D83" w:rsidR="00997822" w:rsidRPr="00F46EC0" w:rsidRDefault="00997822" w:rsidP="00266543">
            <w:pPr>
              <w:rPr>
                <w:rFonts w:asciiTheme="minorHAnsi" w:eastAsia="Aptos" w:hAnsiTheme="minorHAnsi" w:cs="Aptos"/>
                <w:iCs/>
                <w:color w:val="000000" w:themeColor="text1"/>
                <w:sz w:val="20"/>
                <w:szCs w:val="20"/>
              </w:rPr>
            </w:pPr>
          </w:p>
        </w:tc>
        <w:tc>
          <w:tcPr>
            <w:tcW w:w="1242" w:type="dxa"/>
            <w:vMerge/>
            <w:vAlign w:val="center"/>
          </w:tcPr>
          <w:p w14:paraId="099A0F27" w14:textId="1727E401" w:rsidR="00997822" w:rsidRDefault="00997822" w:rsidP="00266543">
            <w:pPr>
              <w:rPr>
                <w:rFonts w:asciiTheme="minorHAnsi" w:eastAsia="Aptos" w:hAnsiTheme="minorHAnsi" w:cs="Aptos"/>
                <w:iCs/>
                <w:color w:val="000000" w:themeColor="text1"/>
                <w:sz w:val="20"/>
                <w:szCs w:val="20"/>
              </w:rPr>
            </w:pPr>
          </w:p>
        </w:tc>
      </w:tr>
      <w:tr w:rsidR="00266543" w:rsidRPr="00F46EC0" w14:paraId="1292B1AC" w14:textId="77777777" w:rsidTr="000F515E">
        <w:trPr>
          <w:trHeight w:val="300"/>
        </w:trPr>
        <w:tc>
          <w:tcPr>
            <w:tcW w:w="1702" w:type="dxa"/>
          </w:tcPr>
          <w:p w14:paraId="0EDF928D" w14:textId="40C8EEC5"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Johnston et al. (2017)</w:t>
            </w:r>
          </w:p>
        </w:tc>
        <w:tc>
          <w:tcPr>
            <w:tcW w:w="3827" w:type="dxa"/>
          </w:tcPr>
          <w:p w14:paraId="3205E2BF" w14:textId="777CC55E" w:rsidR="00997822" w:rsidRDefault="00997822"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East Oregon (13 sites, 189–201 trees)</w:t>
            </w:r>
          </w:p>
        </w:tc>
        <w:tc>
          <w:tcPr>
            <w:tcW w:w="1275" w:type="dxa"/>
          </w:tcPr>
          <w:p w14:paraId="26D883B8" w14:textId="08ACA422" w:rsidR="00997822" w:rsidRDefault="00997822"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1650–1900</w:t>
            </w:r>
          </w:p>
        </w:tc>
        <w:tc>
          <w:tcPr>
            <w:tcW w:w="2410" w:type="dxa"/>
          </w:tcPr>
          <w:p w14:paraId="5B41E483" w14:textId="62215EED"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and PDO from published reconstructions (tree rings and reanalysis meteorology)</w:t>
            </w:r>
          </w:p>
        </w:tc>
        <w:tc>
          <w:tcPr>
            <w:tcW w:w="1417" w:type="dxa"/>
            <w:vMerge/>
            <w:vAlign w:val="center"/>
          </w:tcPr>
          <w:p w14:paraId="09E8580D" w14:textId="367C25C4" w:rsidR="00997822" w:rsidRPr="00F46EC0" w:rsidRDefault="00997822" w:rsidP="00266543">
            <w:pPr>
              <w:rPr>
                <w:rFonts w:asciiTheme="minorHAnsi" w:eastAsia="Aptos" w:hAnsiTheme="minorHAnsi" w:cs="Aptos"/>
                <w:iCs/>
                <w:color w:val="000000" w:themeColor="text1"/>
                <w:sz w:val="20"/>
                <w:szCs w:val="20"/>
              </w:rPr>
            </w:pPr>
          </w:p>
        </w:tc>
        <w:tc>
          <w:tcPr>
            <w:tcW w:w="1242" w:type="dxa"/>
            <w:vMerge/>
            <w:vAlign w:val="center"/>
          </w:tcPr>
          <w:p w14:paraId="318691C3" w14:textId="528A774C" w:rsidR="00997822" w:rsidRDefault="00997822" w:rsidP="00266543">
            <w:pPr>
              <w:rPr>
                <w:rFonts w:asciiTheme="minorHAnsi" w:eastAsia="Aptos" w:hAnsiTheme="minorHAnsi" w:cs="Aptos"/>
                <w:iCs/>
                <w:color w:val="000000" w:themeColor="text1"/>
                <w:sz w:val="20"/>
                <w:szCs w:val="20"/>
              </w:rPr>
            </w:pPr>
          </w:p>
        </w:tc>
      </w:tr>
      <w:tr w:rsidR="00266543" w:rsidRPr="00F46EC0" w14:paraId="732CB9D8" w14:textId="77777777" w:rsidTr="000F515E">
        <w:trPr>
          <w:trHeight w:val="300"/>
        </w:trPr>
        <w:tc>
          <w:tcPr>
            <w:tcW w:w="1702" w:type="dxa"/>
          </w:tcPr>
          <w:p w14:paraId="28977DC2" w14:textId="7CAB9641"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Kipfmueller et al. (2012)</w:t>
            </w:r>
          </w:p>
        </w:tc>
        <w:tc>
          <w:tcPr>
            <w:tcW w:w="3827" w:type="dxa"/>
          </w:tcPr>
          <w:p w14:paraId="56C032FF" w14:textId="5DB040AF" w:rsidR="00997822" w:rsidRDefault="00997822"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 xml:space="preserve">Pacific Northwest (Oregon, Washington, Idaho, Montana, Wyoming), Central Rockies (Colorado Wyoming), Southwest (Colorado, New Mexico, Arizona) </w:t>
            </w:r>
            <w:r w:rsidRPr="00F46EC0">
              <w:rPr>
                <w:rFonts w:asciiTheme="minorHAnsi" w:eastAsia="Aptos" w:hAnsiTheme="minorHAnsi" w:cs="Aptos"/>
                <w:iCs/>
                <w:color w:val="000000" w:themeColor="text1"/>
                <w:sz w:val="20"/>
                <w:szCs w:val="20"/>
              </w:rPr>
              <w:t>(128 sites)</w:t>
            </w:r>
          </w:p>
        </w:tc>
        <w:tc>
          <w:tcPr>
            <w:tcW w:w="1275" w:type="dxa"/>
          </w:tcPr>
          <w:p w14:paraId="26715155" w14:textId="4DAE6A31" w:rsidR="00997822" w:rsidRDefault="00997822"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1700–1900</w:t>
            </w:r>
          </w:p>
        </w:tc>
        <w:tc>
          <w:tcPr>
            <w:tcW w:w="2410" w:type="dxa"/>
          </w:tcPr>
          <w:p w14:paraId="6449E48C" w14:textId="372CB3DE"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and PDO from tree ring</w:t>
            </w:r>
            <w:r>
              <w:rPr>
                <w:rFonts w:asciiTheme="minorHAnsi" w:eastAsia="Aptos" w:hAnsiTheme="minorHAnsi" w:cs="Aptos"/>
                <w:iCs/>
                <w:color w:val="000000" w:themeColor="text1"/>
                <w:sz w:val="20"/>
                <w:szCs w:val="20"/>
              </w:rPr>
              <w:t>s</w:t>
            </w:r>
          </w:p>
        </w:tc>
        <w:tc>
          <w:tcPr>
            <w:tcW w:w="1417" w:type="dxa"/>
            <w:vMerge/>
            <w:vAlign w:val="center"/>
          </w:tcPr>
          <w:p w14:paraId="01D1B152" w14:textId="4F72662F" w:rsidR="00997822" w:rsidRPr="00F46EC0" w:rsidRDefault="00997822" w:rsidP="00266543">
            <w:pPr>
              <w:rPr>
                <w:rFonts w:asciiTheme="minorHAnsi" w:eastAsia="Aptos" w:hAnsiTheme="minorHAnsi" w:cs="Aptos"/>
                <w:iCs/>
                <w:color w:val="000000" w:themeColor="text1"/>
                <w:sz w:val="20"/>
                <w:szCs w:val="20"/>
              </w:rPr>
            </w:pPr>
          </w:p>
        </w:tc>
        <w:tc>
          <w:tcPr>
            <w:tcW w:w="1242" w:type="dxa"/>
            <w:vMerge/>
            <w:vAlign w:val="center"/>
          </w:tcPr>
          <w:p w14:paraId="648C3DD3" w14:textId="04DD0829" w:rsidR="00997822" w:rsidRDefault="00997822" w:rsidP="00266543">
            <w:pPr>
              <w:rPr>
                <w:rFonts w:asciiTheme="minorHAnsi" w:eastAsia="Aptos" w:hAnsiTheme="minorHAnsi" w:cs="Aptos"/>
                <w:iCs/>
                <w:color w:val="000000" w:themeColor="text1"/>
                <w:sz w:val="20"/>
                <w:szCs w:val="20"/>
              </w:rPr>
            </w:pPr>
          </w:p>
        </w:tc>
      </w:tr>
      <w:tr w:rsidR="00266543" w:rsidRPr="00F46EC0" w14:paraId="77D386CA" w14:textId="77777777" w:rsidTr="000F515E">
        <w:trPr>
          <w:trHeight w:val="300"/>
        </w:trPr>
        <w:tc>
          <w:tcPr>
            <w:tcW w:w="1702" w:type="dxa"/>
          </w:tcPr>
          <w:p w14:paraId="2F468D78" w14:textId="2075CE6A"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Kitzberger et al. (2007)</w:t>
            </w:r>
          </w:p>
        </w:tc>
        <w:tc>
          <w:tcPr>
            <w:tcW w:w="3827" w:type="dxa"/>
          </w:tcPr>
          <w:p w14:paraId="40AE0F69" w14:textId="627C79B2" w:rsidR="00997822" w:rsidRDefault="00997822" w:rsidP="000F515E">
            <w:pPr>
              <w:rPr>
                <w:rFonts w:asciiTheme="minorHAnsi" w:eastAsia="Aptos" w:hAnsiTheme="minorHAnsi" w:cs="Aptos"/>
                <w:iCs/>
                <w:color w:val="000000" w:themeColor="text1"/>
                <w:sz w:val="20"/>
                <w:szCs w:val="20"/>
              </w:rPr>
            </w:pPr>
            <w:r w:rsidRPr="0026031D">
              <w:rPr>
                <w:rFonts w:asciiTheme="minorHAnsi" w:eastAsia="Aptos" w:hAnsiTheme="minorHAnsi" w:cs="Aptos"/>
                <w:iCs/>
                <w:color w:val="000000" w:themeColor="text1"/>
                <w:sz w:val="20"/>
                <w:szCs w:val="20"/>
              </w:rPr>
              <w:t>Sierra Madre Occidental,</w:t>
            </w:r>
            <w:r>
              <w:rPr>
                <w:rFonts w:asciiTheme="minorHAnsi" w:eastAsia="Aptos" w:hAnsiTheme="minorHAnsi" w:cs="Aptos"/>
                <w:iCs/>
                <w:color w:val="000000" w:themeColor="text1"/>
                <w:sz w:val="20"/>
                <w:szCs w:val="20"/>
              </w:rPr>
              <w:t xml:space="preserve"> </w:t>
            </w:r>
            <w:r w:rsidRPr="0026031D">
              <w:rPr>
                <w:rFonts w:asciiTheme="minorHAnsi" w:eastAsia="Aptos" w:hAnsiTheme="minorHAnsi" w:cs="Aptos"/>
                <w:iCs/>
                <w:color w:val="000000" w:themeColor="text1"/>
                <w:sz w:val="20"/>
                <w:szCs w:val="20"/>
              </w:rPr>
              <w:t>Arizona</w:t>
            </w:r>
            <w:r>
              <w:rPr>
                <w:rFonts w:asciiTheme="minorHAnsi" w:eastAsia="Aptos" w:hAnsiTheme="minorHAnsi" w:cs="Aptos"/>
                <w:iCs/>
                <w:color w:val="000000" w:themeColor="text1"/>
                <w:sz w:val="20"/>
                <w:szCs w:val="20"/>
              </w:rPr>
              <w:t xml:space="preserve">, </w:t>
            </w:r>
            <w:r w:rsidRPr="0026031D">
              <w:rPr>
                <w:rFonts w:asciiTheme="minorHAnsi" w:eastAsia="Aptos" w:hAnsiTheme="minorHAnsi" w:cs="Aptos"/>
                <w:iCs/>
                <w:color w:val="000000" w:themeColor="text1"/>
                <w:sz w:val="20"/>
                <w:szCs w:val="20"/>
              </w:rPr>
              <w:t>Southern New Mexico</w:t>
            </w:r>
            <w:r>
              <w:rPr>
                <w:rFonts w:asciiTheme="minorHAnsi" w:eastAsia="Aptos" w:hAnsiTheme="minorHAnsi" w:cs="Aptos"/>
                <w:iCs/>
                <w:color w:val="000000" w:themeColor="text1"/>
                <w:sz w:val="20"/>
                <w:szCs w:val="20"/>
              </w:rPr>
              <w:t>, Northern</w:t>
            </w:r>
            <w:r w:rsidRPr="0026031D">
              <w:rPr>
                <w:rFonts w:asciiTheme="minorHAnsi" w:eastAsia="Aptos" w:hAnsiTheme="minorHAnsi" w:cs="Aptos"/>
                <w:iCs/>
                <w:color w:val="000000" w:themeColor="text1"/>
                <w:sz w:val="20"/>
                <w:szCs w:val="20"/>
              </w:rPr>
              <w:t xml:space="preserve"> New Mexico</w:t>
            </w:r>
            <w:r>
              <w:rPr>
                <w:rFonts w:asciiTheme="minorHAnsi" w:eastAsia="Aptos" w:hAnsiTheme="minorHAnsi" w:cs="Aptos"/>
                <w:iCs/>
                <w:color w:val="000000" w:themeColor="text1"/>
                <w:sz w:val="20"/>
                <w:szCs w:val="20"/>
              </w:rPr>
              <w:t xml:space="preserve">, </w:t>
            </w:r>
            <w:r w:rsidRPr="0026031D">
              <w:rPr>
                <w:rFonts w:asciiTheme="minorHAnsi" w:eastAsia="Aptos" w:hAnsiTheme="minorHAnsi" w:cs="Aptos"/>
                <w:iCs/>
                <w:color w:val="000000" w:themeColor="text1"/>
                <w:sz w:val="20"/>
                <w:szCs w:val="20"/>
              </w:rPr>
              <w:t>Southern Colorado</w:t>
            </w:r>
            <w:r>
              <w:rPr>
                <w:rFonts w:asciiTheme="minorHAnsi" w:eastAsia="Aptos" w:hAnsiTheme="minorHAnsi" w:cs="Aptos"/>
                <w:iCs/>
                <w:color w:val="000000" w:themeColor="text1"/>
                <w:sz w:val="20"/>
                <w:szCs w:val="20"/>
              </w:rPr>
              <w:t xml:space="preserve">, Northern Colorado, </w:t>
            </w:r>
            <w:r w:rsidRPr="0026031D">
              <w:rPr>
                <w:rFonts w:asciiTheme="minorHAnsi" w:eastAsia="Aptos" w:hAnsiTheme="minorHAnsi" w:cs="Aptos"/>
                <w:iCs/>
                <w:color w:val="000000" w:themeColor="text1"/>
                <w:sz w:val="20"/>
                <w:szCs w:val="20"/>
              </w:rPr>
              <w:t>Black Hills</w:t>
            </w:r>
            <w:r>
              <w:rPr>
                <w:rFonts w:asciiTheme="minorHAnsi" w:eastAsia="Aptos" w:hAnsiTheme="minorHAnsi" w:cs="Aptos"/>
                <w:iCs/>
                <w:color w:val="000000" w:themeColor="text1"/>
                <w:sz w:val="20"/>
                <w:szCs w:val="20"/>
              </w:rPr>
              <w:t xml:space="preserve"> (</w:t>
            </w:r>
            <w:r w:rsidRPr="0026031D">
              <w:rPr>
                <w:rFonts w:asciiTheme="minorHAnsi" w:eastAsia="Aptos" w:hAnsiTheme="minorHAnsi" w:cs="Aptos"/>
                <w:iCs/>
                <w:color w:val="000000" w:themeColor="text1"/>
                <w:sz w:val="20"/>
                <w:szCs w:val="20"/>
              </w:rPr>
              <w:t>South Dakota</w:t>
            </w:r>
            <w:r>
              <w:rPr>
                <w:rFonts w:asciiTheme="minorHAnsi" w:eastAsia="Aptos" w:hAnsiTheme="minorHAnsi" w:cs="Aptos"/>
                <w:iCs/>
                <w:color w:val="000000" w:themeColor="text1"/>
                <w:sz w:val="20"/>
                <w:szCs w:val="20"/>
              </w:rPr>
              <w:t xml:space="preserve">), </w:t>
            </w:r>
            <w:r w:rsidRPr="0026031D">
              <w:rPr>
                <w:rFonts w:asciiTheme="minorHAnsi" w:eastAsia="Aptos" w:hAnsiTheme="minorHAnsi" w:cs="Aptos"/>
                <w:iCs/>
                <w:color w:val="000000" w:themeColor="text1"/>
                <w:sz w:val="20"/>
                <w:szCs w:val="20"/>
              </w:rPr>
              <w:t>Sierra Nevada</w:t>
            </w:r>
            <w:r>
              <w:rPr>
                <w:rFonts w:asciiTheme="minorHAnsi" w:eastAsia="Aptos" w:hAnsiTheme="minorHAnsi" w:cs="Aptos"/>
                <w:iCs/>
                <w:color w:val="000000" w:themeColor="text1"/>
                <w:sz w:val="20"/>
                <w:szCs w:val="20"/>
              </w:rPr>
              <w:t xml:space="preserve"> (</w:t>
            </w:r>
            <w:r w:rsidRPr="0026031D">
              <w:rPr>
                <w:rFonts w:asciiTheme="minorHAnsi" w:eastAsia="Aptos" w:hAnsiTheme="minorHAnsi" w:cs="Aptos"/>
                <w:iCs/>
                <w:color w:val="000000" w:themeColor="text1"/>
                <w:sz w:val="20"/>
                <w:szCs w:val="20"/>
              </w:rPr>
              <w:t>California</w:t>
            </w:r>
            <w:r>
              <w:rPr>
                <w:rFonts w:asciiTheme="minorHAnsi" w:eastAsia="Aptos" w:hAnsiTheme="minorHAnsi" w:cs="Aptos"/>
                <w:iCs/>
                <w:color w:val="000000" w:themeColor="text1"/>
                <w:sz w:val="20"/>
                <w:szCs w:val="20"/>
              </w:rPr>
              <w:t xml:space="preserve">), </w:t>
            </w:r>
            <w:r w:rsidRPr="0026031D">
              <w:rPr>
                <w:rFonts w:asciiTheme="minorHAnsi" w:eastAsia="Aptos" w:hAnsiTheme="minorHAnsi" w:cs="Aptos"/>
                <w:iCs/>
                <w:color w:val="000000" w:themeColor="text1"/>
                <w:sz w:val="20"/>
                <w:szCs w:val="20"/>
              </w:rPr>
              <w:t>Blue Mountains</w:t>
            </w:r>
            <w:r>
              <w:rPr>
                <w:rFonts w:asciiTheme="minorHAnsi" w:eastAsia="Aptos" w:hAnsiTheme="minorHAnsi" w:cs="Aptos"/>
                <w:iCs/>
                <w:color w:val="000000" w:themeColor="text1"/>
                <w:sz w:val="20"/>
                <w:szCs w:val="20"/>
              </w:rPr>
              <w:t xml:space="preserve"> (</w:t>
            </w:r>
            <w:r w:rsidRPr="0026031D">
              <w:rPr>
                <w:rFonts w:asciiTheme="minorHAnsi" w:eastAsia="Aptos" w:hAnsiTheme="minorHAnsi" w:cs="Aptos"/>
                <w:iCs/>
                <w:color w:val="000000" w:themeColor="text1"/>
                <w:sz w:val="20"/>
                <w:szCs w:val="20"/>
              </w:rPr>
              <w:t>Oregon, Washington Southern British Columbia, Canada</w:t>
            </w:r>
            <w:r>
              <w:rPr>
                <w:rFonts w:asciiTheme="minorHAnsi" w:eastAsia="Aptos" w:hAnsiTheme="minorHAnsi" w:cs="Aptos"/>
                <w:iCs/>
                <w:color w:val="000000" w:themeColor="text1"/>
                <w:sz w:val="20"/>
                <w:szCs w:val="20"/>
              </w:rPr>
              <w:t>)</w:t>
            </w:r>
            <w:r w:rsidRPr="0026031D">
              <w:rPr>
                <w:rFonts w:asciiTheme="minorHAnsi" w:eastAsia="Aptos" w:hAnsiTheme="minorHAnsi" w:cs="Aptos"/>
                <w:iCs/>
                <w:color w:val="000000" w:themeColor="text1"/>
                <w:sz w:val="20"/>
                <w:szCs w:val="20"/>
              </w:rPr>
              <w:t xml:space="preserve"> </w:t>
            </w:r>
            <w:r w:rsidRPr="00F46EC0">
              <w:rPr>
                <w:rFonts w:asciiTheme="minorHAnsi" w:eastAsia="Aptos" w:hAnsiTheme="minorHAnsi" w:cs="Aptos"/>
                <w:iCs/>
                <w:color w:val="000000" w:themeColor="text1"/>
                <w:sz w:val="20"/>
                <w:szCs w:val="20"/>
              </w:rPr>
              <w:t>(</w:t>
            </w:r>
            <w:r>
              <w:rPr>
                <w:rFonts w:asciiTheme="minorHAnsi" w:eastAsia="Aptos" w:hAnsiTheme="minorHAnsi" w:cs="Aptos"/>
                <w:iCs/>
                <w:color w:val="000000" w:themeColor="text1"/>
                <w:sz w:val="20"/>
                <w:szCs w:val="20"/>
              </w:rPr>
              <w:t xml:space="preserve">238 sites, </w:t>
            </w:r>
            <w:r w:rsidRPr="00F46EC0">
              <w:rPr>
                <w:rFonts w:asciiTheme="minorHAnsi" w:eastAsia="Aptos" w:hAnsiTheme="minorHAnsi" w:cs="Aptos"/>
                <w:iCs/>
                <w:color w:val="000000" w:themeColor="text1"/>
                <w:sz w:val="20"/>
                <w:szCs w:val="20"/>
              </w:rPr>
              <w:t>4760 trees)</w:t>
            </w:r>
          </w:p>
        </w:tc>
        <w:tc>
          <w:tcPr>
            <w:tcW w:w="1275" w:type="dxa"/>
          </w:tcPr>
          <w:p w14:paraId="7091F3D0" w14:textId="5C557C8D" w:rsidR="00997822" w:rsidRDefault="00997822" w:rsidP="000F515E">
            <w:pPr>
              <w:rPr>
                <w:rFonts w:asciiTheme="minorHAnsi" w:eastAsia="Aptos" w:hAnsiTheme="minorHAnsi" w:cs="Aptos"/>
                <w:iCs/>
                <w:color w:val="000000" w:themeColor="text1"/>
                <w:sz w:val="20"/>
                <w:szCs w:val="20"/>
              </w:rPr>
            </w:pPr>
            <w:r w:rsidRPr="0026031D">
              <w:rPr>
                <w:rFonts w:asciiTheme="minorHAnsi" w:eastAsia="Aptos" w:hAnsiTheme="minorHAnsi" w:cs="Aptos"/>
                <w:iCs/>
                <w:color w:val="000000" w:themeColor="text1"/>
                <w:sz w:val="20"/>
                <w:szCs w:val="20"/>
              </w:rPr>
              <w:t>1550–192</w:t>
            </w:r>
            <w:r>
              <w:rPr>
                <w:rFonts w:asciiTheme="minorHAnsi" w:eastAsia="Aptos" w:hAnsiTheme="minorHAnsi" w:cs="Aptos"/>
                <w:iCs/>
                <w:color w:val="000000" w:themeColor="text1"/>
                <w:sz w:val="20"/>
                <w:szCs w:val="20"/>
              </w:rPr>
              <w:t>4</w:t>
            </w:r>
          </w:p>
        </w:tc>
        <w:tc>
          <w:tcPr>
            <w:tcW w:w="2410" w:type="dxa"/>
          </w:tcPr>
          <w:p w14:paraId="2A4371CB" w14:textId="569813B9"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PDO and AMO from tree ring</w:t>
            </w:r>
            <w:r>
              <w:rPr>
                <w:rFonts w:asciiTheme="minorHAnsi" w:eastAsia="Aptos" w:hAnsiTheme="minorHAnsi" w:cs="Aptos"/>
                <w:iCs/>
                <w:color w:val="000000" w:themeColor="text1"/>
                <w:sz w:val="20"/>
                <w:szCs w:val="20"/>
              </w:rPr>
              <w:t>s</w:t>
            </w:r>
          </w:p>
        </w:tc>
        <w:tc>
          <w:tcPr>
            <w:tcW w:w="1417" w:type="dxa"/>
            <w:vMerge/>
            <w:vAlign w:val="center"/>
          </w:tcPr>
          <w:p w14:paraId="78713C8E" w14:textId="6C2CDC5E" w:rsidR="00997822" w:rsidRPr="00F46EC0" w:rsidRDefault="00997822" w:rsidP="00266543">
            <w:pPr>
              <w:rPr>
                <w:rFonts w:asciiTheme="minorHAnsi" w:eastAsia="Aptos" w:hAnsiTheme="minorHAnsi" w:cs="Aptos"/>
                <w:iCs/>
                <w:color w:val="000000" w:themeColor="text1"/>
                <w:sz w:val="20"/>
                <w:szCs w:val="20"/>
              </w:rPr>
            </w:pPr>
          </w:p>
        </w:tc>
        <w:tc>
          <w:tcPr>
            <w:tcW w:w="1242" w:type="dxa"/>
            <w:vMerge/>
            <w:vAlign w:val="center"/>
          </w:tcPr>
          <w:p w14:paraId="2B2CFC30" w14:textId="7BC11EDE" w:rsidR="00997822" w:rsidRDefault="00997822" w:rsidP="00266543">
            <w:pPr>
              <w:rPr>
                <w:rFonts w:asciiTheme="minorHAnsi" w:eastAsia="Aptos" w:hAnsiTheme="minorHAnsi" w:cs="Aptos"/>
                <w:iCs/>
                <w:color w:val="000000" w:themeColor="text1"/>
                <w:sz w:val="20"/>
                <w:szCs w:val="20"/>
              </w:rPr>
            </w:pPr>
          </w:p>
        </w:tc>
      </w:tr>
      <w:tr w:rsidR="00266543" w:rsidRPr="00F46EC0" w14:paraId="0C0012FC" w14:textId="77777777" w:rsidTr="000F515E">
        <w:trPr>
          <w:trHeight w:val="300"/>
        </w:trPr>
        <w:tc>
          <w:tcPr>
            <w:tcW w:w="1702" w:type="dxa"/>
          </w:tcPr>
          <w:p w14:paraId="5DE8C05A" w14:textId="41B8C5A1"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Le Goff et al. (2007)</w:t>
            </w:r>
          </w:p>
        </w:tc>
        <w:tc>
          <w:tcPr>
            <w:tcW w:w="3827" w:type="dxa"/>
          </w:tcPr>
          <w:p w14:paraId="452829A4" w14:textId="68828DDF" w:rsidR="00997822" w:rsidRDefault="00997822" w:rsidP="000F515E">
            <w:pPr>
              <w:rPr>
                <w:rFonts w:asciiTheme="minorHAnsi" w:eastAsia="Aptos" w:hAnsiTheme="minorHAnsi" w:cs="Aptos"/>
                <w:iCs/>
                <w:color w:val="000000" w:themeColor="text1"/>
                <w:sz w:val="20"/>
                <w:szCs w:val="20"/>
              </w:rPr>
            </w:pPr>
            <w:r w:rsidRPr="00D71BC2">
              <w:rPr>
                <w:rFonts w:asciiTheme="minorHAnsi" w:eastAsia="Aptos" w:hAnsiTheme="minorHAnsi" w:cs="Aptos"/>
                <w:iCs/>
                <w:color w:val="000000" w:themeColor="text1"/>
                <w:sz w:val="20"/>
                <w:szCs w:val="20"/>
              </w:rPr>
              <w:t xml:space="preserve">Waswanipi </w:t>
            </w:r>
            <w:r>
              <w:rPr>
                <w:rFonts w:asciiTheme="minorHAnsi" w:eastAsia="Aptos" w:hAnsiTheme="minorHAnsi" w:cs="Aptos"/>
                <w:iCs/>
                <w:color w:val="000000" w:themeColor="text1"/>
                <w:sz w:val="20"/>
                <w:szCs w:val="20"/>
              </w:rPr>
              <w:t>(Quebec) (46 trees, 31 sites)</w:t>
            </w:r>
          </w:p>
        </w:tc>
        <w:tc>
          <w:tcPr>
            <w:tcW w:w="1275" w:type="dxa"/>
          </w:tcPr>
          <w:p w14:paraId="30D25677" w14:textId="7389A2CA" w:rsidR="00997822" w:rsidRDefault="00997822" w:rsidP="000F515E">
            <w:pPr>
              <w:rPr>
                <w:rFonts w:asciiTheme="minorHAnsi" w:eastAsia="Aptos" w:hAnsiTheme="minorHAnsi" w:cs="Aptos"/>
                <w:iCs/>
                <w:color w:val="000000" w:themeColor="text1"/>
                <w:sz w:val="20"/>
                <w:szCs w:val="20"/>
              </w:rPr>
            </w:pPr>
            <w:r w:rsidRPr="00D71BC2">
              <w:rPr>
                <w:rFonts w:asciiTheme="minorHAnsi" w:eastAsia="Aptos" w:hAnsiTheme="minorHAnsi" w:cs="Aptos"/>
                <w:iCs/>
                <w:color w:val="000000" w:themeColor="text1"/>
                <w:sz w:val="20"/>
                <w:szCs w:val="20"/>
              </w:rPr>
              <w:t>1720–2000</w:t>
            </w:r>
          </w:p>
        </w:tc>
        <w:tc>
          <w:tcPr>
            <w:tcW w:w="2410" w:type="dxa"/>
          </w:tcPr>
          <w:p w14:paraId="104BDD90" w14:textId="0237061D"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PDO, NAO, AMO from tree ring</w:t>
            </w:r>
            <w:r>
              <w:rPr>
                <w:rFonts w:asciiTheme="minorHAnsi" w:eastAsia="Aptos" w:hAnsiTheme="minorHAnsi" w:cs="Aptos"/>
                <w:iCs/>
                <w:color w:val="000000" w:themeColor="text1"/>
                <w:sz w:val="20"/>
                <w:szCs w:val="20"/>
              </w:rPr>
              <w:t>s,</w:t>
            </w:r>
            <w:r w:rsidRPr="00F46EC0">
              <w:rPr>
                <w:rFonts w:asciiTheme="minorHAnsi" w:eastAsia="Aptos" w:hAnsiTheme="minorHAnsi" w:cs="Aptos"/>
                <w:iCs/>
                <w:color w:val="000000" w:themeColor="text1"/>
                <w:sz w:val="20"/>
                <w:szCs w:val="20"/>
              </w:rPr>
              <w:t xml:space="preserve"> post-reformation European weather data</w:t>
            </w:r>
          </w:p>
        </w:tc>
        <w:tc>
          <w:tcPr>
            <w:tcW w:w="1417" w:type="dxa"/>
            <w:vMerge/>
            <w:vAlign w:val="center"/>
          </w:tcPr>
          <w:p w14:paraId="497F97FB" w14:textId="3523A448" w:rsidR="00997822" w:rsidRPr="00F46EC0" w:rsidRDefault="00997822" w:rsidP="00266543">
            <w:pPr>
              <w:rPr>
                <w:rFonts w:asciiTheme="minorHAnsi" w:eastAsia="Aptos" w:hAnsiTheme="minorHAnsi" w:cs="Aptos"/>
                <w:iCs/>
                <w:color w:val="000000" w:themeColor="text1"/>
                <w:sz w:val="20"/>
                <w:szCs w:val="20"/>
              </w:rPr>
            </w:pPr>
          </w:p>
        </w:tc>
        <w:tc>
          <w:tcPr>
            <w:tcW w:w="1242" w:type="dxa"/>
            <w:vMerge/>
            <w:vAlign w:val="center"/>
          </w:tcPr>
          <w:p w14:paraId="3EF65AA4" w14:textId="1EE3D1C3" w:rsidR="00997822" w:rsidRDefault="00997822" w:rsidP="00266543">
            <w:pPr>
              <w:rPr>
                <w:rFonts w:asciiTheme="minorHAnsi" w:eastAsia="Aptos" w:hAnsiTheme="minorHAnsi" w:cs="Aptos"/>
                <w:iCs/>
                <w:color w:val="000000" w:themeColor="text1"/>
                <w:sz w:val="20"/>
                <w:szCs w:val="20"/>
              </w:rPr>
            </w:pPr>
          </w:p>
        </w:tc>
      </w:tr>
      <w:tr w:rsidR="00266543" w:rsidRPr="00F46EC0" w14:paraId="37BC9B68" w14:textId="77777777" w:rsidTr="000F515E">
        <w:trPr>
          <w:trHeight w:val="300"/>
        </w:trPr>
        <w:tc>
          <w:tcPr>
            <w:tcW w:w="1702" w:type="dxa"/>
          </w:tcPr>
          <w:p w14:paraId="129A548F" w14:textId="0F7C057C"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 xml:space="preserve">Margolis </w:t>
            </w:r>
            <w:r>
              <w:rPr>
                <w:rFonts w:asciiTheme="minorHAnsi" w:eastAsia="Aptos" w:hAnsiTheme="minorHAnsi" w:cs="Aptos"/>
                <w:iCs/>
                <w:color w:val="000000" w:themeColor="text1"/>
                <w:sz w:val="20"/>
                <w:szCs w:val="20"/>
              </w:rPr>
              <w:t>&amp;</w:t>
            </w:r>
            <w:r w:rsidRPr="00F46EC0">
              <w:rPr>
                <w:rFonts w:asciiTheme="minorHAnsi" w:eastAsia="Aptos" w:hAnsiTheme="minorHAnsi" w:cs="Aptos"/>
                <w:iCs/>
                <w:color w:val="000000" w:themeColor="text1"/>
                <w:sz w:val="20"/>
                <w:szCs w:val="20"/>
              </w:rPr>
              <w:t xml:space="preserve"> Swetnam (2013)</w:t>
            </w:r>
          </w:p>
        </w:tc>
        <w:tc>
          <w:tcPr>
            <w:tcW w:w="3827" w:type="dxa"/>
          </w:tcPr>
          <w:p w14:paraId="23EB3134" w14:textId="77777777" w:rsidR="00997822" w:rsidRDefault="00997822"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S</w:t>
            </w:r>
            <w:r w:rsidRPr="00A57FBA">
              <w:rPr>
                <w:rFonts w:asciiTheme="minorHAnsi" w:eastAsia="Aptos" w:hAnsiTheme="minorHAnsi" w:cs="Aptos"/>
                <w:iCs/>
                <w:color w:val="000000" w:themeColor="text1"/>
                <w:sz w:val="20"/>
                <w:szCs w:val="20"/>
              </w:rPr>
              <w:t>outhwestern US</w:t>
            </w:r>
            <w:r>
              <w:rPr>
                <w:rFonts w:asciiTheme="minorHAnsi" w:eastAsia="Aptos" w:hAnsiTheme="minorHAnsi" w:cs="Aptos"/>
                <w:iCs/>
                <w:color w:val="000000" w:themeColor="text1"/>
                <w:sz w:val="20"/>
                <w:szCs w:val="20"/>
              </w:rPr>
              <w:t xml:space="preserve"> (Utah, Colorado, Arizona, New Mexico) (n trees not stated, 16 sites)</w:t>
            </w:r>
          </w:p>
          <w:p w14:paraId="45AAA1D4" w14:textId="10CB527D" w:rsidR="00997822" w:rsidRDefault="00997822" w:rsidP="000F515E">
            <w:pPr>
              <w:rPr>
                <w:rFonts w:asciiTheme="minorHAnsi" w:eastAsia="Aptos" w:hAnsiTheme="minorHAnsi" w:cs="Aptos"/>
                <w:iCs/>
                <w:color w:val="000000" w:themeColor="text1"/>
                <w:sz w:val="20"/>
                <w:szCs w:val="20"/>
              </w:rPr>
            </w:pPr>
            <w:r w:rsidRPr="00A57FBA">
              <w:rPr>
                <w:rFonts w:asciiTheme="minorHAnsi" w:eastAsia="Aptos" w:hAnsiTheme="minorHAnsi" w:cs="Aptos"/>
                <w:iCs/>
                <w:color w:val="000000" w:themeColor="text1"/>
                <w:sz w:val="20"/>
                <w:szCs w:val="20"/>
              </w:rPr>
              <w:t xml:space="preserve"> </w:t>
            </w:r>
          </w:p>
        </w:tc>
        <w:tc>
          <w:tcPr>
            <w:tcW w:w="1275" w:type="dxa"/>
          </w:tcPr>
          <w:p w14:paraId="3E0F1E7A" w14:textId="63283A88" w:rsidR="00997822" w:rsidRDefault="00997822"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1700-1904 (and 1905-1978 for PDSI)</w:t>
            </w:r>
          </w:p>
        </w:tc>
        <w:tc>
          <w:tcPr>
            <w:tcW w:w="2410" w:type="dxa"/>
          </w:tcPr>
          <w:p w14:paraId="65110DB4" w14:textId="195A6B4B"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PDO and AMO from tree rings</w:t>
            </w:r>
          </w:p>
        </w:tc>
        <w:tc>
          <w:tcPr>
            <w:tcW w:w="1417" w:type="dxa"/>
            <w:vMerge/>
            <w:vAlign w:val="center"/>
          </w:tcPr>
          <w:p w14:paraId="5A4794FF" w14:textId="30860DCF" w:rsidR="00997822" w:rsidRPr="00F46EC0" w:rsidRDefault="00997822" w:rsidP="00266543">
            <w:pPr>
              <w:rPr>
                <w:rFonts w:asciiTheme="minorHAnsi" w:eastAsia="Aptos" w:hAnsiTheme="minorHAnsi" w:cs="Aptos"/>
                <w:iCs/>
                <w:color w:val="000000" w:themeColor="text1"/>
                <w:sz w:val="20"/>
                <w:szCs w:val="20"/>
              </w:rPr>
            </w:pPr>
          </w:p>
        </w:tc>
        <w:tc>
          <w:tcPr>
            <w:tcW w:w="1242" w:type="dxa"/>
            <w:vMerge/>
            <w:vAlign w:val="center"/>
          </w:tcPr>
          <w:p w14:paraId="072BD5FA" w14:textId="2A8435D1" w:rsidR="00997822" w:rsidRDefault="00997822" w:rsidP="00266543">
            <w:pPr>
              <w:rPr>
                <w:rFonts w:asciiTheme="minorHAnsi" w:eastAsia="Aptos" w:hAnsiTheme="minorHAnsi" w:cs="Aptos"/>
                <w:iCs/>
                <w:color w:val="000000" w:themeColor="text1"/>
                <w:sz w:val="20"/>
                <w:szCs w:val="20"/>
              </w:rPr>
            </w:pPr>
          </w:p>
        </w:tc>
      </w:tr>
      <w:tr w:rsidR="00266543" w:rsidRPr="00F46EC0" w14:paraId="06F1006F" w14:textId="77777777" w:rsidTr="000F515E">
        <w:trPr>
          <w:trHeight w:val="300"/>
        </w:trPr>
        <w:tc>
          <w:tcPr>
            <w:tcW w:w="1702" w:type="dxa"/>
          </w:tcPr>
          <w:p w14:paraId="67C84ADD" w14:textId="5862A032"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Moody et al. (2006)</w:t>
            </w:r>
          </w:p>
        </w:tc>
        <w:tc>
          <w:tcPr>
            <w:tcW w:w="3827" w:type="dxa"/>
          </w:tcPr>
          <w:p w14:paraId="09ECFB05" w14:textId="5AA87800" w:rsidR="00997822" w:rsidRDefault="00997822"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Plumas National Forest (California) (144 trees, 4 sites)</w:t>
            </w:r>
          </w:p>
        </w:tc>
        <w:tc>
          <w:tcPr>
            <w:tcW w:w="1275" w:type="dxa"/>
          </w:tcPr>
          <w:p w14:paraId="6366B685" w14:textId="0C10900A" w:rsidR="00997822" w:rsidRPr="00E11555" w:rsidRDefault="00997822" w:rsidP="000F515E">
            <w:pPr>
              <w:rPr>
                <w:rFonts w:asciiTheme="minorHAnsi" w:eastAsia="Aptos" w:hAnsiTheme="minorHAnsi" w:cs="Aptos"/>
                <w:iCs/>
                <w:color w:val="000000" w:themeColor="text1"/>
                <w:sz w:val="20"/>
                <w:szCs w:val="20"/>
              </w:rPr>
            </w:pPr>
            <w:r w:rsidRPr="00A57FBA">
              <w:rPr>
                <w:rFonts w:asciiTheme="minorHAnsi" w:eastAsia="Aptos" w:hAnsiTheme="minorHAnsi" w:cs="Aptos"/>
                <w:iCs/>
                <w:color w:val="000000" w:themeColor="text1"/>
                <w:sz w:val="20"/>
                <w:szCs w:val="20"/>
              </w:rPr>
              <w:t>1454</w:t>
            </w:r>
            <w:r>
              <w:rPr>
                <w:rFonts w:asciiTheme="minorHAnsi" w:eastAsia="Aptos" w:hAnsiTheme="minorHAnsi" w:cs="Aptos"/>
                <w:iCs/>
                <w:color w:val="000000" w:themeColor="text1"/>
                <w:sz w:val="20"/>
                <w:szCs w:val="20"/>
              </w:rPr>
              <w:t>–</w:t>
            </w:r>
            <w:r w:rsidRPr="00A57FBA">
              <w:rPr>
                <w:rFonts w:asciiTheme="minorHAnsi" w:eastAsia="Aptos" w:hAnsiTheme="minorHAnsi" w:cs="Aptos"/>
                <w:iCs/>
                <w:color w:val="000000" w:themeColor="text1"/>
                <w:sz w:val="20"/>
                <w:szCs w:val="20"/>
              </w:rPr>
              <w:t>2001</w:t>
            </w:r>
          </w:p>
        </w:tc>
        <w:tc>
          <w:tcPr>
            <w:tcW w:w="2410" w:type="dxa"/>
          </w:tcPr>
          <w:p w14:paraId="767505FF" w14:textId="727282A8"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and PDO from tree rings</w:t>
            </w:r>
          </w:p>
        </w:tc>
        <w:tc>
          <w:tcPr>
            <w:tcW w:w="1417" w:type="dxa"/>
            <w:vMerge/>
            <w:vAlign w:val="center"/>
          </w:tcPr>
          <w:p w14:paraId="0274073E" w14:textId="4F63370A" w:rsidR="00997822" w:rsidRPr="00F46EC0" w:rsidRDefault="00997822" w:rsidP="00266543">
            <w:pPr>
              <w:rPr>
                <w:rFonts w:asciiTheme="minorHAnsi" w:eastAsia="Aptos" w:hAnsiTheme="minorHAnsi" w:cs="Aptos"/>
                <w:iCs/>
                <w:color w:val="000000" w:themeColor="text1"/>
                <w:sz w:val="20"/>
                <w:szCs w:val="20"/>
              </w:rPr>
            </w:pPr>
          </w:p>
        </w:tc>
        <w:tc>
          <w:tcPr>
            <w:tcW w:w="1242" w:type="dxa"/>
            <w:vMerge/>
            <w:vAlign w:val="center"/>
          </w:tcPr>
          <w:p w14:paraId="384695E3" w14:textId="3DC0AB2D" w:rsidR="00997822" w:rsidRDefault="00997822" w:rsidP="00266543">
            <w:pPr>
              <w:rPr>
                <w:rFonts w:asciiTheme="minorHAnsi" w:eastAsia="Aptos" w:hAnsiTheme="minorHAnsi" w:cs="Aptos"/>
                <w:iCs/>
                <w:color w:val="000000" w:themeColor="text1"/>
                <w:sz w:val="20"/>
                <w:szCs w:val="20"/>
              </w:rPr>
            </w:pPr>
          </w:p>
        </w:tc>
      </w:tr>
      <w:tr w:rsidR="00266543" w:rsidRPr="00F46EC0" w14:paraId="1B0A7222" w14:textId="77777777" w:rsidTr="000F515E">
        <w:trPr>
          <w:trHeight w:val="300"/>
        </w:trPr>
        <w:tc>
          <w:tcPr>
            <w:tcW w:w="1702" w:type="dxa"/>
          </w:tcPr>
          <w:p w14:paraId="695CA01D" w14:textId="5521C9EE"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 xml:space="preserve">Norm </w:t>
            </w:r>
            <w:r>
              <w:rPr>
                <w:rFonts w:asciiTheme="minorHAnsi" w:eastAsia="Aptos" w:hAnsiTheme="minorHAnsi" w:cs="Aptos"/>
                <w:iCs/>
                <w:color w:val="000000" w:themeColor="text1"/>
                <w:sz w:val="20"/>
                <w:szCs w:val="20"/>
              </w:rPr>
              <w:t xml:space="preserve">&amp; </w:t>
            </w:r>
            <w:r w:rsidRPr="00F46EC0">
              <w:rPr>
                <w:rFonts w:asciiTheme="minorHAnsi" w:eastAsia="Aptos" w:hAnsiTheme="minorHAnsi" w:cs="Aptos"/>
                <w:iCs/>
                <w:color w:val="000000" w:themeColor="text1"/>
                <w:sz w:val="20"/>
                <w:szCs w:val="20"/>
              </w:rPr>
              <w:t>Taylor (2003)</w:t>
            </w:r>
          </w:p>
        </w:tc>
        <w:tc>
          <w:tcPr>
            <w:tcW w:w="3827" w:type="dxa"/>
          </w:tcPr>
          <w:p w14:paraId="21776E8D" w14:textId="0C4C9059" w:rsidR="00997822" w:rsidRDefault="00997822" w:rsidP="000F515E">
            <w:pPr>
              <w:rPr>
                <w:rFonts w:asciiTheme="minorHAnsi" w:eastAsia="Aptos" w:hAnsiTheme="minorHAnsi" w:cs="Aptos"/>
                <w:iCs/>
                <w:color w:val="000000" w:themeColor="text1"/>
                <w:sz w:val="20"/>
                <w:szCs w:val="20"/>
              </w:rPr>
            </w:pPr>
            <w:r w:rsidRPr="00F14939">
              <w:rPr>
                <w:rFonts w:asciiTheme="minorHAnsi" w:eastAsia="Aptos" w:hAnsiTheme="minorHAnsi" w:cs="Aptos"/>
                <w:iCs/>
                <w:color w:val="000000" w:themeColor="text1"/>
                <w:sz w:val="20"/>
                <w:szCs w:val="20"/>
              </w:rPr>
              <w:t>Lassen National Forest</w:t>
            </w:r>
            <w:r>
              <w:rPr>
                <w:rFonts w:asciiTheme="minorHAnsi" w:eastAsia="Aptos" w:hAnsiTheme="minorHAnsi" w:cs="Aptos"/>
                <w:iCs/>
                <w:color w:val="000000" w:themeColor="text1"/>
                <w:sz w:val="20"/>
                <w:szCs w:val="20"/>
              </w:rPr>
              <w:t xml:space="preserve"> (</w:t>
            </w:r>
            <w:r w:rsidRPr="00F14939">
              <w:rPr>
                <w:rFonts w:asciiTheme="minorHAnsi" w:eastAsia="Aptos" w:hAnsiTheme="minorHAnsi" w:cs="Aptos"/>
                <w:iCs/>
                <w:color w:val="000000" w:themeColor="text1"/>
                <w:sz w:val="20"/>
                <w:szCs w:val="20"/>
              </w:rPr>
              <w:t>California</w:t>
            </w:r>
            <w:r>
              <w:rPr>
                <w:rFonts w:asciiTheme="minorHAnsi" w:eastAsia="Aptos" w:hAnsiTheme="minorHAnsi" w:cs="Aptos"/>
                <w:iCs/>
                <w:color w:val="000000" w:themeColor="text1"/>
                <w:sz w:val="20"/>
                <w:szCs w:val="20"/>
              </w:rPr>
              <w:t>)</w:t>
            </w:r>
            <w:r w:rsidRPr="00F14939">
              <w:rPr>
                <w:rFonts w:asciiTheme="minorHAnsi" w:eastAsia="Aptos" w:hAnsiTheme="minorHAnsi" w:cs="Aptos"/>
                <w:iCs/>
                <w:color w:val="000000" w:themeColor="text1"/>
                <w:sz w:val="20"/>
                <w:szCs w:val="20"/>
              </w:rPr>
              <w:t xml:space="preserve"> </w:t>
            </w:r>
            <w:r w:rsidRPr="00077B1F">
              <w:rPr>
                <w:rFonts w:asciiTheme="minorHAnsi" w:eastAsia="Aptos" w:hAnsiTheme="minorHAnsi" w:cs="Aptos"/>
                <w:iCs/>
                <w:color w:val="000000" w:themeColor="text1"/>
                <w:sz w:val="20"/>
                <w:szCs w:val="20"/>
              </w:rPr>
              <w:t>(112 trees</w:t>
            </w:r>
            <w:r>
              <w:rPr>
                <w:rFonts w:asciiTheme="minorHAnsi" w:eastAsia="Aptos" w:hAnsiTheme="minorHAnsi" w:cs="Aptos"/>
                <w:iCs/>
                <w:color w:val="000000" w:themeColor="text1"/>
                <w:sz w:val="20"/>
                <w:szCs w:val="20"/>
              </w:rPr>
              <w:t>, 8 sites</w:t>
            </w:r>
            <w:r w:rsidRPr="00077B1F">
              <w:rPr>
                <w:rFonts w:asciiTheme="minorHAnsi" w:eastAsia="Aptos" w:hAnsiTheme="minorHAnsi" w:cs="Aptos"/>
                <w:iCs/>
                <w:color w:val="000000" w:themeColor="text1"/>
                <w:sz w:val="20"/>
                <w:szCs w:val="20"/>
              </w:rPr>
              <w:t>)</w:t>
            </w:r>
          </w:p>
        </w:tc>
        <w:tc>
          <w:tcPr>
            <w:tcW w:w="1275" w:type="dxa"/>
          </w:tcPr>
          <w:p w14:paraId="7DD8CDEB" w14:textId="704A547C" w:rsidR="00997822" w:rsidRPr="00E11555" w:rsidRDefault="00997822"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1700–1849</w:t>
            </w:r>
          </w:p>
        </w:tc>
        <w:tc>
          <w:tcPr>
            <w:tcW w:w="2410" w:type="dxa"/>
          </w:tcPr>
          <w:p w14:paraId="0160A124" w14:textId="6E98150D"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and PDO, from pre-1900</w:t>
            </w:r>
            <w:r>
              <w:rPr>
                <w:rFonts w:asciiTheme="minorHAnsi" w:eastAsia="Aptos" w:hAnsiTheme="minorHAnsi" w:cs="Aptos"/>
                <w:iCs/>
                <w:color w:val="000000" w:themeColor="text1"/>
                <w:sz w:val="20"/>
                <w:szCs w:val="20"/>
              </w:rPr>
              <w:t xml:space="preserve"> </w:t>
            </w:r>
            <w:r w:rsidRPr="00F46EC0">
              <w:rPr>
                <w:rFonts w:asciiTheme="minorHAnsi" w:eastAsia="Aptos" w:hAnsiTheme="minorHAnsi" w:cs="Aptos"/>
                <w:iCs/>
                <w:color w:val="000000" w:themeColor="text1"/>
                <w:sz w:val="20"/>
                <w:szCs w:val="20"/>
              </w:rPr>
              <w:t>tree ring</w:t>
            </w:r>
            <w:r>
              <w:rPr>
                <w:rFonts w:asciiTheme="minorHAnsi" w:eastAsia="Aptos" w:hAnsiTheme="minorHAnsi" w:cs="Aptos"/>
                <w:iCs/>
                <w:color w:val="000000" w:themeColor="text1"/>
                <w:sz w:val="20"/>
                <w:szCs w:val="20"/>
              </w:rPr>
              <w:t>s</w:t>
            </w:r>
          </w:p>
        </w:tc>
        <w:tc>
          <w:tcPr>
            <w:tcW w:w="1417" w:type="dxa"/>
            <w:vMerge/>
            <w:vAlign w:val="center"/>
          </w:tcPr>
          <w:p w14:paraId="7312A3CA" w14:textId="46DE4B19" w:rsidR="00997822" w:rsidRPr="00F46EC0" w:rsidRDefault="00997822" w:rsidP="00266543">
            <w:pPr>
              <w:rPr>
                <w:rFonts w:asciiTheme="minorHAnsi" w:eastAsia="Aptos" w:hAnsiTheme="minorHAnsi" w:cs="Aptos"/>
                <w:iCs/>
                <w:color w:val="000000" w:themeColor="text1"/>
                <w:sz w:val="20"/>
                <w:szCs w:val="20"/>
              </w:rPr>
            </w:pPr>
          </w:p>
        </w:tc>
        <w:tc>
          <w:tcPr>
            <w:tcW w:w="1242" w:type="dxa"/>
            <w:vMerge/>
            <w:vAlign w:val="center"/>
          </w:tcPr>
          <w:p w14:paraId="2D2261B0" w14:textId="52F243E4" w:rsidR="00997822" w:rsidRDefault="00997822" w:rsidP="00266543">
            <w:pPr>
              <w:rPr>
                <w:rFonts w:asciiTheme="minorHAnsi" w:eastAsia="Aptos" w:hAnsiTheme="minorHAnsi" w:cs="Aptos"/>
                <w:iCs/>
                <w:color w:val="000000" w:themeColor="text1"/>
                <w:sz w:val="20"/>
                <w:szCs w:val="20"/>
              </w:rPr>
            </w:pPr>
          </w:p>
        </w:tc>
      </w:tr>
      <w:tr w:rsidR="00266543" w:rsidRPr="00F46EC0" w14:paraId="7087AF25" w14:textId="77777777" w:rsidTr="000F515E">
        <w:trPr>
          <w:trHeight w:val="300"/>
        </w:trPr>
        <w:tc>
          <w:tcPr>
            <w:tcW w:w="1702" w:type="dxa"/>
          </w:tcPr>
          <w:p w14:paraId="447BD725" w14:textId="58377841"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Schoennagel et al. (2005)</w:t>
            </w:r>
          </w:p>
        </w:tc>
        <w:tc>
          <w:tcPr>
            <w:tcW w:w="3827" w:type="dxa"/>
          </w:tcPr>
          <w:p w14:paraId="5DF97A49" w14:textId="630D4960" w:rsidR="00997822" w:rsidRDefault="00997822" w:rsidP="000F515E">
            <w:pPr>
              <w:rPr>
                <w:rFonts w:asciiTheme="minorHAnsi" w:eastAsia="Aptos" w:hAnsiTheme="minorHAnsi" w:cs="Aptos"/>
                <w:iCs/>
                <w:color w:val="000000" w:themeColor="text1"/>
                <w:sz w:val="20"/>
                <w:szCs w:val="20"/>
              </w:rPr>
            </w:pPr>
            <w:r w:rsidRPr="00F14939">
              <w:rPr>
                <w:rFonts w:asciiTheme="minorHAnsi" w:eastAsia="Aptos" w:hAnsiTheme="minorHAnsi" w:cs="Aptos"/>
                <w:iCs/>
                <w:color w:val="000000" w:themeColor="text1"/>
                <w:sz w:val="20"/>
                <w:szCs w:val="20"/>
              </w:rPr>
              <w:t>Jasper National Park (</w:t>
            </w:r>
            <w:r>
              <w:rPr>
                <w:rFonts w:asciiTheme="minorHAnsi" w:eastAsia="Aptos" w:hAnsiTheme="minorHAnsi" w:cs="Aptos"/>
                <w:iCs/>
                <w:color w:val="000000" w:themeColor="text1"/>
                <w:sz w:val="20"/>
                <w:szCs w:val="20"/>
              </w:rPr>
              <w:t>N</w:t>
            </w:r>
            <w:r w:rsidRPr="00F14939">
              <w:rPr>
                <w:rFonts w:asciiTheme="minorHAnsi" w:eastAsia="Aptos" w:hAnsiTheme="minorHAnsi" w:cs="Aptos"/>
                <w:iCs/>
                <w:color w:val="000000" w:themeColor="text1"/>
                <w:sz w:val="20"/>
                <w:szCs w:val="20"/>
              </w:rPr>
              <w:t>orthern Rockies), Yellowstone National Park (</w:t>
            </w:r>
            <w:r>
              <w:rPr>
                <w:rFonts w:asciiTheme="minorHAnsi" w:eastAsia="Aptos" w:hAnsiTheme="minorHAnsi" w:cs="Aptos"/>
                <w:iCs/>
                <w:color w:val="000000" w:themeColor="text1"/>
                <w:sz w:val="20"/>
                <w:szCs w:val="20"/>
              </w:rPr>
              <w:t>C</w:t>
            </w:r>
            <w:r w:rsidRPr="00F14939">
              <w:rPr>
                <w:rFonts w:asciiTheme="minorHAnsi" w:eastAsia="Aptos" w:hAnsiTheme="minorHAnsi" w:cs="Aptos"/>
                <w:iCs/>
                <w:color w:val="000000" w:themeColor="text1"/>
                <w:sz w:val="20"/>
                <w:szCs w:val="20"/>
              </w:rPr>
              <w:t>entral Rockies)</w:t>
            </w:r>
            <w:r>
              <w:rPr>
                <w:rFonts w:asciiTheme="minorHAnsi" w:eastAsia="Aptos" w:hAnsiTheme="minorHAnsi" w:cs="Aptos"/>
                <w:iCs/>
                <w:color w:val="000000" w:themeColor="text1"/>
                <w:sz w:val="20"/>
                <w:szCs w:val="20"/>
              </w:rPr>
              <w:t xml:space="preserve">, </w:t>
            </w:r>
            <w:r w:rsidRPr="00F14939">
              <w:rPr>
                <w:rFonts w:asciiTheme="minorHAnsi" w:eastAsia="Aptos" w:hAnsiTheme="minorHAnsi" w:cs="Aptos"/>
                <w:iCs/>
                <w:color w:val="000000" w:themeColor="text1"/>
                <w:sz w:val="20"/>
                <w:szCs w:val="20"/>
              </w:rPr>
              <w:t>Rocky Mountain National Park (</w:t>
            </w:r>
            <w:r>
              <w:rPr>
                <w:rFonts w:asciiTheme="minorHAnsi" w:eastAsia="Aptos" w:hAnsiTheme="minorHAnsi" w:cs="Aptos"/>
                <w:iCs/>
                <w:color w:val="000000" w:themeColor="text1"/>
                <w:sz w:val="20"/>
                <w:szCs w:val="20"/>
              </w:rPr>
              <w:t>S</w:t>
            </w:r>
            <w:r w:rsidRPr="00F14939">
              <w:rPr>
                <w:rFonts w:asciiTheme="minorHAnsi" w:eastAsia="Aptos" w:hAnsiTheme="minorHAnsi" w:cs="Aptos"/>
                <w:iCs/>
                <w:color w:val="000000" w:themeColor="text1"/>
                <w:sz w:val="20"/>
                <w:szCs w:val="20"/>
              </w:rPr>
              <w:t>outhern Rockies)</w:t>
            </w:r>
            <w:r>
              <w:rPr>
                <w:rFonts w:asciiTheme="minorHAnsi" w:eastAsia="Aptos" w:hAnsiTheme="minorHAnsi" w:cs="Aptos"/>
                <w:iCs/>
                <w:color w:val="000000" w:themeColor="text1"/>
                <w:sz w:val="20"/>
                <w:szCs w:val="20"/>
              </w:rPr>
              <w:t xml:space="preserve"> (1694 trees, 3 study areas)</w:t>
            </w:r>
          </w:p>
        </w:tc>
        <w:tc>
          <w:tcPr>
            <w:tcW w:w="1275" w:type="dxa"/>
          </w:tcPr>
          <w:p w14:paraId="46D5262D" w14:textId="0FC4DA12" w:rsidR="00997822" w:rsidRPr="00E11555" w:rsidRDefault="00997822" w:rsidP="000F515E">
            <w:pPr>
              <w:rPr>
                <w:rFonts w:asciiTheme="minorHAnsi" w:eastAsia="Aptos" w:hAnsiTheme="minorHAnsi" w:cs="Aptos"/>
                <w:iCs/>
                <w:color w:val="000000" w:themeColor="text1"/>
                <w:sz w:val="20"/>
                <w:szCs w:val="20"/>
              </w:rPr>
            </w:pPr>
            <w:r w:rsidRPr="00F14939">
              <w:rPr>
                <w:rFonts w:asciiTheme="minorHAnsi" w:eastAsia="Aptos" w:hAnsiTheme="minorHAnsi" w:cs="Aptos"/>
                <w:iCs/>
                <w:color w:val="000000" w:themeColor="text1"/>
                <w:sz w:val="20"/>
                <w:szCs w:val="20"/>
              </w:rPr>
              <w:t>1700– 1975</w:t>
            </w:r>
          </w:p>
        </w:tc>
        <w:tc>
          <w:tcPr>
            <w:tcW w:w="2410" w:type="dxa"/>
          </w:tcPr>
          <w:p w14:paraId="7A265626" w14:textId="0DEE9120"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and PDO tree ring reconstructions</w:t>
            </w:r>
          </w:p>
        </w:tc>
        <w:tc>
          <w:tcPr>
            <w:tcW w:w="1417" w:type="dxa"/>
            <w:vMerge/>
            <w:vAlign w:val="center"/>
          </w:tcPr>
          <w:p w14:paraId="2BC3ECC9" w14:textId="188D3A35" w:rsidR="00997822" w:rsidRPr="00F46EC0" w:rsidRDefault="00997822" w:rsidP="00266543">
            <w:pPr>
              <w:rPr>
                <w:rFonts w:asciiTheme="minorHAnsi" w:eastAsia="Aptos" w:hAnsiTheme="minorHAnsi" w:cs="Aptos"/>
                <w:iCs/>
                <w:color w:val="000000" w:themeColor="text1"/>
                <w:sz w:val="20"/>
                <w:szCs w:val="20"/>
              </w:rPr>
            </w:pPr>
          </w:p>
        </w:tc>
        <w:tc>
          <w:tcPr>
            <w:tcW w:w="1242" w:type="dxa"/>
            <w:vMerge/>
            <w:vAlign w:val="center"/>
          </w:tcPr>
          <w:p w14:paraId="165FB3F6" w14:textId="29CE73A2" w:rsidR="00997822" w:rsidRDefault="00997822" w:rsidP="00266543">
            <w:pPr>
              <w:rPr>
                <w:rFonts w:asciiTheme="minorHAnsi" w:eastAsia="Aptos" w:hAnsiTheme="minorHAnsi" w:cs="Aptos"/>
                <w:iCs/>
                <w:color w:val="000000" w:themeColor="text1"/>
                <w:sz w:val="20"/>
                <w:szCs w:val="20"/>
              </w:rPr>
            </w:pPr>
          </w:p>
        </w:tc>
      </w:tr>
      <w:tr w:rsidR="00266543" w:rsidRPr="00F46EC0" w14:paraId="7DB41A38" w14:textId="77777777" w:rsidTr="000F515E">
        <w:trPr>
          <w:trHeight w:val="300"/>
        </w:trPr>
        <w:tc>
          <w:tcPr>
            <w:tcW w:w="1702" w:type="dxa"/>
          </w:tcPr>
          <w:p w14:paraId="65B36C36" w14:textId="4E788106"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 xml:space="preserve">Sibold </w:t>
            </w:r>
            <w:r>
              <w:rPr>
                <w:rFonts w:asciiTheme="minorHAnsi" w:eastAsia="Aptos" w:hAnsiTheme="minorHAnsi" w:cs="Aptos"/>
                <w:iCs/>
                <w:color w:val="000000" w:themeColor="text1"/>
                <w:sz w:val="20"/>
                <w:szCs w:val="20"/>
              </w:rPr>
              <w:t>&amp;</w:t>
            </w:r>
            <w:r w:rsidRPr="00F46EC0">
              <w:rPr>
                <w:rFonts w:asciiTheme="minorHAnsi" w:eastAsia="Aptos" w:hAnsiTheme="minorHAnsi" w:cs="Aptos"/>
                <w:iCs/>
                <w:color w:val="000000" w:themeColor="text1"/>
                <w:sz w:val="20"/>
                <w:szCs w:val="20"/>
              </w:rPr>
              <w:t xml:space="preserve"> Veblen (2006)</w:t>
            </w:r>
          </w:p>
        </w:tc>
        <w:tc>
          <w:tcPr>
            <w:tcW w:w="3827" w:type="dxa"/>
          </w:tcPr>
          <w:p w14:paraId="2F4B3241" w14:textId="7FFAA003" w:rsidR="00997822" w:rsidRDefault="00997822" w:rsidP="000F515E">
            <w:pPr>
              <w:rPr>
                <w:rFonts w:asciiTheme="minorHAnsi" w:eastAsia="Aptos" w:hAnsiTheme="minorHAnsi" w:cs="Aptos"/>
                <w:iCs/>
                <w:color w:val="000000" w:themeColor="text1"/>
                <w:sz w:val="20"/>
                <w:szCs w:val="20"/>
              </w:rPr>
            </w:pPr>
            <w:r w:rsidRPr="00F14939">
              <w:rPr>
                <w:rFonts w:asciiTheme="minorHAnsi" w:eastAsia="Aptos" w:hAnsiTheme="minorHAnsi" w:cs="Aptos"/>
                <w:iCs/>
                <w:color w:val="000000" w:themeColor="text1"/>
                <w:sz w:val="20"/>
                <w:szCs w:val="20"/>
              </w:rPr>
              <w:t xml:space="preserve">Rocky Mountain National Park </w:t>
            </w:r>
            <w:r>
              <w:rPr>
                <w:rFonts w:asciiTheme="minorHAnsi" w:eastAsia="Aptos" w:hAnsiTheme="minorHAnsi" w:cs="Aptos"/>
                <w:iCs/>
                <w:color w:val="000000" w:themeColor="text1"/>
                <w:sz w:val="20"/>
                <w:szCs w:val="20"/>
              </w:rPr>
              <w:t>(</w:t>
            </w:r>
            <w:r w:rsidRPr="00F14939">
              <w:rPr>
                <w:rFonts w:asciiTheme="minorHAnsi" w:eastAsia="Aptos" w:hAnsiTheme="minorHAnsi" w:cs="Aptos"/>
                <w:iCs/>
                <w:color w:val="000000" w:themeColor="text1"/>
                <w:sz w:val="20"/>
                <w:szCs w:val="20"/>
              </w:rPr>
              <w:t>Colorado</w:t>
            </w:r>
            <w:r>
              <w:rPr>
                <w:rFonts w:asciiTheme="minorHAnsi" w:eastAsia="Aptos" w:hAnsiTheme="minorHAnsi" w:cs="Aptos"/>
                <w:iCs/>
                <w:color w:val="000000" w:themeColor="text1"/>
                <w:sz w:val="20"/>
                <w:szCs w:val="20"/>
              </w:rPr>
              <w:t>)</w:t>
            </w:r>
            <w:r w:rsidRPr="00F14939">
              <w:rPr>
                <w:rFonts w:asciiTheme="minorHAnsi" w:eastAsia="Aptos" w:hAnsiTheme="minorHAnsi" w:cs="Aptos"/>
                <w:iCs/>
                <w:color w:val="000000" w:themeColor="text1"/>
                <w:sz w:val="20"/>
                <w:szCs w:val="20"/>
              </w:rPr>
              <w:t xml:space="preserve"> </w:t>
            </w:r>
            <w:r w:rsidRPr="00F46EC0">
              <w:rPr>
                <w:rFonts w:asciiTheme="minorHAnsi" w:eastAsia="Aptos" w:hAnsiTheme="minorHAnsi" w:cs="Aptos"/>
                <w:iCs/>
                <w:color w:val="000000" w:themeColor="text1"/>
                <w:sz w:val="20"/>
                <w:szCs w:val="20"/>
              </w:rPr>
              <w:t>(6152 trees</w:t>
            </w:r>
            <w:r>
              <w:rPr>
                <w:rFonts w:asciiTheme="minorHAnsi" w:eastAsia="Aptos" w:hAnsiTheme="minorHAnsi" w:cs="Aptos"/>
                <w:iCs/>
                <w:color w:val="000000" w:themeColor="text1"/>
                <w:sz w:val="20"/>
                <w:szCs w:val="20"/>
              </w:rPr>
              <w:t xml:space="preserve">, </w:t>
            </w:r>
            <w:r w:rsidRPr="00F14939">
              <w:rPr>
                <w:rFonts w:asciiTheme="minorHAnsi" w:eastAsia="Aptos" w:hAnsiTheme="minorHAnsi" w:cs="Aptos"/>
                <w:iCs/>
                <w:color w:val="000000" w:themeColor="text1"/>
                <w:sz w:val="20"/>
                <w:szCs w:val="20"/>
              </w:rPr>
              <w:t>487</w:t>
            </w:r>
            <w:r>
              <w:rPr>
                <w:rFonts w:asciiTheme="minorHAnsi" w:eastAsia="Aptos" w:hAnsiTheme="minorHAnsi" w:cs="Aptos"/>
                <w:iCs/>
                <w:color w:val="000000" w:themeColor="text1"/>
                <w:sz w:val="20"/>
                <w:szCs w:val="20"/>
              </w:rPr>
              <w:t xml:space="preserve"> sites</w:t>
            </w:r>
            <w:r w:rsidRPr="00F46EC0">
              <w:rPr>
                <w:rFonts w:asciiTheme="minorHAnsi" w:eastAsia="Aptos" w:hAnsiTheme="minorHAnsi" w:cs="Aptos"/>
                <w:iCs/>
                <w:color w:val="000000" w:themeColor="text1"/>
                <w:sz w:val="20"/>
                <w:szCs w:val="20"/>
              </w:rPr>
              <w:t>)</w:t>
            </w:r>
          </w:p>
        </w:tc>
        <w:tc>
          <w:tcPr>
            <w:tcW w:w="1275" w:type="dxa"/>
          </w:tcPr>
          <w:p w14:paraId="72D3AAE5" w14:textId="4CD99551" w:rsidR="00997822" w:rsidRPr="00E11555" w:rsidRDefault="00997822" w:rsidP="000F515E">
            <w:pPr>
              <w:rPr>
                <w:rFonts w:asciiTheme="minorHAnsi" w:eastAsia="Aptos" w:hAnsiTheme="minorHAnsi" w:cs="Aptos"/>
                <w:iCs/>
                <w:color w:val="000000" w:themeColor="text1"/>
                <w:sz w:val="20"/>
                <w:szCs w:val="20"/>
              </w:rPr>
            </w:pPr>
            <w:r w:rsidRPr="00F14939">
              <w:rPr>
                <w:rFonts w:asciiTheme="minorHAnsi" w:eastAsia="Aptos" w:hAnsiTheme="minorHAnsi" w:cs="Aptos"/>
                <w:iCs/>
                <w:color w:val="000000" w:themeColor="text1"/>
                <w:sz w:val="20"/>
                <w:szCs w:val="20"/>
              </w:rPr>
              <w:t>1650</w:t>
            </w:r>
            <w:r>
              <w:rPr>
                <w:rFonts w:asciiTheme="minorHAnsi" w:eastAsia="Aptos" w:hAnsiTheme="minorHAnsi" w:cs="Aptos"/>
                <w:iCs/>
                <w:color w:val="000000" w:themeColor="text1"/>
                <w:sz w:val="20"/>
                <w:szCs w:val="20"/>
              </w:rPr>
              <w:t>–</w:t>
            </w:r>
            <w:r w:rsidRPr="00F14939">
              <w:rPr>
                <w:rFonts w:asciiTheme="minorHAnsi" w:eastAsia="Aptos" w:hAnsiTheme="minorHAnsi" w:cs="Aptos"/>
                <w:iCs/>
                <w:color w:val="000000" w:themeColor="text1"/>
                <w:sz w:val="20"/>
                <w:szCs w:val="20"/>
              </w:rPr>
              <w:t>1978</w:t>
            </w:r>
          </w:p>
        </w:tc>
        <w:tc>
          <w:tcPr>
            <w:tcW w:w="2410" w:type="dxa"/>
          </w:tcPr>
          <w:p w14:paraId="3D5017BD" w14:textId="5242126D"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PDO and AMO tree ring reconstructions</w:t>
            </w:r>
          </w:p>
        </w:tc>
        <w:tc>
          <w:tcPr>
            <w:tcW w:w="1417" w:type="dxa"/>
            <w:vMerge/>
            <w:vAlign w:val="center"/>
          </w:tcPr>
          <w:p w14:paraId="44AB93F0" w14:textId="4F93BD43" w:rsidR="00997822" w:rsidRPr="00F46EC0" w:rsidRDefault="00997822" w:rsidP="00266543">
            <w:pPr>
              <w:rPr>
                <w:rFonts w:asciiTheme="minorHAnsi" w:eastAsia="Aptos" w:hAnsiTheme="minorHAnsi" w:cs="Aptos"/>
                <w:iCs/>
                <w:color w:val="000000" w:themeColor="text1"/>
                <w:sz w:val="20"/>
                <w:szCs w:val="20"/>
              </w:rPr>
            </w:pPr>
          </w:p>
        </w:tc>
        <w:tc>
          <w:tcPr>
            <w:tcW w:w="1242" w:type="dxa"/>
            <w:vMerge/>
            <w:vAlign w:val="center"/>
          </w:tcPr>
          <w:p w14:paraId="055735B5" w14:textId="7128929D" w:rsidR="00997822" w:rsidRDefault="00997822" w:rsidP="00266543">
            <w:pPr>
              <w:rPr>
                <w:rFonts w:asciiTheme="minorHAnsi" w:eastAsia="Aptos" w:hAnsiTheme="minorHAnsi" w:cs="Aptos"/>
                <w:iCs/>
                <w:color w:val="000000" w:themeColor="text1"/>
                <w:sz w:val="20"/>
                <w:szCs w:val="20"/>
              </w:rPr>
            </w:pPr>
          </w:p>
        </w:tc>
      </w:tr>
      <w:tr w:rsidR="00266543" w:rsidRPr="00F46EC0" w14:paraId="7468E370" w14:textId="77777777" w:rsidTr="000F515E">
        <w:trPr>
          <w:trHeight w:val="300"/>
        </w:trPr>
        <w:tc>
          <w:tcPr>
            <w:tcW w:w="1702" w:type="dxa"/>
          </w:tcPr>
          <w:p w14:paraId="4DA26867" w14:textId="2328EBDD"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Trouet et al. (2010)</w:t>
            </w:r>
          </w:p>
        </w:tc>
        <w:tc>
          <w:tcPr>
            <w:tcW w:w="3827" w:type="dxa"/>
          </w:tcPr>
          <w:p w14:paraId="73ED35A1" w14:textId="77777777" w:rsidR="00997822" w:rsidRDefault="00997822"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Pacific Northwest, Northern California, Interior West, Southwest (</w:t>
            </w:r>
            <w:r w:rsidRPr="00727344">
              <w:rPr>
                <w:rFonts w:asciiTheme="minorHAnsi" w:eastAsia="Aptos" w:hAnsiTheme="minorHAnsi" w:cs="Aptos"/>
                <w:iCs/>
                <w:color w:val="000000" w:themeColor="text1"/>
                <w:sz w:val="20"/>
                <w:szCs w:val="20"/>
              </w:rPr>
              <w:t>2980 trees</w:t>
            </w:r>
            <w:r>
              <w:rPr>
                <w:rFonts w:asciiTheme="minorHAnsi" w:eastAsia="Aptos" w:hAnsiTheme="minorHAnsi" w:cs="Aptos"/>
                <w:iCs/>
                <w:color w:val="000000" w:themeColor="text1"/>
                <w:sz w:val="20"/>
                <w:szCs w:val="20"/>
              </w:rPr>
              <w:t>,</w:t>
            </w:r>
            <w:r w:rsidRPr="00727344">
              <w:rPr>
                <w:rFonts w:asciiTheme="minorHAnsi" w:eastAsia="Aptos" w:hAnsiTheme="minorHAnsi" w:cs="Aptos"/>
                <w:iCs/>
                <w:color w:val="000000" w:themeColor="text1"/>
                <w:sz w:val="20"/>
                <w:szCs w:val="20"/>
              </w:rPr>
              <w:t xml:space="preserve"> 350 sites</w:t>
            </w:r>
            <w:r>
              <w:rPr>
                <w:rFonts w:asciiTheme="minorHAnsi" w:eastAsia="Aptos" w:hAnsiTheme="minorHAnsi" w:cs="Aptos"/>
                <w:iCs/>
                <w:color w:val="000000" w:themeColor="text1"/>
                <w:sz w:val="20"/>
                <w:szCs w:val="20"/>
              </w:rPr>
              <w:t>)</w:t>
            </w:r>
          </w:p>
          <w:p w14:paraId="6A8C269C" w14:textId="77777777" w:rsidR="00997822" w:rsidRDefault="00997822" w:rsidP="000F515E">
            <w:pPr>
              <w:rPr>
                <w:rFonts w:asciiTheme="minorHAnsi" w:eastAsia="Aptos" w:hAnsiTheme="minorHAnsi" w:cs="Aptos"/>
                <w:iCs/>
                <w:color w:val="000000" w:themeColor="text1"/>
                <w:sz w:val="20"/>
                <w:szCs w:val="20"/>
              </w:rPr>
            </w:pPr>
          </w:p>
        </w:tc>
        <w:tc>
          <w:tcPr>
            <w:tcW w:w="1275" w:type="dxa"/>
          </w:tcPr>
          <w:p w14:paraId="1DB21DCB" w14:textId="6E2F521A" w:rsidR="00997822" w:rsidRPr="00E11555" w:rsidRDefault="00997822" w:rsidP="000F515E">
            <w:pPr>
              <w:rPr>
                <w:rFonts w:asciiTheme="minorHAnsi" w:eastAsia="Aptos" w:hAnsiTheme="minorHAnsi" w:cs="Aptos"/>
                <w:iCs/>
                <w:color w:val="000000" w:themeColor="text1"/>
                <w:sz w:val="20"/>
                <w:szCs w:val="20"/>
              </w:rPr>
            </w:pPr>
            <w:r w:rsidRPr="000E3E36">
              <w:rPr>
                <w:rFonts w:asciiTheme="minorHAnsi" w:eastAsia="Aptos" w:hAnsiTheme="minorHAnsi" w:cs="Aptos"/>
                <w:iCs/>
                <w:color w:val="000000" w:themeColor="text1"/>
                <w:sz w:val="20"/>
                <w:szCs w:val="20"/>
              </w:rPr>
              <w:t>1441–1910</w:t>
            </w:r>
            <w:r>
              <w:rPr>
                <w:rFonts w:asciiTheme="minorHAnsi" w:eastAsia="Aptos" w:hAnsiTheme="minorHAnsi" w:cs="Aptos"/>
                <w:iCs/>
                <w:color w:val="000000" w:themeColor="text1"/>
                <w:sz w:val="20"/>
                <w:szCs w:val="20"/>
              </w:rPr>
              <w:t xml:space="preserve">, </w:t>
            </w:r>
            <w:r w:rsidRPr="000E3E36">
              <w:rPr>
                <w:rFonts w:asciiTheme="minorHAnsi" w:eastAsia="Aptos" w:hAnsiTheme="minorHAnsi" w:cs="Aptos"/>
                <w:iCs/>
                <w:color w:val="000000" w:themeColor="text1"/>
                <w:sz w:val="20"/>
                <w:szCs w:val="20"/>
              </w:rPr>
              <w:t>1400–1861</w:t>
            </w:r>
            <w:r>
              <w:rPr>
                <w:rFonts w:asciiTheme="minorHAnsi" w:eastAsia="Aptos" w:hAnsiTheme="minorHAnsi" w:cs="Aptos"/>
                <w:iCs/>
                <w:color w:val="000000" w:themeColor="text1"/>
                <w:sz w:val="20"/>
                <w:szCs w:val="20"/>
              </w:rPr>
              <w:t xml:space="preserve">, </w:t>
            </w:r>
            <w:r w:rsidRPr="000E3E36">
              <w:rPr>
                <w:rFonts w:asciiTheme="minorHAnsi" w:eastAsia="Aptos" w:hAnsiTheme="minorHAnsi" w:cs="Aptos"/>
                <w:iCs/>
                <w:color w:val="000000" w:themeColor="text1"/>
                <w:sz w:val="20"/>
                <w:szCs w:val="20"/>
              </w:rPr>
              <w:t>1281–1974</w:t>
            </w:r>
            <w:r>
              <w:rPr>
                <w:rFonts w:asciiTheme="minorHAnsi" w:eastAsia="Aptos" w:hAnsiTheme="minorHAnsi" w:cs="Aptos"/>
                <w:iCs/>
                <w:color w:val="000000" w:themeColor="text1"/>
                <w:sz w:val="20"/>
                <w:szCs w:val="20"/>
              </w:rPr>
              <w:t xml:space="preserve">, </w:t>
            </w:r>
            <w:r w:rsidRPr="000E3E36">
              <w:rPr>
                <w:rFonts w:asciiTheme="minorHAnsi" w:eastAsia="Aptos" w:hAnsiTheme="minorHAnsi" w:cs="Aptos"/>
                <w:iCs/>
                <w:color w:val="000000" w:themeColor="text1"/>
                <w:sz w:val="20"/>
                <w:szCs w:val="20"/>
              </w:rPr>
              <w:t>1403–1859</w:t>
            </w:r>
          </w:p>
        </w:tc>
        <w:tc>
          <w:tcPr>
            <w:tcW w:w="2410" w:type="dxa"/>
          </w:tcPr>
          <w:p w14:paraId="552DB688" w14:textId="286DAFF3"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tree ring reconstruction</w:t>
            </w:r>
          </w:p>
        </w:tc>
        <w:tc>
          <w:tcPr>
            <w:tcW w:w="1417" w:type="dxa"/>
            <w:vMerge/>
            <w:vAlign w:val="center"/>
          </w:tcPr>
          <w:p w14:paraId="55C06BAD" w14:textId="2405E58D" w:rsidR="00997822" w:rsidRPr="00F46EC0" w:rsidRDefault="00997822" w:rsidP="00266543">
            <w:pPr>
              <w:rPr>
                <w:rFonts w:asciiTheme="minorHAnsi" w:eastAsia="Aptos" w:hAnsiTheme="minorHAnsi" w:cs="Aptos"/>
                <w:iCs/>
                <w:color w:val="000000" w:themeColor="text1"/>
                <w:sz w:val="20"/>
                <w:szCs w:val="20"/>
              </w:rPr>
            </w:pPr>
          </w:p>
        </w:tc>
        <w:tc>
          <w:tcPr>
            <w:tcW w:w="1242" w:type="dxa"/>
            <w:vMerge/>
            <w:vAlign w:val="center"/>
          </w:tcPr>
          <w:p w14:paraId="51EFB7BE" w14:textId="7DD2F021" w:rsidR="00997822" w:rsidRDefault="00997822" w:rsidP="00266543">
            <w:pPr>
              <w:rPr>
                <w:rFonts w:asciiTheme="minorHAnsi" w:eastAsia="Aptos" w:hAnsiTheme="minorHAnsi" w:cs="Aptos"/>
                <w:iCs/>
                <w:color w:val="000000" w:themeColor="text1"/>
                <w:sz w:val="20"/>
                <w:szCs w:val="20"/>
              </w:rPr>
            </w:pPr>
          </w:p>
        </w:tc>
      </w:tr>
      <w:tr w:rsidR="00266543" w:rsidRPr="00F46EC0" w14:paraId="7282FF03" w14:textId="77777777" w:rsidTr="000F515E">
        <w:trPr>
          <w:trHeight w:val="300"/>
        </w:trPr>
        <w:tc>
          <w:tcPr>
            <w:tcW w:w="1702" w:type="dxa"/>
          </w:tcPr>
          <w:p w14:paraId="09D3A4C3" w14:textId="562CCEDF"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Kitzberger et al. (2001)</w:t>
            </w:r>
          </w:p>
        </w:tc>
        <w:tc>
          <w:tcPr>
            <w:tcW w:w="3827" w:type="dxa"/>
          </w:tcPr>
          <w:p w14:paraId="17647D19" w14:textId="100935AE" w:rsidR="00997822" w:rsidRDefault="00997822"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 xml:space="preserve">Southwestern United States (Arizona and New Mexico) (63 sites, </w:t>
            </w:r>
            <w:r w:rsidRPr="00E11555">
              <w:rPr>
                <w:rFonts w:asciiTheme="minorHAnsi" w:eastAsia="Aptos" w:hAnsiTheme="minorHAnsi" w:cs="Aptos"/>
                <w:iCs/>
                <w:color w:val="000000" w:themeColor="text1"/>
                <w:sz w:val="20"/>
                <w:szCs w:val="20"/>
              </w:rPr>
              <w:t>933 trees)</w:t>
            </w:r>
          </w:p>
        </w:tc>
        <w:tc>
          <w:tcPr>
            <w:tcW w:w="1275" w:type="dxa"/>
          </w:tcPr>
          <w:p w14:paraId="051FDAAA" w14:textId="4C5D0091" w:rsidR="00997822" w:rsidRPr="00E11555" w:rsidRDefault="00997822" w:rsidP="000F515E">
            <w:pPr>
              <w:rPr>
                <w:rFonts w:asciiTheme="minorHAnsi" w:eastAsia="Aptos" w:hAnsiTheme="minorHAnsi" w:cs="Aptos"/>
                <w:iCs/>
                <w:color w:val="000000" w:themeColor="text1"/>
                <w:sz w:val="20"/>
                <w:szCs w:val="20"/>
              </w:rPr>
            </w:pPr>
            <w:r w:rsidRPr="00E11555">
              <w:rPr>
                <w:rFonts w:asciiTheme="minorHAnsi" w:eastAsia="Aptos" w:hAnsiTheme="minorHAnsi" w:cs="Aptos"/>
                <w:iCs/>
                <w:color w:val="000000" w:themeColor="text1"/>
                <w:sz w:val="20"/>
                <w:szCs w:val="20"/>
              </w:rPr>
              <w:t>1914–</w:t>
            </w:r>
            <w:r>
              <w:rPr>
                <w:rFonts w:asciiTheme="minorHAnsi" w:eastAsia="Aptos" w:hAnsiTheme="minorHAnsi" w:cs="Aptos"/>
                <w:iCs/>
                <w:color w:val="000000" w:themeColor="text1"/>
                <w:sz w:val="20"/>
                <w:szCs w:val="20"/>
              </w:rPr>
              <w:t>19</w:t>
            </w:r>
            <w:r w:rsidRPr="00E11555">
              <w:rPr>
                <w:rFonts w:asciiTheme="minorHAnsi" w:eastAsia="Aptos" w:hAnsiTheme="minorHAnsi" w:cs="Aptos"/>
                <w:iCs/>
                <w:color w:val="000000" w:themeColor="text1"/>
                <w:sz w:val="20"/>
                <w:szCs w:val="20"/>
              </w:rPr>
              <w:t>87</w:t>
            </w:r>
          </w:p>
        </w:tc>
        <w:tc>
          <w:tcPr>
            <w:tcW w:w="2410" w:type="dxa"/>
          </w:tcPr>
          <w:p w14:paraId="3214502D" w14:textId="26EBA8E6"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from tree rings</w:t>
            </w:r>
          </w:p>
        </w:tc>
        <w:tc>
          <w:tcPr>
            <w:tcW w:w="1417" w:type="dxa"/>
            <w:vMerge w:val="restart"/>
            <w:vAlign w:val="center"/>
          </w:tcPr>
          <w:p w14:paraId="50548C76" w14:textId="4C99434A" w:rsidR="00997822" w:rsidRPr="00F46EC0" w:rsidRDefault="00997822" w:rsidP="00266543">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 xml:space="preserve">Fire scars and US federal </w:t>
            </w:r>
            <w:r>
              <w:rPr>
                <w:rFonts w:asciiTheme="minorHAnsi" w:eastAsia="Aptos" w:hAnsiTheme="minorHAnsi" w:cs="Aptos"/>
                <w:iCs/>
                <w:color w:val="000000" w:themeColor="text1"/>
                <w:sz w:val="20"/>
                <w:szCs w:val="20"/>
              </w:rPr>
              <w:t>burn</w:t>
            </w:r>
            <w:r w:rsidR="00C270BB">
              <w:rPr>
                <w:rFonts w:asciiTheme="minorHAnsi" w:eastAsia="Aptos" w:hAnsiTheme="minorHAnsi" w:cs="Aptos"/>
                <w:iCs/>
                <w:color w:val="000000" w:themeColor="text1"/>
                <w:sz w:val="20"/>
                <w:szCs w:val="20"/>
              </w:rPr>
              <w:t>t</w:t>
            </w:r>
            <w:r>
              <w:rPr>
                <w:rFonts w:asciiTheme="minorHAnsi" w:eastAsia="Aptos" w:hAnsiTheme="minorHAnsi" w:cs="Aptos"/>
                <w:iCs/>
                <w:color w:val="000000" w:themeColor="text1"/>
                <w:sz w:val="20"/>
                <w:szCs w:val="20"/>
              </w:rPr>
              <w:t xml:space="preserve"> area </w:t>
            </w:r>
            <w:r w:rsidRPr="00F46EC0">
              <w:rPr>
                <w:rFonts w:asciiTheme="minorHAnsi" w:eastAsia="Aptos" w:hAnsiTheme="minorHAnsi" w:cs="Aptos"/>
                <w:iCs/>
                <w:color w:val="000000" w:themeColor="text1"/>
                <w:sz w:val="20"/>
                <w:szCs w:val="20"/>
              </w:rPr>
              <w:t>records</w:t>
            </w:r>
          </w:p>
        </w:tc>
        <w:tc>
          <w:tcPr>
            <w:tcW w:w="1242" w:type="dxa"/>
            <w:vMerge w:val="restart"/>
            <w:vAlign w:val="center"/>
          </w:tcPr>
          <w:p w14:paraId="569D7AF5" w14:textId="09412292" w:rsidR="00997822" w:rsidRDefault="001753C0" w:rsidP="00266543">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 xml:space="preserve">Fire </w:t>
            </w:r>
            <w:r w:rsidR="00150D89">
              <w:rPr>
                <w:rFonts w:asciiTheme="minorHAnsi" w:eastAsia="Aptos" w:hAnsiTheme="minorHAnsi" w:cs="Aptos"/>
                <w:iCs/>
                <w:color w:val="000000" w:themeColor="text1"/>
                <w:sz w:val="20"/>
                <w:szCs w:val="20"/>
              </w:rPr>
              <w:t>occurrence</w:t>
            </w:r>
            <w:r>
              <w:rPr>
                <w:rFonts w:asciiTheme="minorHAnsi" w:eastAsia="Aptos" w:hAnsiTheme="minorHAnsi" w:cs="Aptos"/>
                <w:iCs/>
                <w:color w:val="000000" w:themeColor="text1"/>
                <w:sz w:val="20"/>
                <w:szCs w:val="20"/>
              </w:rPr>
              <w:t xml:space="preserve"> </w:t>
            </w:r>
            <w:r w:rsidR="00997822">
              <w:rPr>
                <w:rFonts w:asciiTheme="minorHAnsi" w:eastAsia="Aptos" w:hAnsiTheme="minorHAnsi" w:cs="Aptos"/>
                <w:iCs/>
                <w:color w:val="000000" w:themeColor="text1"/>
                <w:sz w:val="20"/>
                <w:szCs w:val="20"/>
              </w:rPr>
              <w:t xml:space="preserve">and </w:t>
            </w:r>
            <w:r w:rsidR="00351FBC">
              <w:rPr>
                <w:rFonts w:asciiTheme="minorHAnsi" w:eastAsia="Aptos" w:hAnsiTheme="minorHAnsi" w:cs="Aptos"/>
                <w:iCs/>
                <w:color w:val="000000" w:themeColor="text1"/>
                <w:sz w:val="20"/>
                <w:szCs w:val="20"/>
              </w:rPr>
              <w:t>burnt</w:t>
            </w:r>
            <w:r w:rsidR="00997822">
              <w:rPr>
                <w:rFonts w:asciiTheme="minorHAnsi" w:eastAsia="Aptos" w:hAnsiTheme="minorHAnsi" w:cs="Aptos"/>
                <w:iCs/>
                <w:color w:val="000000" w:themeColor="text1"/>
                <w:sz w:val="20"/>
                <w:szCs w:val="20"/>
              </w:rPr>
              <w:t xml:space="preserve"> area</w:t>
            </w:r>
          </w:p>
        </w:tc>
      </w:tr>
      <w:tr w:rsidR="00266543" w:rsidRPr="00F46EC0" w14:paraId="060561E4" w14:textId="77777777" w:rsidTr="000F515E">
        <w:trPr>
          <w:trHeight w:val="300"/>
        </w:trPr>
        <w:tc>
          <w:tcPr>
            <w:tcW w:w="1702" w:type="dxa"/>
          </w:tcPr>
          <w:p w14:paraId="6DCB8621" w14:textId="3EAF7955"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 xml:space="preserve">Swetnam </w:t>
            </w:r>
            <w:r>
              <w:rPr>
                <w:rFonts w:asciiTheme="minorHAnsi" w:eastAsia="Aptos" w:hAnsiTheme="minorHAnsi" w:cs="Aptos"/>
                <w:iCs/>
                <w:color w:val="000000" w:themeColor="text1"/>
                <w:sz w:val="20"/>
                <w:szCs w:val="20"/>
              </w:rPr>
              <w:t>&amp;</w:t>
            </w:r>
            <w:r w:rsidRPr="00F46EC0">
              <w:rPr>
                <w:rFonts w:asciiTheme="minorHAnsi" w:eastAsia="Aptos" w:hAnsiTheme="minorHAnsi" w:cs="Aptos"/>
                <w:iCs/>
                <w:color w:val="000000" w:themeColor="text1"/>
                <w:sz w:val="20"/>
                <w:szCs w:val="20"/>
              </w:rPr>
              <w:t xml:space="preserve"> Betancourt (1998)</w:t>
            </w:r>
          </w:p>
        </w:tc>
        <w:tc>
          <w:tcPr>
            <w:tcW w:w="3827" w:type="dxa"/>
          </w:tcPr>
          <w:p w14:paraId="33E591A8" w14:textId="6CCE7ED4" w:rsidR="00997822" w:rsidRDefault="00997822"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 xml:space="preserve">Arizona, New Mexico, Sonora </w:t>
            </w:r>
            <w:r w:rsidRPr="00F46EC0">
              <w:rPr>
                <w:rFonts w:asciiTheme="minorHAnsi" w:eastAsia="Aptos" w:hAnsiTheme="minorHAnsi" w:cs="Aptos"/>
                <w:iCs/>
                <w:color w:val="000000" w:themeColor="text1"/>
                <w:sz w:val="20"/>
                <w:szCs w:val="20"/>
              </w:rPr>
              <w:t>(</w:t>
            </w:r>
            <w:r>
              <w:rPr>
                <w:rFonts w:asciiTheme="minorHAnsi" w:eastAsia="Aptos" w:hAnsiTheme="minorHAnsi" w:cs="Aptos"/>
                <w:iCs/>
                <w:color w:val="000000" w:themeColor="text1"/>
                <w:sz w:val="20"/>
                <w:szCs w:val="20"/>
              </w:rPr>
              <w:t>&gt;</w:t>
            </w:r>
            <w:r w:rsidRPr="00F46EC0">
              <w:rPr>
                <w:rFonts w:asciiTheme="minorHAnsi" w:eastAsia="Aptos" w:hAnsiTheme="minorHAnsi" w:cs="Aptos"/>
                <w:iCs/>
                <w:color w:val="000000" w:themeColor="text1"/>
                <w:sz w:val="20"/>
                <w:szCs w:val="20"/>
              </w:rPr>
              <w:t>900 trees</w:t>
            </w:r>
            <w:r>
              <w:rPr>
                <w:rFonts w:asciiTheme="minorHAnsi" w:eastAsia="Aptos" w:hAnsiTheme="minorHAnsi" w:cs="Aptos"/>
                <w:iCs/>
                <w:color w:val="000000" w:themeColor="text1"/>
                <w:sz w:val="20"/>
                <w:szCs w:val="20"/>
              </w:rPr>
              <w:t>, 63 sites</w:t>
            </w:r>
            <w:r w:rsidRPr="00F46EC0">
              <w:rPr>
                <w:rFonts w:asciiTheme="minorHAnsi" w:eastAsia="Aptos" w:hAnsiTheme="minorHAnsi" w:cs="Aptos"/>
                <w:iCs/>
                <w:color w:val="000000" w:themeColor="text1"/>
                <w:sz w:val="20"/>
                <w:szCs w:val="20"/>
              </w:rPr>
              <w:t>)</w:t>
            </w:r>
          </w:p>
        </w:tc>
        <w:tc>
          <w:tcPr>
            <w:tcW w:w="1275" w:type="dxa"/>
          </w:tcPr>
          <w:p w14:paraId="48E479C2" w14:textId="77777777" w:rsidR="00997822" w:rsidRPr="00882E6C" w:rsidRDefault="00997822" w:rsidP="000F515E">
            <w:pPr>
              <w:rPr>
                <w:rFonts w:asciiTheme="minorHAnsi" w:eastAsia="Aptos" w:hAnsiTheme="minorHAnsi" w:cs="Aptos"/>
                <w:iCs/>
                <w:color w:val="000000" w:themeColor="text1"/>
                <w:sz w:val="20"/>
                <w:szCs w:val="20"/>
              </w:rPr>
            </w:pPr>
            <w:r w:rsidRPr="00882E6C">
              <w:rPr>
                <w:rFonts w:asciiTheme="minorHAnsi" w:eastAsia="Aptos" w:hAnsiTheme="minorHAnsi" w:cs="Aptos"/>
                <w:iCs/>
                <w:color w:val="000000" w:themeColor="text1"/>
                <w:sz w:val="20"/>
                <w:szCs w:val="20"/>
              </w:rPr>
              <w:t>1700</w:t>
            </w:r>
            <w:r>
              <w:rPr>
                <w:rFonts w:asciiTheme="minorHAnsi" w:eastAsia="Aptos" w:hAnsiTheme="minorHAnsi" w:cs="Aptos"/>
                <w:iCs/>
                <w:color w:val="000000" w:themeColor="text1"/>
                <w:sz w:val="20"/>
                <w:szCs w:val="20"/>
              </w:rPr>
              <w:t>–</w:t>
            </w:r>
            <w:r w:rsidRPr="00882E6C">
              <w:rPr>
                <w:rFonts w:asciiTheme="minorHAnsi" w:eastAsia="Aptos" w:hAnsiTheme="minorHAnsi" w:cs="Aptos"/>
                <w:iCs/>
                <w:color w:val="000000" w:themeColor="text1"/>
                <w:sz w:val="20"/>
                <w:szCs w:val="20"/>
              </w:rPr>
              <w:t xml:space="preserve">1900, </w:t>
            </w:r>
          </w:p>
          <w:p w14:paraId="0911A2A4" w14:textId="001FF327" w:rsidR="00997822" w:rsidRDefault="00997822" w:rsidP="000F515E">
            <w:pPr>
              <w:rPr>
                <w:rFonts w:asciiTheme="minorHAnsi" w:eastAsia="Aptos" w:hAnsiTheme="minorHAnsi" w:cs="Aptos"/>
                <w:iCs/>
                <w:color w:val="000000" w:themeColor="text1"/>
                <w:sz w:val="20"/>
                <w:szCs w:val="20"/>
              </w:rPr>
            </w:pPr>
            <w:r w:rsidRPr="00882E6C">
              <w:rPr>
                <w:rFonts w:asciiTheme="minorHAnsi" w:eastAsia="Aptos" w:hAnsiTheme="minorHAnsi" w:cs="Aptos"/>
                <w:iCs/>
                <w:color w:val="000000" w:themeColor="text1"/>
                <w:sz w:val="20"/>
                <w:szCs w:val="20"/>
              </w:rPr>
              <w:t>1920</w:t>
            </w:r>
            <w:r>
              <w:rPr>
                <w:rFonts w:asciiTheme="minorHAnsi" w:eastAsia="Aptos" w:hAnsiTheme="minorHAnsi" w:cs="Aptos"/>
                <w:iCs/>
                <w:color w:val="000000" w:themeColor="text1"/>
                <w:sz w:val="20"/>
                <w:szCs w:val="20"/>
              </w:rPr>
              <w:t>–</w:t>
            </w:r>
            <w:r w:rsidRPr="00882E6C">
              <w:rPr>
                <w:rFonts w:asciiTheme="minorHAnsi" w:eastAsia="Aptos" w:hAnsiTheme="minorHAnsi" w:cs="Aptos"/>
                <w:iCs/>
                <w:color w:val="000000" w:themeColor="text1"/>
                <w:sz w:val="20"/>
                <w:szCs w:val="20"/>
              </w:rPr>
              <w:t>1978</w:t>
            </w:r>
          </w:p>
        </w:tc>
        <w:tc>
          <w:tcPr>
            <w:tcW w:w="2410" w:type="dxa"/>
          </w:tcPr>
          <w:p w14:paraId="0499216F" w14:textId="64BFD351"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reconstruction (provenance unknown)</w:t>
            </w:r>
          </w:p>
        </w:tc>
        <w:tc>
          <w:tcPr>
            <w:tcW w:w="1417" w:type="dxa"/>
            <w:vMerge/>
            <w:vAlign w:val="center"/>
          </w:tcPr>
          <w:p w14:paraId="01A4471E" w14:textId="75CDBA8B" w:rsidR="00997822" w:rsidRPr="00F46EC0" w:rsidRDefault="00997822" w:rsidP="00266543">
            <w:pPr>
              <w:rPr>
                <w:rFonts w:asciiTheme="minorHAnsi" w:eastAsia="Aptos" w:hAnsiTheme="minorHAnsi" w:cs="Aptos"/>
                <w:iCs/>
                <w:color w:val="000000" w:themeColor="text1"/>
                <w:sz w:val="20"/>
                <w:szCs w:val="20"/>
              </w:rPr>
            </w:pPr>
          </w:p>
        </w:tc>
        <w:tc>
          <w:tcPr>
            <w:tcW w:w="1242" w:type="dxa"/>
            <w:vMerge/>
            <w:vAlign w:val="center"/>
          </w:tcPr>
          <w:p w14:paraId="1648E852" w14:textId="4A6DA1F0" w:rsidR="00997822" w:rsidRDefault="00997822" w:rsidP="00266543">
            <w:pPr>
              <w:rPr>
                <w:rFonts w:asciiTheme="minorHAnsi" w:eastAsia="Aptos" w:hAnsiTheme="minorHAnsi" w:cs="Aptos"/>
                <w:iCs/>
                <w:color w:val="000000" w:themeColor="text1"/>
                <w:sz w:val="20"/>
                <w:szCs w:val="20"/>
              </w:rPr>
            </w:pPr>
          </w:p>
        </w:tc>
      </w:tr>
      <w:tr w:rsidR="00266543" w:rsidRPr="00F46EC0" w14:paraId="280DC9A6" w14:textId="77777777" w:rsidTr="000F515E">
        <w:trPr>
          <w:trHeight w:val="300"/>
        </w:trPr>
        <w:tc>
          <w:tcPr>
            <w:tcW w:w="1702" w:type="dxa"/>
          </w:tcPr>
          <w:p w14:paraId="70FE25A7" w14:textId="2452F9D2"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 xml:space="preserve">Swetnam </w:t>
            </w:r>
            <w:r>
              <w:rPr>
                <w:rFonts w:asciiTheme="minorHAnsi" w:eastAsia="Aptos" w:hAnsiTheme="minorHAnsi" w:cs="Aptos"/>
                <w:iCs/>
                <w:color w:val="000000" w:themeColor="text1"/>
                <w:sz w:val="20"/>
                <w:szCs w:val="20"/>
              </w:rPr>
              <w:t>&amp;</w:t>
            </w:r>
            <w:r w:rsidRPr="00F46EC0">
              <w:rPr>
                <w:rFonts w:asciiTheme="minorHAnsi" w:eastAsia="Aptos" w:hAnsiTheme="minorHAnsi" w:cs="Aptos"/>
                <w:iCs/>
                <w:color w:val="000000" w:themeColor="text1"/>
                <w:sz w:val="20"/>
                <w:szCs w:val="20"/>
              </w:rPr>
              <w:t xml:space="preserve"> Betancourt (1990)</w:t>
            </w:r>
          </w:p>
        </w:tc>
        <w:tc>
          <w:tcPr>
            <w:tcW w:w="3827" w:type="dxa"/>
          </w:tcPr>
          <w:p w14:paraId="60F77CD0" w14:textId="1E46A7BC" w:rsidR="00997822" w:rsidRDefault="00997822"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 xml:space="preserve">Arizona, New Mexico (n trees not stated, </w:t>
            </w:r>
            <w:r w:rsidRPr="00AE2208">
              <w:rPr>
                <w:rFonts w:asciiTheme="minorHAnsi" w:eastAsia="Aptos" w:hAnsiTheme="minorHAnsi" w:cs="Aptos"/>
                <w:iCs/>
                <w:color w:val="000000" w:themeColor="text1"/>
                <w:sz w:val="20"/>
                <w:szCs w:val="20"/>
              </w:rPr>
              <w:t>28 sites)</w:t>
            </w:r>
          </w:p>
        </w:tc>
        <w:tc>
          <w:tcPr>
            <w:tcW w:w="1275" w:type="dxa"/>
          </w:tcPr>
          <w:p w14:paraId="117C2F3A" w14:textId="179DA4DA" w:rsidR="00997822" w:rsidRDefault="00997822" w:rsidP="000F515E">
            <w:pPr>
              <w:rPr>
                <w:rFonts w:asciiTheme="minorHAnsi" w:eastAsia="Aptos" w:hAnsiTheme="minorHAnsi" w:cs="Aptos"/>
                <w:iCs/>
                <w:color w:val="000000" w:themeColor="text1"/>
                <w:sz w:val="20"/>
                <w:szCs w:val="20"/>
              </w:rPr>
            </w:pPr>
            <w:r w:rsidRPr="00882E6C">
              <w:rPr>
                <w:rFonts w:asciiTheme="minorHAnsi" w:eastAsia="Aptos" w:hAnsiTheme="minorHAnsi" w:cs="Aptos"/>
                <w:iCs/>
                <w:color w:val="000000" w:themeColor="text1"/>
                <w:sz w:val="20"/>
                <w:szCs w:val="20"/>
              </w:rPr>
              <w:t>1700</w:t>
            </w:r>
            <w:r>
              <w:rPr>
                <w:rFonts w:asciiTheme="minorHAnsi" w:eastAsia="Aptos" w:hAnsiTheme="minorHAnsi" w:cs="Aptos"/>
                <w:iCs/>
                <w:color w:val="000000" w:themeColor="text1"/>
                <w:sz w:val="20"/>
                <w:szCs w:val="20"/>
              </w:rPr>
              <w:t>–</w:t>
            </w:r>
            <w:r w:rsidRPr="00882E6C">
              <w:rPr>
                <w:rFonts w:asciiTheme="minorHAnsi" w:eastAsia="Aptos" w:hAnsiTheme="minorHAnsi" w:cs="Aptos"/>
                <w:iCs/>
                <w:color w:val="000000" w:themeColor="text1"/>
                <w:sz w:val="20"/>
                <w:szCs w:val="20"/>
              </w:rPr>
              <w:t>1905</w:t>
            </w:r>
            <w:r>
              <w:rPr>
                <w:rFonts w:asciiTheme="minorHAnsi" w:eastAsia="Aptos" w:hAnsiTheme="minorHAnsi" w:cs="Aptos"/>
                <w:iCs/>
                <w:color w:val="000000" w:themeColor="text1"/>
                <w:sz w:val="20"/>
                <w:szCs w:val="20"/>
              </w:rPr>
              <w:t>, 1905–1985</w:t>
            </w:r>
          </w:p>
        </w:tc>
        <w:tc>
          <w:tcPr>
            <w:tcW w:w="2410" w:type="dxa"/>
          </w:tcPr>
          <w:p w14:paraId="642C7A9E" w14:textId="15C9F299" w:rsidR="00997822" w:rsidRPr="00F46EC0" w:rsidRDefault="00997822"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tree ring reconstruction</w:t>
            </w:r>
          </w:p>
        </w:tc>
        <w:tc>
          <w:tcPr>
            <w:tcW w:w="1417" w:type="dxa"/>
            <w:vMerge/>
            <w:vAlign w:val="center"/>
          </w:tcPr>
          <w:p w14:paraId="1968E23B" w14:textId="21943E02" w:rsidR="00997822" w:rsidRPr="00F46EC0" w:rsidRDefault="00997822" w:rsidP="00266543">
            <w:pPr>
              <w:rPr>
                <w:rFonts w:asciiTheme="minorHAnsi" w:eastAsia="Aptos" w:hAnsiTheme="minorHAnsi" w:cs="Aptos"/>
                <w:iCs/>
                <w:color w:val="000000" w:themeColor="text1"/>
                <w:sz w:val="20"/>
                <w:szCs w:val="20"/>
              </w:rPr>
            </w:pPr>
          </w:p>
        </w:tc>
        <w:tc>
          <w:tcPr>
            <w:tcW w:w="1242" w:type="dxa"/>
            <w:vMerge/>
            <w:vAlign w:val="center"/>
          </w:tcPr>
          <w:p w14:paraId="67BBBB50" w14:textId="784C902E" w:rsidR="00997822" w:rsidRDefault="00997822" w:rsidP="00266543">
            <w:pPr>
              <w:rPr>
                <w:rFonts w:asciiTheme="minorHAnsi" w:eastAsia="Aptos" w:hAnsiTheme="minorHAnsi" w:cs="Aptos"/>
                <w:iCs/>
                <w:color w:val="000000" w:themeColor="text1"/>
                <w:sz w:val="20"/>
                <w:szCs w:val="20"/>
              </w:rPr>
            </w:pPr>
          </w:p>
        </w:tc>
      </w:tr>
      <w:tr w:rsidR="00266543" w:rsidRPr="00F46EC0" w14:paraId="180A9349" w14:textId="1757512E" w:rsidTr="000F515E">
        <w:trPr>
          <w:trHeight w:val="300"/>
        </w:trPr>
        <w:tc>
          <w:tcPr>
            <w:tcW w:w="1702" w:type="dxa"/>
          </w:tcPr>
          <w:p w14:paraId="51440C7E" w14:textId="10ED2250" w:rsidR="00355015" w:rsidRPr="00F46EC0" w:rsidRDefault="00355015"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Barbero et al. (2015)</w:t>
            </w:r>
          </w:p>
        </w:tc>
        <w:tc>
          <w:tcPr>
            <w:tcW w:w="3827" w:type="dxa"/>
          </w:tcPr>
          <w:p w14:paraId="32EE5E08" w14:textId="77777777" w:rsidR="00355015" w:rsidRPr="00F46EC0" w:rsidRDefault="00355015"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Northwestern Ecoregions (</w:t>
            </w:r>
            <w:r w:rsidRPr="00DF0637">
              <w:rPr>
                <w:rFonts w:asciiTheme="minorHAnsi" w:eastAsia="Aptos" w:hAnsiTheme="minorHAnsi" w:cs="Aptos"/>
                <w:iCs/>
                <w:color w:val="000000" w:themeColor="text1"/>
                <w:sz w:val="20"/>
                <w:szCs w:val="20"/>
              </w:rPr>
              <w:t>Northern Rockies, Canadian Rockies, Middle Rockies, Idaho Batholith</w:t>
            </w:r>
            <w:r>
              <w:rPr>
                <w:rFonts w:asciiTheme="minorHAnsi" w:eastAsia="Aptos" w:hAnsiTheme="minorHAnsi" w:cs="Aptos"/>
                <w:iCs/>
                <w:color w:val="000000" w:themeColor="text1"/>
                <w:sz w:val="20"/>
                <w:szCs w:val="20"/>
              </w:rPr>
              <w:t xml:space="preserve">, </w:t>
            </w:r>
            <w:r w:rsidRPr="00DF0637">
              <w:rPr>
                <w:rFonts w:asciiTheme="minorHAnsi" w:eastAsia="Aptos" w:hAnsiTheme="minorHAnsi" w:cs="Aptos"/>
                <w:iCs/>
                <w:color w:val="000000" w:themeColor="text1"/>
                <w:sz w:val="20"/>
                <w:szCs w:val="20"/>
              </w:rPr>
              <w:t>Northern Basin and Range, Central Basin and Range, and Snake River Plain</w:t>
            </w:r>
            <w:r>
              <w:rPr>
                <w:rFonts w:asciiTheme="minorHAnsi" w:eastAsia="Aptos" w:hAnsiTheme="minorHAnsi" w:cs="Aptos"/>
                <w:iCs/>
                <w:color w:val="000000" w:themeColor="text1"/>
                <w:sz w:val="20"/>
                <w:szCs w:val="20"/>
              </w:rPr>
              <w:t>)</w:t>
            </w:r>
          </w:p>
        </w:tc>
        <w:tc>
          <w:tcPr>
            <w:tcW w:w="1275" w:type="dxa"/>
          </w:tcPr>
          <w:p w14:paraId="7D9A1BD0" w14:textId="77777777" w:rsidR="00355015" w:rsidRPr="00F46EC0" w:rsidRDefault="00355015"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1984–2012</w:t>
            </w:r>
          </w:p>
        </w:tc>
        <w:tc>
          <w:tcPr>
            <w:tcW w:w="2410" w:type="dxa"/>
          </w:tcPr>
          <w:p w14:paraId="1C2A02A3" w14:textId="77777777" w:rsidR="00355015" w:rsidRPr="00F46EC0" w:rsidRDefault="00355015"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from reanalysis (MEI)</w:t>
            </w:r>
          </w:p>
        </w:tc>
        <w:tc>
          <w:tcPr>
            <w:tcW w:w="1417" w:type="dxa"/>
            <w:vMerge w:val="restart"/>
            <w:vAlign w:val="center"/>
          </w:tcPr>
          <w:p w14:paraId="4EF0249F" w14:textId="337AE8BE" w:rsidR="00355015" w:rsidRPr="00F46EC0" w:rsidRDefault="00355015" w:rsidP="00266543">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National/</w:t>
            </w:r>
            <w:r w:rsidR="00A6286B">
              <w:rPr>
                <w:rFonts w:asciiTheme="minorHAnsi" w:eastAsia="Aptos" w:hAnsiTheme="minorHAnsi" w:cs="Aptos"/>
                <w:iCs/>
                <w:color w:val="000000" w:themeColor="text1"/>
                <w:sz w:val="20"/>
                <w:szCs w:val="20"/>
              </w:rPr>
              <w:t xml:space="preserve"> </w:t>
            </w:r>
            <w:r>
              <w:rPr>
                <w:rFonts w:asciiTheme="minorHAnsi" w:eastAsia="Aptos" w:hAnsiTheme="minorHAnsi" w:cs="Aptos"/>
                <w:iCs/>
                <w:color w:val="000000" w:themeColor="text1"/>
                <w:sz w:val="20"/>
                <w:szCs w:val="20"/>
              </w:rPr>
              <w:t>state fire records</w:t>
            </w:r>
          </w:p>
        </w:tc>
        <w:tc>
          <w:tcPr>
            <w:tcW w:w="1242" w:type="dxa"/>
            <w:vAlign w:val="center"/>
          </w:tcPr>
          <w:p w14:paraId="0BD1FCCC" w14:textId="401AFE04" w:rsidR="00355015" w:rsidRPr="00F46EC0" w:rsidRDefault="00355015" w:rsidP="00266543">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Very large fires</w:t>
            </w:r>
          </w:p>
        </w:tc>
      </w:tr>
      <w:tr w:rsidR="00266543" w:rsidRPr="00F46EC0" w14:paraId="00AD92DB" w14:textId="77777777" w:rsidTr="000F515E">
        <w:trPr>
          <w:trHeight w:val="300"/>
        </w:trPr>
        <w:tc>
          <w:tcPr>
            <w:tcW w:w="1702" w:type="dxa"/>
          </w:tcPr>
          <w:p w14:paraId="4EF1F3DE" w14:textId="67BBDB6B" w:rsidR="00355015" w:rsidRPr="00F46EC0" w:rsidRDefault="00355015"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Dixon et al. (2008)</w:t>
            </w:r>
          </w:p>
        </w:tc>
        <w:tc>
          <w:tcPr>
            <w:tcW w:w="3827" w:type="dxa"/>
          </w:tcPr>
          <w:p w14:paraId="33256497" w14:textId="2CDD7DB3" w:rsidR="00355015" w:rsidRDefault="00355015"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Mississippi State</w:t>
            </w:r>
          </w:p>
        </w:tc>
        <w:tc>
          <w:tcPr>
            <w:tcW w:w="1275" w:type="dxa"/>
          </w:tcPr>
          <w:p w14:paraId="3C90BFA2" w14:textId="482C1019" w:rsidR="00355015" w:rsidRDefault="00355015"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1990–2006</w:t>
            </w:r>
          </w:p>
        </w:tc>
        <w:tc>
          <w:tcPr>
            <w:tcW w:w="2410" w:type="dxa"/>
          </w:tcPr>
          <w:p w14:paraId="18148E55" w14:textId="5D726147" w:rsidR="00355015" w:rsidRPr="00F46EC0" w:rsidRDefault="00355015"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NAO, PNA, PDO NOAA modes</w:t>
            </w:r>
          </w:p>
        </w:tc>
        <w:tc>
          <w:tcPr>
            <w:tcW w:w="1417" w:type="dxa"/>
            <w:vMerge/>
            <w:vAlign w:val="center"/>
          </w:tcPr>
          <w:p w14:paraId="67A51C9B" w14:textId="20F56D4C" w:rsidR="00355015" w:rsidRPr="00F46EC0" w:rsidRDefault="00355015" w:rsidP="00266543">
            <w:pPr>
              <w:rPr>
                <w:rFonts w:asciiTheme="minorHAnsi" w:eastAsia="Aptos" w:hAnsiTheme="minorHAnsi" w:cs="Aptos"/>
                <w:iCs/>
                <w:color w:val="000000" w:themeColor="text1"/>
                <w:sz w:val="20"/>
                <w:szCs w:val="20"/>
              </w:rPr>
            </w:pPr>
          </w:p>
        </w:tc>
        <w:tc>
          <w:tcPr>
            <w:tcW w:w="1242" w:type="dxa"/>
            <w:vAlign w:val="center"/>
          </w:tcPr>
          <w:p w14:paraId="44475C52" w14:textId="2024F953" w:rsidR="00355015" w:rsidRDefault="00355015" w:rsidP="00266543">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Fire occurrence and size</w:t>
            </w:r>
          </w:p>
        </w:tc>
      </w:tr>
      <w:tr w:rsidR="00266543" w:rsidRPr="00F46EC0" w14:paraId="4265E308" w14:textId="77777777" w:rsidTr="000F515E">
        <w:trPr>
          <w:trHeight w:val="300"/>
        </w:trPr>
        <w:tc>
          <w:tcPr>
            <w:tcW w:w="1702" w:type="dxa"/>
          </w:tcPr>
          <w:p w14:paraId="63DA04D0" w14:textId="457DB387" w:rsidR="00355015" w:rsidRPr="00F46EC0" w:rsidRDefault="00355015"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Simard et al. (1985)</w:t>
            </w:r>
          </w:p>
        </w:tc>
        <w:tc>
          <w:tcPr>
            <w:tcW w:w="3827" w:type="dxa"/>
          </w:tcPr>
          <w:p w14:paraId="3DF77DAC" w14:textId="025D1BBC" w:rsidR="00355015" w:rsidRDefault="00355015"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Continental United States</w:t>
            </w:r>
          </w:p>
        </w:tc>
        <w:tc>
          <w:tcPr>
            <w:tcW w:w="1275" w:type="dxa"/>
          </w:tcPr>
          <w:p w14:paraId="5A9D0EB8" w14:textId="48FDBF08" w:rsidR="00355015" w:rsidRDefault="00355015" w:rsidP="000F515E">
            <w:pPr>
              <w:rPr>
                <w:rFonts w:asciiTheme="minorHAnsi" w:eastAsia="Aptos" w:hAnsiTheme="minorHAnsi" w:cs="Aptos"/>
                <w:iCs/>
                <w:color w:val="000000" w:themeColor="text1"/>
                <w:sz w:val="20"/>
                <w:szCs w:val="20"/>
              </w:rPr>
            </w:pPr>
            <w:r w:rsidRPr="00AE2208">
              <w:rPr>
                <w:rFonts w:asciiTheme="minorHAnsi" w:eastAsia="Aptos" w:hAnsiTheme="minorHAnsi" w:cs="Aptos"/>
                <w:iCs/>
                <w:color w:val="000000" w:themeColor="text1"/>
                <w:sz w:val="20"/>
                <w:szCs w:val="20"/>
              </w:rPr>
              <w:t>1926</w:t>
            </w:r>
            <w:r>
              <w:rPr>
                <w:rFonts w:asciiTheme="minorHAnsi" w:eastAsia="Aptos" w:hAnsiTheme="minorHAnsi" w:cs="Aptos"/>
                <w:iCs/>
                <w:color w:val="000000" w:themeColor="text1"/>
                <w:sz w:val="20"/>
                <w:szCs w:val="20"/>
              </w:rPr>
              <w:t>–</w:t>
            </w:r>
            <w:r w:rsidRPr="00AE2208">
              <w:rPr>
                <w:rFonts w:asciiTheme="minorHAnsi" w:eastAsia="Aptos" w:hAnsiTheme="minorHAnsi" w:cs="Aptos"/>
                <w:iCs/>
                <w:color w:val="000000" w:themeColor="text1"/>
                <w:sz w:val="20"/>
                <w:szCs w:val="20"/>
              </w:rPr>
              <w:t>1978</w:t>
            </w:r>
          </w:p>
        </w:tc>
        <w:tc>
          <w:tcPr>
            <w:tcW w:w="2410" w:type="dxa"/>
          </w:tcPr>
          <w:p w14:paraId="564A7D83" w14:textId="4996778A" w:rsidR="00355015" w:rsidRPr="00F46EC0" w:rsidRDefault="00355015"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Strong ENSO years from 9 common indicators</w:t>
            </w:r>
          </w:p>
        </w:tc>
        <w:tc>
          <w:tcPr>
            <w:tcW w:w="1417" w:type="dxa"/>
            <w:vMerge/>
            <w:vAlign w:val="center"/>
          </w:tcPr>
          <w:p w14:paraId="02BDEE2C" w14:textId="05C6AB78" w:rsidR="00355015" w:rsidRPr="00F46EC0" w:rsidRDefault="00355015" w:rsidP="00266543">
            <w:pPr>
              <w:rPr>
                <w:rFonts w:asciiTheme="minorHAnsi" w:eastAsia="Aptos" w:hAnsiTheme="minorHAnsi" w:cs="Aptos"/>
                <w:iCs/>
                <w:color w:val="000000" w:themeColor="text1"/>
                <w:sz w:val="20"/>
                <w:szCs w:val="20"/>
              </w:rPr>
            </w:pPr>
          </w:p>
        </w:tc>
        <w:tc>
          <w:tcPr>
            <w:tcW w:w="1242" w:type="dxa"/>
            <w:vAlign w:val="center"/>
          </w:tcPr>
          <w:p w14:paraId="4B66D0D2" w14:textId="1800C9C4" w:rsidR="00355015" w:rsidRDefault="00355015" w:rsidP="00266543">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Fire occurrence and burnt area</w:t>
            </w:r>
          </w:p>
        </w:tc>
      </w:tr>
      <w:tr w:rsidR="00266543" w:rsidRPr="00F46EC0" w14:paraId="78451A89" w14:textId="11DBE299" w:rsidTr="000F515E">
        <w:trPr>
          <w:trHeight w:val="300"/>
        </w:trPr>
        <w:tc>
          <w:tcPr>
            <w:tcW w:w="1702" w:type="dxa"/>
          </w:tcPr>
          <w:p w14:paraId="2A0D1B57" w14:textId="2FBDCF63" w:rsidR="00266543" w:rsidRPr="00F46EC0" w:rsidRDefault="00266543"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Cardil et al. (2021)</w:t>
            </w:r>
          </w:p>
        </w:tc>
        <w:tc>
          <w:tcPr>
            <w:tcW w:w="3827" w:type="dxa"/>
          </w:tcPr>
          <w:p w14:paraId="54F73A75" w14:textId="1FC9CC54" w:rsidR="00266543" w:rsidRPr="00F46EC0" w:rsidRDefault="00266543"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Southern Coastal California Ecoregion</w:t>
            </w:r>
          </w:p>
        </w:tc>
        <w:tc>
          <w:tcPr>
            <w:tcW w:w="1275" w:type="dxa"/>
          </w:tcPr>
          <w:p w14:paraId="2B8A7DA3" w14:textId="1BB0714F" w:rsidR="00266543" w:rsidRPr="00F46EC0" w:rsidRDefault="00266543"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1953–2018</w:t>
            </w:r>
          </w:p>
        </w:tc>
        <w:tc>
          <w:tcPr>
            <w:tcW w:w="2410" w:type="dxa"/>
          </w:tcPr>
          <w:p w14:paraId="7B02959A" w14:textId="5AF79F6A" w:rsidR="00266543" w:rsidRPr="00F46EC0" w:rsidRDefault="00266543"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NOAA modes</w:t>
            </w:r>
          </w:p>
        </w:tc>
        <w:tc>
          <w:tcPr>
            <w:tcW w:w="1417" w:type="dxa"/>
            <w:vMerge/>
            <w:vAlign w:val="center"/>
          </w:tcPr>
          <w:p w14:paraId="0C308C82" w14:textId="75E3A5EE" w:rsidR="00266543" w:rsidRPr="00F46EC0" w:rsidRDefault="00266543" w:rsidP="00266543">
            <w:pPr>
              <w:rPr>
                <w:rFonts w:asciiTheme="minorHAnsi" w:eastAsia="Aptos" w:hAnsiTheme="minorHAnsi" w:cs="Aptos"/>
                <w:iCs/>
                <w:color w:val="000000" w:themeColor="text1"/>
                <w:sz w:val="20"/>
                <w:szCs w:val="20"/>
              </w:rPr>
            </w:pPr>
          </w:p>
        </w:tc>
        <w:tc>
          <w:tcPr>
            <w:tcW w:w="1242" w:type="dxa"/>
            <w:vMerge w:val="restart"/>
            <w:vAlign w:val="center"/>
          </w:tcPr>
          <w:p w14:paraId="3B90BBCF" w14:textId="4F20BB45" w:rsidR="00266543" w:rsidRPr="00F46EC0" w:rsidRDefault="00266543" w:rsidP="00266543">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Burnt area</w:t>
            </w:r>
          </w:p>
        </w:tc>
      </w:tr>
      <w:tr w:rsidR="00266543" w:rsidRPr="00F46EC0" w14:paraId="59212EC0" w14:textId="3A81BED4" w:rsidTr="000F515E">
        <w:trPr>
          <w:trHeight w:val="300"/>
        </w:trPr>
        <w:tc>
          <w:tcPr>
            <w:tcW w:w="1702" w:type="dxa"/>
          </w:tcPr>
          <w:p w14:paraId="1D90DDB5" w14:textId="6041E51C" w:rsidR="00266543" w:rsidRPr="00F46EC0" w:rsidRDefault="00266543"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 xml:space="preserve">Goodrick </w:t>
            </w:r>
            <w:r>
              <w:rPr>
                <w:rFonts w:asciiTheme="minorHAnsi" w:eastAsia="Aptos" w:hAnsiTheme="minorHAnsi" w:cs="Aptos"/>
                <w:iCs/>
                <w:color w:val="000000" w:themeColor="text1"/>
                <w:sz w:val="20"/>
                <w:szCs w:val="20"/>
              </w:rPr>
              <w:t>&amp;</w:t>
            </w:r>
            <w:r w:rsidRPr="00F46EC0">
              <w:rPr>
                <w:rFonts w:asciiTheme="minorHAnsi" w:eastAsia="Aptos" w:hAnsiTheme="minorHAnsi" w:cs="Aptos"/>
                <w:iCs/>
                <w:color w:val="000000" w:themeColor="text1"/>
                <w:sz w:val="20"/>
                <w:szCs w:val="20"/>
              </w:rPr>
              <w:t xml:space="preserve"> Hanley (2009)</w:t>
            </w:r>
          </w:p>
        </w:tc>
        <w:tc>
          <w:tcPr>
            <w:tcW w:w="3827" w:type="dxa"/>
          </w:tcPr>
          <w:p w14:paraId="45991CC3" w14:textId="5AFF46C0" w:rsidR="00266543" w:rsidRPr="00F46EC0" w:rsidRDefault="00266543"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Florida State</w:t>
            </w:r>
          </w:p>
        </w:tc>
        <w:tc>
          <w:tcPr>
            <w:tcW w:w="1275" w:type="dxa"/>
          </w:tcPr>
          <w:p w14:paraId="1DF14832" w14:textId="0E4A1CF4" w:rsidR="00266543" w:rsidRPr="00F46EC0" w:rsidRDefault="00266543"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1981–2003</w:t>
            </w:r>
          </w:p>
        </w:tc>
        <w:tc>
          <w:tcPr>
            <w:tcW w:w="2410" w:type="dxa"/>
          </w:tcPr>
          <w:p w14:paraId="4C6B7A75" w14:textId="4C457104" w:rsidR="00266543" w:rsidRPr="00F46EC0" w:rsidRDefault="00266543"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PNA and NAO from NOAA</w:t>
            </w:r>
          </w:p>
        </w:tc>
        <w:tc>
          <w:tcPr>
            <w:tcW w:w="1417" w:type="dxa"/>
            <w:vMerge/>
            <w:vAlign w:val="center"/>
          </w:tcPr>
          <w:p w14:paraId="17F8C628" w14:textId="078DE1CE" w:rsidR="00266543" w:rsidRPr="00F46EC0" w:rsidRDefault="00266543" w:rsidP="00266543">
            <w:pPr>
              <w:rPr>
                <w:rFonts w:asciiTheme="minorHAnsi" w:eastAsia="Aptos" w:hAnsiTheme="minorHAnsi" w:cs="Aptos"/>
                <w:iCs/>
                <w:color w:val="000000" w:themeColor="text1"/>
                <w:sz w:val="20"/>
                <w:szCs w:val="20"/>
              </w:rPr>
            </w:pPr>
          </w:p>
        </w:tc>
        <w:tc>
          <w:tcPr>
            <w:tcW w:w="1242" w:type="dxa"/>
            <w:vMerge/>
            <w:vAlign w:val="center"/>
          </w:tcPr>
          <w:p w14:paraId="1E82A18F" w14:textId="7E4683AA" w:rsidR="00266543" w:rsidRPr="00F46EC0" w:rsidRDefault="00266543" w:rsidP="00266543">
            <w:pPr>
              <w:rPr>
                <w:rFonts w:asciiTheme="minorHAnsi" w:eastAsia="Aptos" w:hAnsiTheme="minorHAnsi" w:cs="Aptos"/>
                <w:iCs/>
                <w:color w:val="000000" w:themeColor="text1"/>
                <w:sz w:val="20"/>
                <w:szCs w:val="20"/>
              </w:rPr>
            </w:pPr>
          </w:p>
        </w:tc>
      </w:tr>
      <w:tr w:rsidR="00266543" w:rsidRPr="00F46EC0" w14:paraId="771641E6" w14:textId="77777777" w:rsidTr="000F515E">
        <w:trPr>
          <w:trHeight w:val="300"/>
        </w:trPr>
        <w:tc>
          <w:tcPr>
            <w:tcW w:w="1702" w:type="dxa"/>
          </w:tcPr>
          <w:p w14:paraId="719A1968" w14:textId="0B6D9E9F" w:rsidR="00266543" w:rsidRPr="00F46EC0" w:rsidRDefault="00266543"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 xml:space="preserve">Fauria </w:t>
            </w:r>
            <w:r>
              <w:rPr>
                <w:rFonts w:asciiTheme="minorHAnsi" w:eastAsia="Aptos" w:hAnsiTheme="minorHAnsi" w:cs="Aptos"/>
                <w:iCs/>
                <w:color w:val="000000" w:themeColor="text1"/>
                <w:sz w:val="20"/>
                <w:szCs w:val="20"/>
              </w:rPr>
              <w:t>&amp;</w:t>
            </w:r>
            <w:r w:rsidRPr="00F46EC0">
              <w:rPr>
                <w:rFonts w:asciiTheme="minorHAnsi" w:eastAsia="Aptos" w:hAnsiTheme="minorHAnsi" w:cs="Aptos"/>
                <w:iCs/>
                <w:color w:val="000000" w:themeColor="text1"/>
                <w:sz w:val="20"/>
                <w:szCs w:val="20"/>
              </w:rPr>
              <w:t xml:space="preserve"> Johnson (2008)</w:t>
            </w:r>
          </w:p>
        </w:tc>
        <w:tc>
          <w:tcPr>
            <w:tcW w:w="3827" w:type="dxa"/>
          </w:tcPr>
          <w:p w14:paraId="3FCDA5E4" w14:textId="076B019F" w:rsidR="00266543" w:rsidRDefault="00266543"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Canada</w:t>
            </w:r>
          </w:p>
        </w:tc>
        <w:tc>
          <w:tcPr>
            <w:tcW w:w="1275" w:type="dxa"/>
          </w:tcPr>
          <w:p w14:paraId="4F61E016" w14:textId="2F29EBA8" w:rsidR="00266543" w:rsidRDefault="00266543"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1918–2005</w:t>
            </w:r>
          </w:p>
        </w:tc>
        <w:tc>
          <w:tcPr>
            <w:tcW w:w="2410" w:type="dxa"/>
          </w:tcPr>
          <w:p w14:paraId="78DE9809" w14:textId="76425D07" w:rsidR="00266543" w:rsidRPr="00F46EC0" w:rsidRDefault="00266543"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ENSO, PDO, AO from NCAR/NOAA</w:t>
            </w:r>
          </w:p>
        </w:tc>
        <w:tc>
          <w:tcPr>
            <w:tcW w:w="1417" w:type="dxa"/>
            <w:vMerge/>
            <w:vAlign w:val="center"/>
          </w:tcPr>
          <w:p w14:paraId="0E7B8EA1" w14:textId="578F13F1" w:rsidR="00266543" w:rsidRPr="00F46EC0" w:rsidRDefault="00266543" w:rsidP="00266543">
            <w:pPr>
              <w:rPr>
                <w:rFonts w:asciiTheme="minorHAnsi" w:eastAsia="Aptos" w:hAnsiTheme="minorHAnsi" w:cs="Aptos"/>
                <w:iCs/>
                <w:color w:val="000000" w:themeColor="text1"/>
                <w:sz w:val="20"/>
                <w:szCs w:val="20"/>
              </w:rPr>
            </w:pPr>
          </w:p>
        </w:tc>
        <w:tc>
          <w:tcPr>
            <w:tcW w:w="1242" w:type="dxa"/>
            <w:vMerge/>
            <w:vAlign w:val="center"/>
          </w:tcPr>
          <w:p w14:paraId="351B659F" w14:textId="193137B4" w:rsidR="00266543" w:rsidRDefault="00266543" w:rsidP="00266543">
            <w:pPr>
              <w:rPr>
                <w:rFonts w:asciiTheme="minorHAnsi" w:eastAsia="Aptos" w:hAnsiTheme="minorHAnsi" w:cs="Aptos"/>
                <w:iCs/>
                <w:color w:val="000000" w:themeColor="text1"/>
                <w:sz w:val="20"/>
                <w:szCs w:val="20"/>
              </w:rPr>
            </w:pPr>
          </w:p>
        </w:tc>
      </w:tr>
      <w:tr w:rsidR="00266543" w:rsidRPr="00F46EC0" w14:paraId="4127538F" w14:textId="43A5E7DE" w:rsidTr="000F515E">
        <w:trPr>
          <w:trHeight w:val="300"/>
        </w:trPr>
        <w:tc>
          <w:tcPr>
            <w:tcW w:w="1702" w:type="dxa"/>
          </w:tcPr>
          <w:p w14:paraId="4728D428" w14:textId="2B322498" w:rsidR="00355015" w:rsidRPr="00F46EC0" w:rsidRDefault="00355015"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Cardil et al. (2023)</w:t>
            </w:r>
          </w:p>
        </w:tc>
        <w:tc>
          <w:tcPr>
            <w:tcW w:w="3827" w:type="dxa"/>
          </w:tcPr>
          <w:p w14:paraId="735D12B0" w14:textId="3DB2A59F" w:rsidR="00355015" w:rsidRPr="00F46EC0" w:rsidRDefault="00355015"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Global</w:t>
            </w:r>
          </w:p>
        </w:tc>
        <w:tc>
          <w:tcPr>
            <w:tcW w:w="1275" w:type="dxa"/>
          </w:tcPr>
          <w:p w14:paraId="54A2E62B" w14:textId="0988ACC4" w:rsidR="00355015" w:rsidRPr="00F46EC0" w:rsidRDefault="00355015"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1982–2018</w:t>
            </w:r>
          </w:p>
        </w:tc>
        <w:tc>
          <w:tcPr>
            <w:tcW w:w="2410" w:type="dxa"/>
          </w:tcPr>
          <w:p w14:paraId="0864DF9C" w14:textId="5B58932C" w:rsidR="00355015" w:rsidRPr="00F46EC0" w:rsidRDefault="00355015"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NOAA modes</w:t>
            </w:r>
          </w:p>
        </w:tc>
        <w:tc>
          <w:tcPr>
            <w:tcW w:w="1417" w:type="dxa"/>
            <w:vMerge w:val="restart"/>
            <w:vAlign w:val="center"/>
          </w:tcPr>
          <w:p w14:paraId="090AF8FC" w14:textId="31B56F10" w:rsidR="00355015" w:rsidRPr="00F46EC0" w:rsidRDefault="00355015" w:rsidP="00266543">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Remote sensing</w:t>
            </w:r>
          </w:p>
        </w:tc>
        <w:tc>
          <w:tcPr>
            <w:tcW w:w="1242" w:type="dxa"/>
            <w:vAlign w:val="center"/>
          </w:tcPr>
          <w:p w14:paraId="4EBD0AD6" w14:textId="2205DAEF" w:rsidR="00355015" w:rsidRPr="00F46EC0" w:rsidRDefault="00355015" w:rsidP="00266543">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Burnt area</w:t>
            </w:r>
          </w:p>
        </w:tc>
      </w:tr>
      <w:tr w:rsidR="00266543" w:rsidRPr="00F46EC0" w14:paraId="7EBAB30E" w14:textId="45558FC1" w:rsidTr="000F515E">
        <w:trPr>
          <w:trHeight w:val="300"/>
        </w:trPr>
        <w:tc>
          <w:tcPr>
            <w:tcW w:w="1702" w:type="dxa"/>
          </w:tcPr>
          <w:p w14:paraId="6E4AE686" w14:textId="55ACC13D" w:rsidR="00355015" w:rsidRPr="00F46EC0" w:rsidRDefault="00355015"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Justino et al. (2022)</w:t>
            </w:r>
          </w:p>
        </w:tc>
        <w:tc>
          <w:tcPr>
            <w:tcW w:w="3827" w:type="dxa"/>
          </w:tcPr>
          <w:p w14:paraId="276D4E4B" w14:textId="5F7E26C3" w:rsidR="00355015" w:rsidRPr="00F46EC0" w:rsidRDefault="00355015"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North of 40°N</w:t>
            </w:r>
          </w:p>
        </w:tc>
        <w:tc>
          <w:tcPr>
            <w:tcW w:w="1275" w:type="dxa"/>
          </w:tcPr>
          <w:p w14:paraId="27615D94" w14:textId="05A1EC5F" w:rsidR="00355015" w:rsidRPr="00F46EC0" w:rsidRDefault="00355015"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2001–2020</w:t>
            </w:r>
          </w:p>
        </w:tc>
        <w:tc>
          <w:tcPr>
            <w:tcW w:w="2410" w:type="dxa"/>
          </w:tcPr>
          <w:p w14:paraId="5D4FB16F" w14:textId="2FF5B0B6" w:rsidR="00355015" w:rsidRPr="00F46EC0" w:rsidRDefault="00355015"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AO and PNA from reanalysis</w:t>
            </w:r>
          </w:p>
        </w:tc>
        <w:tc>
          <w:tcPr>
            <w:tcW w:w="1417" w:type="dxa"/>
            <w:vMerge/>
            <w:vAlign w:val="center"/>
          </w:tcPr>
          <w:p w14:paraId="342951B5" w14:textId="4504D4A1" w:rsidR="00355015" w:rsidRPr="00F46EC0" w:rsidRDefault="00355015" w:rsidP="00266543">
            <w:pPr>
              <w:rPr>
                <w:rFonts w:asciiTheme="minorHAnsi" w:eastAsia="Aptos" w:hAnsiTheme="minorHAnsi" w:cs="Aptos"/>
                <w:iCs/>
                <w:color w:val="000000" w:themeColor="text1"/>
                <w:sz w:val="20"/>
                <w:szCs w:val="20"/>
              </w:rPr>
            </w:pPr>
          </w:p>
        </w:tc>
        <w:tc>
          <w:tcPr>
            <w:tcW w:w="1242" w:type="dxa"/>
            <w:vAlign w:val="center"/>
          </w:tcPr>
          <w:p w14:paraId="7E78BB0C" w14:textId="0A22EB89" w:rsidR="00355015" w:rsidRPr="00F46EC0" w:rsidRDefault="00355015" w:rsidP="00266543">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 xml:space="preserve">Fire </w:t>
            </w:r>
            <w:r w:rsidR="00150D89">
              <w:rPr>
                <w:rFonts w:asciiTheme="minorHAnsi" w:eastAsia="Aptos" w:hAnsiTheme="minorHAnsi" w:cs="Aptos"/>
                <w:iCs/>
                <w:color w:val="000000" w:themeColor="text1"/>
                <w:sz w:val="20"/>
                <w:szCs w:val="20"/>
              </w:rPr>
              <w:t>occurrence</w:t>
            </w:r>
          </w:p>
        </w:tc>
      </w:tr>
      <w:tr w:rsidR="00266543" w:rsidRPr="00F46EC0" w14:paraId="292D5202" w14:textId="78ACB6B0" w:rsidTr="000F515E">
        <w:trPr>
          <w:trHeight w:val="300"/>
        </w:trPr>
        <w:tc>
          <w:tcPr>
            <w:tcW w:w="1702" w:type="dxa"/>
          </w:tcPr>
          <w:p w14:paraId="5BD3605A" w14:textId="730F99CC" w:rsidR="00355015" w:rsidRPr="00F46EC0" w:rsidRDefault="00355015"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Mason et al. (2017)</w:t>
            </w:r>
          </w:p>
        </w:tc>
        <w:tc>
          <w:tcPr>
            <w:tcW w:w="3827" w:type="dxa"/>
          </w:tcPr>
          <w:p w14:paraId="0EEE00BE" w14:textId="388C181A" w:rsidR="00355015" w:rsidRPr="00F46EC0" w:rsidRDefault="00355015" w:rsidP="000F515E">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Continental US</w:t>
            </w:r>
          </w:p>
        </w:tc>
        <w:tc>
          <w:tcPr>
            <w:tcW w:w="1275" w:type="dxa"/>
          </w:tcPr>
          <w:p w14:paraId="5B9F2F6C" w14:textId="718573FC" w:rsidR="00355015" w:rsidRPr="00F46EC0" w:rsidRDefault="00355015" w:rsidP="000F515E">
            <w:pPr>
              <w:rPr>
                <w:rFonts w:asciiTheme="minorHAnsi" w:eastAsia="Aptos" w:hAnsiTheme="minorHAnsi" w:cs="Aptos"/>
                <w:iCs/>
                <w:color w:val="000000" w:themeColor="text1"/>
                <w:sz w:val="20"/>
                <w:szCs w:val="20"/>
              </w:rPr>
            </w:pPr>
            <w:r w:rsidRPr="00A57FBA">
              <w:rPr>
                <w:rFonts w:asciiTheme="minorHAnsi" w:eastAsia="Aptos" w:hAnsiTheme="minorHAnsi" w:cs="Aptos"/>
                <w:iCs/>
                <w:color w:val="000000" w:themeColor="text1"/>
                <w:sz w:val="20"/>
                <w:szCs w:val="20"/>
              </w:rPr>
              <w:t>1979</w:t>
            </w:r>
            <w:r>
              <w:rPr>
                <w:rFonts w:asciiTheme="minorHAnsi" w:eastAsia="Aptos" w:hAnsiTheme="minorHAnsi" w:cs="Aptos"/>
                <w:iCs/>
                <w:color w:val="000000" w:themeColor="text1"/>
                <w:sz w:val="20"/>
                <w:szCs w:val="20"/>
              </w:rPr>
              <w:t>–</w:t>
            </w:r>
            <w:r w:rsidRPr="00A57FBA">
              <w:rPr>
                <w:rFonts w:asciiTheme="minorHAnsi" w:eastAsia="Aptos" w:hAnsiTheme="minorHAnsi" w:cs="Aptos"/>
                <w:iCs/>
                <w:color w:val="000000" w:themeColor="text1"/>
                <w:sz w:val="20"/>
                <w:szCs w:val="20"/>
              </w:rPr>
              <w:t>2015</w:t>
            </w:r>
          </w:p>
        </w:tc>
        <w:tc>
          <w:tcPr>
            <w:tcW w:w="2410" w:type="dxa"/>
          </w:tcPr>
          <w:p w14:paraId="04EB1722" w14:textId="27BF82E2" w:rsidR="00355015" w:rsidRPr="00F46EC0" w:rsidRDefault="00355015" w:rsidP="000F515E">
            <w:pPr>
              <w:rPr>
                <w:rFonts w:asciiTheme="minorHAnsi" w:eastAsia="Aptos" w:hAnsiTheme="minorHAnsi" w:cs="Aptos"/>
                <w:iCs/>
                <w:color w:val="000000" w:themeColor="text1"/>
                <w:sz w:val="20"/>
                <w:szCs w:val="20"/>
              </w:rPr>
            </w:pPr>
            <w:r w:rsidRPr="00F46EC0">
              <w:rPr>
                <w:rFonts w:asciiTheme="minorHAnsi" w:eastAsia="Aptos" w:hAnsiTheme="minorHAnsi" w:cs="Aptos"/>
                <w:iCs/>
                <w:color w:val="000000" w:themeColor="text1"/>
                <w:sz w:val="20"/>
                <w:szCs w:val="20"/>
              </w:rPr>
              <w:t>Derived from NCEP NARR</w:t>
            </w:r>
          </w:p>
        </w:tc>
        <w:tc>
          <w:tcPr>
            <w:tcW w:w="1417" w:type="dxa"/>
            <w:vAlign w:val="center"/>
          </w:tcPr>
          <w:p w14:paraId="4A081BF8" w14:textId="03D40049" w:rsidR="00355015" w:rsidRPr="00F46EC0" w:rsidRDefault="00355015" w:rsidP="00266543">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Reanalysis risk index</w:t>
            </w:r>
          </w:p>
        </w:tc>
        <w:tc>
          <w:tcPr>
            <w:tcW w:w="1242" w:type="dxa"/>
            <w:vAlign w:val="center"/>
          </w:tcPr>
          <w:p w14:paraId="14E97D65" w14:textId="4DE516EF" w:rsidR="00355015" w:rsidRPr="00F46EC0" w:rsidRDefault="00355015" w:rsidP="00266543">
            <w:pPr>
              <w:rPr>
                <w:rFonts w:asciiTheme="minorHAnsi" w:eastAsia="Aptos" w:hAnsiTheme="minorHAnsi" w:cs="Aptos"/>
                <w:iCs/>
                <w:color w:val="000000" w:themeColor="text1"/>
                <w:sz w:val="20"/>
                <w:szCs w:val="20"/>
              </w:rPr>
            </w:pPr>
            <w:r>
              <w:rPr>
                <w:rFonts w:asciiTheme="minorHAnsi" w:eastAsia="Aptos" w:hAnsiTheme="minorHAnsi" w:cs="Aptos"/>
                <w:iCs/>
                <w:color w:val="000000" w:themeColor="text1"/>
                <w:sz w:val="20"/>
                <w:szCs w:val="20"/>
              </w:rPr>
              <w:t>Fire danger</w:t>
            </w:r>
          </w:p>
        </w:tc>
      </w:tr>
    </w:tbl>
    <w:p w14:paraId="30DDA7A0" w14:textId="77777777" w:rsidR="00D918B8" w:rsidRPr="002466DB" w:rsidRDefault="006C7150" w:rsidP="00D918B8">
      <w:pPr>
        <w:pStyle w:val="Heading3"/>
        <w:rPr>
          <w:rFonts w:asciiTheme="minorHAnsi" w:hAnsiTheme="minorHAnsi"/>
          <w:b/>
          <w:iCs/>
          <w:color w:val="000000" w:themeColor="text1"/>
        </w:rPr>
      </w:pPr>
      <w:r>
        <w:br w:type="page"/>
      </w:r>
      <w:r w:rsidR="00D918B8">
        <w:rPr>
          <w:rFonts w:asciiTheme="minorHAnsi" w:hAnsiTheme="minorHAnsi"/>
          <w:b/>
          <w:iCs/>
          <w:color w:val="000000" w:themeColor="text1"/>
        </w:rPr>
        <w:t>Supplementary Section 2: Viability of Reanalysis to Find Mode Effects</w:t>
      </w:r>
    </w:p>
    <w:p w14:paraId="42747573" w14:textId="77777777" w:rsidR="00D918B8" w:rsidRDefault="00D918B8" w:rsidP="00D918B8">
      <w:pPr>
        <w:spacing w:after="160" w:line="279" w:lineRule="auto"/>
        <w:jc w:val="center"/>
        <w:rPr>
          <w:color w:val="C00000"/>
        </w:rPr>
      </w:pPr>
      <w:r w:rsidRPr="00A739E4">
        <w:rPr>
          <w:color w:val="C00000"/>
        </w:rPr>
        <w:fldChar w:fldCharType="begin"/>
      </w:r>
      <w:r w:rsidRPr="00A739E4">
        <w:rPr>
          <w:color w:val="C00000"/>
        </w:rPr>
        <w:instrText xml:space="preserve"> INCLUDEPICTURE "/Users/tkeeping/Library/Group Containers/UBF8T346G9.ms/WebArchiveCopyPasteTempFiles/com.microsoft.Word/g8rCHG9K92J9wAAAABJRU5ErkJggg==" \* MERGEFORMATINET </w:instrText>
      </w:r>
      <w:r w:rsidRPr="00A739E4">
        <w:rPr>
          <w:color w:val="C00000"/>
        </w:rPr>
        <w:fldChar w:fldCharType="separate"/>
      </w:r>
      <w:r w:rsidRPr="00A739E4">
        <w:rPr>
          <w:noProof/>
          <w:color w:val="C00000"/>
          <w:lang w:val="en-IN" w:eastAsia="en-IN"/>
        </w:rPr>
        <w:drawing>
          <wp:inline distT="0" distB="0" distL="0" distR="0" wp14:anchorId="10D574A8" wp14:editId="67E918F6">
            <wp:extent cx="4468633" cy="1991229"/>
            <wp:effectExtent l="0" t="0" r="1905" b="3175"/>
            <wp:docPr id="870203283" name="Picture 1"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54651" name="Picture 1" descr="A screenshot of a map&#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7820" cy="2017603"/>
                    </a:xfrm>
                    <a:prstGeom prst="rect">
                      <a:avLst/>
                    </a:prstGeom>
                    <a:noFill/>
                    <a:ln>
                      <a:noFill/>
                    </a:ln>
                  </pic:spPr>
                </pic:pic>
              </a:graphicData>
            </a:graphic>
          </wp:inline>
        </w:drawing>
      </w:r>
      <w:r w:rsidRPr="00A739E4">
        <w:rPr>
          <w:color w:val="C00000"/>
        </w:rPr>
        <w:fldChar w:fldCharType="end"/>
      </w:r>
    </w:p>
    <w:p w14:paraId="08CA8BD5" w14:textId="77777777" w:rsidR="00D918B8" w:rsidRPr="00FD434A" w:rsidRDefault="00D918B8" w:rsidP="00D918B8">
      <w:pPr>
        <w:spacing w:after="160" w:line="279" w:lineRule="auto"/>
        <w:jc w:val="both"/>
        <w:rPr>
          <w:rFonts w:asciiTheme="minorHAnsi" w:hAnsiTheme="minorHAnsi"/>
          <w:bCs/>
          <w:i/>
          <w:color w:val="000000" w:themeColor="text1"/>
        </w:rPr>
      </w:pPr>
      <w:r w:rsidRPr="00FD434A">
        <w:rPr>
          <w:rFonts w:asciiTheme="minorHAnsi" w:hAnsiTheme="minorHAnsi"/>
          <w:bCs/>
          <w:i/>
          <w:color w:val="000000" w:themeColor="text1"/>
        </w:rPr>
        <w:t>Supplementary Figure 2.1: the association between the reanalysis fire model and key climate modes where there is an FDR-corrected statistical significance level of 0.05. The sign and magnitude of the relationship is given by the ratio between the annual number of wildfires in the positive (upper panels) or negative (lower panels) phase – defined as beyond plus or minus half a standard deviation from the mean respectively. The effect of each mode is shown relative to the mean annual number of wildfires – to account for any non-linearity in the effect between phases that would not be captured by linear regression.</w:t>
      </w:r>
    </w:p>
    <w:p w14:paraId="5D630FB1" w14:textId="77777777" w:rsidR="00D918B8" w:rsidRDefault="00D918B8" w:rsidP="00D918B8">
      <w:pPr>
        <w:spacing w:after="160" w:line="279" w:lineRule="auto"/>
        <w:jc w:val="center"/>
        <w:rPr>
          <w:color w:val="C00000"/>
        </w:rPr>
      </w:pPr>
      <w:r w:rsidRPr="00A739E4">
        <w:rPr>
          <w:color w:val="C00000"/>
        </w:rPr>
        <w:fldChar w:fldCharType="begin"/>
      </w:r>
      <w:r w:rsidRPr="00A739E4">
        <w:rPr>
          <w:color w:val="C00000"/>
        </w:rPr>
        <w:instrText xml:space="preserve"> INCLUDEPICTURE "/Users/tkeeping/Library/Group Containers/UBF8T346G9.ms/WebArchiveCopyPasteTempFiles/com.microsoft.Word/sX_5_reanalysis_mode_maps_1_in_1.png" \* MERGEFORMATINET </w:instrText>
      </w:r>
      <w:r w:rsidRPr="00A739E4">
        <w:rPr>
          <w:color w:val="C00000"/>
        </w:rPr>
        <w:fldChar w:fldCharType="separate"/>
      </w:r>
      <w:r w:rsidRPr="00A739E4">
        <w:rPr>
          <w:noProof/>
          <w:color w:val="C00000"/>
          <w:lang w:val="en-IN" w:eastAsia="en-IN"/>
        </w:rPr>
        <w:drawing>
          <wp:inline distT="0" distB="0" distL="0" distR="0" wp14:anchorId="746F7D97" wp14:editId="7431FD18">
            <wp:extent cx="4532243" cy="2017064"/>
            <wp:effectExtent l="0" t="0" r="1905" b="2540"/>
            <wp:docPr id="1945906012" name="Picture 6"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26513" name="Picture 6" descr="A map of the united state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53727" cy="2026625"/>
                    </a:xfrm>
                    <a:prstGeom prst="rect">
                      <a:avLst/>
                    </a:prstGeom>
                    <a:noFill/>
                    <a:ln>
                      <a:noFill/>
                    </a:ln>
                  </pic:spPr>
                </pic:pic>
              </a:graphicData>
            </a:graphic>
          </wp:inline>
        </w:drawing>
      </w:r>
      <w:r w:rsidRPr="00A739E4">
        <w:rPr>
          <w:color w:val="C00000"/>
        </w:rPr>
        <w:fldChar w:fldCharType="end"/>
      </w:r>
    </w:p>
    <w:p w14:paraId="3C5DE4AC" w14:textId="77777777" w:rsidR="00D918B8" w:rsidRPr="00FD434A" w:rsidRDefault="00D918B8" w:rsidP="00D918B8">
      <w:pPr>
        <w:spacing w:after="160" w:line="279" w:lineRule="auto"/>
        <w:jc w:val="both"/>
        <w:rPr>
          <w:rFonts w:asciiTheme="minorHAnsi" w:hAnsiTheme="minorHAnsi"/>
          <w:bCs/>
          <w:i/>
          <w:color w:val="000000" w:themeColor="text1"/>
        </w:rPr>
      </w:pPr>
      <w:r w:rsidRPr="00FD434A">
        <w:rPr>
          <w:rFonts w:asciiTheme="minorHAnsi" w:hAnsiTheme="minorHAnsi"/>
          <w:bCs/>
          <w:i/>
          <w:color w:val="000000" w:themeColor="text1"/>
        </w:rPr>
        <w:t xml:space="preserve">Supplementary Figure 2.2: the association between the reanalysis fire model and key climate </w:t>
      </w:r>
      <w:proofErr w:type="spellStart"/>
      <w:r w:rsidRPr="00FD434A">
        <w:rPr>
          <w:rFonts w:asciiTheme="minorHAnsi" w:hAnsiTheme="minorHAnsi"/>
          <w:bCs/>
          <w:i/>
          <w:color w:val="000000" w:themeColor="text1"/>
        </w:rPr>
        <w:t>modes</w:t>
      </w:r>
      <w:proofErr w:type="spellEnd"/>
      <w:r w:rsidRPr="00FD434A">
        <w:rPr>
          <w:rFonts w:asciiTheme="minorHAnsi" w:hAnsiTheme="minorHAnsi"/>
          <w:bCs/>
          <w:i/>
          <w:color w:val="000000" w:themeColor="text1"/>
        </w:rPr>
        <w:t xml:space="preserve"> with no level of statistical significance prescribed. The sign and magnitude of the relationship is given by the ratio between the annual number of wildfires in the positive (upper panels) or negative (lower panels) phase – defined as beyond plus or minus half a standard deviation from the mean respectively. The effect of each mode is shown relative to the mean annual number of wildfires – to account for any non-linearity in the effect between phases that would not be captured by linear regression.</w:t>
      </w:r>
      <w:r w:rsidRPr="00FD434A">
        <w:rPr>
          <w:rFonts w:asciiTheme="minorHAnsi" w:hAnsiTheme="minorHAnsi"/>
          <w:bCs/>
          <w:i/>
          <w:color w:val="000000" w:themeColor="text1"/>
        </w:rPr>
        <w:br w:type="page"/>
      </w:r>
    </w:p>
    <w:p w14:paraId="791A7F7C" w14:textId="77777777" w:rsidR="00D918B8" w:rsidRDefault="00D918B8" w:rsidP="00D918B8">
      <w:pPr>
        <w:spacing w:after="160" w:line="279" w:lineRule="auto"/>
        <w:jc w:val="center"/>
      </w:pPr>
      <w:r>
        <w:fldChar w:fldCharType="begin"/>
      </w:r>
      <w:r>
        <w:instrText xml:space="preserve"> INCLUDEPICTURE "/Users/tkeeping/Library/Group Containers/UBF8T346G9.ms/WebArchiveCopyPasteTempFiles/com.microsoft.Word/gAAAABJRU5ErkJggg==" \* MERGEFORMATINET </w:instrText>
      </w:r>
      <w:r>
        <w:fldChar w:fldCharType="separate"/>
      </w:r>
      <w:r>
        <w:rPr>
          <w:noProof/>
          <w:lang w:val="en-IN" w:eastAsia="en-IN"/>
        </w:rPr>
        <w:drawing>
          <wp:inline distT="0" distB="0" distL="0" distR="0" wp14:anchorId="3CC7697F" wp14:editId="4926F6A4">
            <wp:extent cx="4490112" cy="2002790"/>
            <wp:effectExtent l="0" t="0" r="5715" b="3810"/>
            <wp:docPr id="109344290"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6105" name="Picture 2" descr="A screenshot of a graph&#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52531" cy="2030632"/>
                    </a:xfrm>
                    <a:prstGeom prst="rect">
                      <a:avLst/>
                    </a:prstGeom>
                    <a:noFill/>
                    <a:ln>
                      <a:noFill/>
                    </a:ln>
                  </pic:spPr>
                </pic:pic>
              </a:graphicData>
            </a:graphic>
          </wp:inline>
        </w:drawing>
      </w:r>
      <w:r>
        <w:fldChar w:fldCharType="end"/>
      </w:r>
    </w:p>
    <w:p w14:paraId="0899B28F" w14:textId="77777777" w:rsidR="00D918B8" w:rsidRPr="00FD434A" w:rsidRDefault="00D918B8" w:rsidP="00D918B8">
      <w:pPr>
        <w:spacing w:after="160" w:line="279" w:lineRule="auto"/>
        <w:jc w:val="both"/>
        <w:rPr>
          <w:rFonts w:asciiTheme="minorHAnsi" w:hAnsiTheme="minorHAnsi"/>
          <w:bCs/>
          <w:i/>
          <w:color w:val="000000" w:themeColor="text1"/>
        </w:rPr>
      </w:pPr>
      <w:r w:rsidRPr="00FD434A">
        <w:rPr>
          <w:rFonts w:asciiTheme="minorHAnsi" w:hAnsiTheme="minorHAnsi"/>
          <w:bCs/>
          <w:i/>
          <w:color w:val="000000" w:themeColor="text1"/>
        </w:rPr>
        <w:t>Supplementary Figure 2.3: the association between the FPA FOD fire occurrence data and key climate modes to an FDR-corrected significance of 0.05. The sign and magnitude of the relationship is given by the ratio between the annual number of wildfires in the positive (upper panels) or negative (lower panels) phase – defined as beyond plus or minus half a standard deviation from the mean respectively. The effect of each mode is shown relative to the mean annual number of wildfires – to account for any non-linearity in the effect between phases that would not be captured by linear regression. Note that the FPA FOD starts at 1992, hence the curtailed time period.</w:t>
      </w:r>
    </w:p>
    <w:p w14:paraId="0B63CAD4" w14:textId="77777777" w:rsidR="00D918B8" w:rsidRDefault="00D918B8" w:rsidP="00D918B8">
      <w:pPr>
        <w:spacing w:after="160" w:line="279" w:lineRule="auto"/>
        <w:jc w:val="center"/>
        <w:rPr>
          <w:color w:val="C00000"/>
        </w:rPr>
      </w:pPr>
      <w:r w:rsidRPr="00757A88">
        <w:rPr>
          <w:color w:val="C00000"/>
        </w:rPr>
        <w:fldChar w:fldCharType="begin"/>
      </w:r>
      <w:r w:rsidRPr="00757A88">
        <w:rPr>
          <w:color w:val="C00000"/>
        </w:rPr>
        <w:instrText xml:space="preserve"> INCLUDEPICTURE "/Users/tkeeping/Library/Group Containers/UBF8T346G9.ms/WebArchiveCopyPasteTempFiles/com.microsoft.Word/ALuRlL0YHGwjAAAAAElFTkSuQmCC" \* MERGEFORMATINET </w:instrText>
      </w:r>
      <w:r w:rsidRPr="00757A88">
        <w:rPr>
          <w:color w:val="C00000"/>
        </w:rPr>
        <w:fldChar w:fldCharType="separate"/>
      </w:r>
      <w:r w:rsidRPr="00757A88">
        <w:rPr>
          <w:noProof/>
          <w:color w:val="C00000"/>
          <w:lang w:val="en-IN" w:eastAsia="en-IN"/>
        </w:rPr>
        <w:drawing>
          <wp:inline distT="0" distB="0" distL="0" distR="0" wp14:anchorId="76D0D2AF" wp14:editId="40915C84">
            <wp:extent cx="4490085" cy="2002780"/>
            <wp:effectExtent l="0" t="0" r="0" b="4445"/>
            <wp:docPr id="454030699"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79637" name="Picture 1" descr="A map of the united state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03474" cy="2053357"/>
                    </a:xfrm>
                    <a:prstGeom prst="rect">
                      <a:avLst/>
                    </a:prstGeom>
                    <a:noFill/>
                    <a:ln>
                      <a:noFill/>
                    </a:ln>
                  </pic:spPr>
                </pic:pic>
              </a:graphicData>
            </a:graphic>
          </wp:inline>
        </w:drawing>
      </w:r>
      <w:r w:rsidRPr="00757A88">
        <w:rPr>
          <w:color w:val="C00000"/>
        </w:rPr>
        <w:fldChar w:fldCharType="end"/>
      </w:r>
    </w:p>
    <w:p w14:paraId="0E68E74F" w14:textId="77777777" w:rsidR="00D918B8" w:rsidRPr="00FD434A" w:rsidRDefault="00D918B8" w:rsidP="00D918B8">
      <w:pPr>
        <w:spacing w:after="160" w:line="279" w:lineRule="auto"/>
        <w:jc w:val="both"/>
        <w:rPr>
          <w:rFonts w:asciiTheme="minorHAnsi" w:hAnsiTheme="minorHAnsi"/>
          <w:bCs/>
          <w:i/>
          <w:color w:val="000000" w:themeColor="text1"/>
        </w:rPr>
      </w:pPr>
      <w:r w:rsidRPr="00FD434A">
        <w:rPr>
          <w:rFonts w:asciiTheme="minorHAnsi" w:hAnsiTheme="minorHAnsi"/>
          <w:bCs/>
          <w:i/>
          <w:color w:val="000000" w:themeColor="text1"/>
        </w:rPr>
        <w:t>Supplementary Figure 2.4: the association between the FPA FOD fire occurrence data and key climate modes when no significance level is considered. High levels of noise and areas with insufficient data mean that a trend cannot be identified. The sign and magnitude of the relationship is given by the ratio between the annual number of wildfires in the positive (upper panels) or negative (lower panels) phase – defined as beyond plus or minus half a standard deviation from the mean respectively. The effect of each mode is shown relative to the mean annual number of wildfires – to account for any non-linearity in the effect between phases that would not be captured by linear regression. Note that the FPA FOD starts at 1992, hence the curtailed time period.</w:t>
      </w:r>
    </w:p>
    <w:p w14:paraId="697E6F54" w14:textId="77777777" w:rsidR="00D918B8" w:rsidRDefault="00D918B8" w:rsidP="00D918B8">
      <w:pPr>
        <w:spacing w:after="160" w:line="279" w:lineRule="auto"/>
        <w:jc w:val="center"/>
        <w:rPr>
          <w:rFonts w:asciiTheme="minorHAnsi" w:hAnsiTheme="minorHAnsi"/>
          <w:bCs/>
          <w:iCs/>
          <w:color w:val="000000" w:themeColor="text1"/>
        </w:rPr>
      </w:pPr>
      <w:r>
        <w:rPr>
          <w:rFonts w:ascii="Aptos" w:hAnsi="Aptos"/>
          <w:i/>
          <w:iCs/>
          <w:noProof/>
          <w:color w:val="C00000"/>
          <w:lang w:val="en-IN" w:eastAsia="en-IN"/>
          <w14:ligatures w14:val="standardContextual"/>
        </w:rPr>
        <w:drawing>
          <wp:inline distT="0" distB="0" distL="0" distR="0" wp14:anchorId="6A75625A" wp14:editId="344B103B">
            <wp:extent cx="4859001" cy="3290176"/>
            <wp:effectExtent l="0" t="0" r="5715" b="0"/>
            <wp:docPr id="1573914991" name="Picture 2" descr="A chart of a comparison of a positive ph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564347" name="Picture 2" descr="A chart of a comparison of a positive phas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4820" cy="3300888"/>
                    </a:xfrm>
                    <a:prstGeom prst="rect">
                      <a:avLst/>
                    </a:prstGeom>
                  </pic:spPr>
                </pic:pic>
              </a:graphicData>
            </a:graphic>
          </wp:inline>
        </w:drawing>
      </w:r>
    </w:p>
    <w:p w14:paraId="3281DB1C" w14:textId="77777777" w:rsidR="00D918B8" w:rsidRPr="00FD434A" w:rsidRDefault="00D918B8" w:rsidP="00D918B8">
      <w:pPr>
        <w:spacing w:after="160" w:line="279" w:lineRule="auto"/>
        <w:jc w:val="both"/>
        <w:rPr>
          <w:rFonts w:asciiTheme="minorHAnsi" w:hAnsiTheme="minorHAnsi"/>
          <w:bCs/>
          <w:i/>
          <w:color w:val="000000" w:themeColor="text1"/>
        </w:rPr>
      </w:pPr>
      <w:r w:rsidRPr="00FD434A">
        <w:rPr>
          <w:rFonts w:asciiTheme="minorHAnsi" w:hAnsiTheme="minorHAnsi"/>
          <w:bCs/>
          <w:i/>
          <w:color w:val="000000" w:themeColor="text1"/>
        </w:rPr>
        <w:t>Supplementary Figure 2.5: The distribution of the modelled annual number of wildfires for the recent climate ensemble under different mode phases compared to the distribution of all years, per Shen et al. (2025). The dots show the actual mean value of modelled annual fires. The boxplots show the distribution of the mean number of annual fires, drawn from the distribution of years but with the same sample size as the number of years in that phase in the reanalysis period – repeated 10,000 times. The outer limits of the boxplots represent the 2.5th and 97.5th percentiles, and the three internal lines correspond to the 25th, 50th and 75th percentiles of the bootstrapped distribution.</w:t>
      </w:r>
    </w:p>
    <w:p w14:paraId="3A3B5187" w14:textId="77777777" w:rsidR="00D918B8" w:rsidRPr="008801F3" w:rsidRDefault="00D918B8" w:rsidP="00D918B8">
      <w:pPr>
        <w:pStyle w:val="Heading3"/>
        <w:rPr>
          <w:rFonts w:asciiTheme="minorHAnsi" w:hAnsiTheme="minorHAnsi"/>
          <w:b/>
          <w:iCs/>
          <w:color w:val="000000" w:themeColor="text1"/>
        </w:rPr>
      </w:pPr>
      <w:r>
        <w:rPr>
          <w:rFonts w:asciiTheme="minorHAnsi" w:hAnsiTheme="minorHAnsi"/>
          <w:bCs/>
          <w:iCs/>
          <w:color w:val="000000" w:themeColor="text1"/>
        </w:rPr>
        <w:br w:type="page"/>
      </w:r>
      <w:r>
        <w:rPr>
          <w:rFonts w:asciiTheme="minorHAnsi" w:hAnsiTheme="minorHAnsi"/>
          <w:b/>
          <w:iCs/>
          <w:color w:val="000000" w:themeColor="text1"/>
        </w:rPr>
        <w:t>Supplementary Section 3: Context on Regions and Climate Change Signal</w:t>
      </w:r>
    </w:p>
    <w:p w14:paraId="10B386AE" w14:textId="77777777" w:rsidR="00D918B8" w:rsidRDefault="00D918B8" w:rsidP="00D918B8">
      <w:pPr>
        <w:spacing w:after="160" w:line="279" w:lineRule="auto"/>
        <w:jc w:val="center"/>
        <w:rPr>
          <w:rFonts w:asciiTheme="minorHAnsi" w:hAnsiTheme="minorHAnsi"/>
          <w:b/>
          <w:iCs/>
          <w:color w:val="000000" w:themeColor="text1"/>
        </w:rPr>
      </w:pPr>
      <w:r w:rsidRPr="000A2DCD">
        <w:rPr>
          <w:rFonts w:ascii="Aptos" w:hAnsi="Aptos"/>
          <w:i/>
          <w:iCs/>
          <w:noProof/>
          <w:color w:val="C00000"/>
          <w:lang w:val="en-IN" w:eastAsia="en-IN"/>
        </w:rPr>
        <w:drawing>
          <wp:inline distT="0" distB="0" distL="0" distR="0" wp14:anchorId="6A19E53E" wp14:editId="7E7C6133">
            <wp:extent cx="4789283" cy="2402070"/>
            <wp:effectExtent l="0" t="0" r="0" b="0"/>
            <wp:docPr id="1498388388"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44577" name="Picture 1" descr="A map of the united states&#10;&#10;AI-generated content may be incorrect."/>
                    <pic:cNvPicPr/>
                  </pic:nvPicPr>
                  <pic:blipFill>
                    <a:blip r:embed="rId14"/>
                    <a:stretch>
                      <a:fillRect/>
                    </a:stretch>
                  </pic:blipFill>
                  <pic:spPr>
                    <a:xfrm>
                      <a:off x="0" y="0"/>
                      <a:ext cx="4819769" cy="2417360"/>
                    </a:xfrm>
                    <a:prstGeom prst="rect">
                      <a:avLst/>
                    </a:prstGeom>
                  </pic:spPr>
                </pic:pic>
              </a:graphicData>
            </a:graphic>
          </wp:inline>
        </w:drawing>
      </w:r>
    </w:p>
    <w:p w14:paraId="5242847F" w14:textId="77777777" w:rsidR="00D918B8" w:rsidRPr="00FD434A" w:rsidRDefault="00D918B8" w:rsidP="00D918B8">
      <w:pPr>
        <w:spacing w:after="160" w:line="279" w:lineRule="auto"/>
        <w:jc w:val="both"/>
        <w:rPr>
          <w:rFonts w:asciiTheme="minorHAnsi" w:hAnsiTheme="minorHAnsi"/>
          <w:bCs/>
          <w:i/>
          <w:color w:val="000000" w:themeColor="text1"/>
        </w:rPr>
      </w:pPr>
      <w:r w:rsidRPr="00FD434A">
        <w:rPr>
          <w:rFonts w:asciiTheme="minorHAnsi" w:hAnsiTheme="minorHAnsi"/>
          <w:bCs/>
          <w:i/>
          <w:color w:val="000000" w:themeColor="text1"/>
        </w:rPr>
        <w:t>Supplementary Figure 3.1: Reproduced from Keeping et al. (2025). Modelled and observed patterns in the annual number of wildfires greater than 0.1 hectares, with both the mean and 1st-99th percentile spread shown. The plots show (a) the observed annual mean of the wildfire occurrence record for 1992–2020; (b) the modelled reanalysis mean for 1990–2019; (c) the modelled ensemble mean for the modern (2000–2009 climate); (d) the modelled ensemble spread for the modern; (e) the ratio of model spread and mean for the ensemble modern; (f) the +2°C ensemble mean (2000–2009 climate plus 2°C of warming); (g) the +2°C ensemble spread; and (h) the ratio of model spread and mean for the +2°C ensemble. Note that the FPA FOD starts at 1992, hence the slightly curtailed time period.</w:t>
      </w:r>
    </w:p>
    <w:p w14:paraId="5CE1DA52" w14:textId="77777777" w:rsidR="00D918B8" w:rsidRDefault="00D918B8" w:rsidP="00D918B8">
      <w:pPr>
        <w:spacing w:after="160" w:line="279" w:lineRule="auto"/>
        <w:jc w:val="center"/>
      </w:pPr>
      <w:r>
        <w:fldChar w:fldCharType="begin"/>
      </w:r>
      <w:r>
        <w:instrText xml:space="preserve"> INCLUDEPICTURE "/Users/tkeeping/Library/Group Containers/UBF8T346G9.ms/WebArchiveCopyPasteTempFiles/com.microsoft.Word/h9T+IZjgTu4PAAAAABJRU5ErkJggg==" \* MERGEFORMATINET </w:instrText>
      </w:r>
      <w:r>
        <w:fldChar w:fldCharType="separate"/>
      </w:r>
      <w:r>
        <w:rPr>
          <w:noProof/>
          <w:lang w:val="en-IN" w:eastAsia="en-IN"/>
        </w:rPr>
        <w:drawing>
          <wp:inline distT="0" distB="0" distL="0" distR="0" wp14:anchorId="04A9D97E" wp14:editId="030962E9">
            <wp:extent cx="5082988" cy="1724927"/>
            <wp:effectExtent l="0" t="0" r="0" b="2540"/>
            <wp:docPr id="1611272219" name="Picture 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542997" name="Picture 3" descr="A screenshot of a computer screen&#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7008" cy="1733078"/>
                    </a:xfrm>
                    <a:prstGeom prst="rect">
                      <a:avLst/>
                    </a:prstGeom>
                    <a:noFill/>
                    <a:ln>
                      <a:noFill/>
                    </a:ln>
                  </pic:spPr>
                </pic:pic>
              </a:graphicData>
            </a:graphic>
          </wp:inline>
        </w:drawing>
      </w:r>
      <w:r>
        <w:fldChar w:fldCharType="end"/>
      </w:r>
    </w:p>
    <w:p w14:paraId="5F8161FD" w14:textId="77777777" w:rsidR="00D918B8" w:rsidRPr="00FD434A" w:rsidRDefault="00D918B8" w:rsidP="00D918B8">
      <w:pPr>
        <w:spacing w:after="160" w:line="279" w:lineRule="auto"/>
        <w:jc w:val="both"/>
        <w:rPr>
          <w:rFonts w:asciiTheme="minorHAnsi" w:eastAsiaTheme="majorEastAsia" w:hAnsiTheme="minorHAnsi" w:cstheme="majorBidi"/>
          <w:bCs/>
          <w:i/>
          <w:color w:val="000000" w:themeColor="text1"/>
          <w:sz w:val="28"/>
          <w:szCs w:val="28"/>
        </w:rPr>
      </w:pPr>
      <w:r w:rsidRPr="00FD434A">
        <w:rPr>
          <w:rFonts w:asciiTheme="minorHAnsi" w:hAnsiTheme="minorHAnsi"/>
          <w:bCs/>
          <w:i/>
          <w:color w:val="000000" w:themeColor="text1"/>
        </w:rPr>
        <w:t>Supplementary Figure 3.2: an overview of (a) the ecoregions and (b) the National Interagency Fire Center Geographic Area Coordination Center (NIFC GACC) regions referred to in this study.</w:t>
      </w:r>
      <w:r w:rsidRPr="00FD434A">
        <w:rPr>
          <w:rFonts w:asciiTheme="minorHAnsi" w:hAnsiTheme="minorHAnsi"/>
          <w:bCs/>
          <w:i/>
          <w:color w:val="000000" w:themeColor="text1"/>
        </w:rPr>
        <w:br w:type="page"/>
      </w:r>
    </w:p>
    <w:p w14:paraId="18F688D3" w14:textId="547C9027" w:rsidR="007918E9" w:rsidRPr="00D40E8A" w:rsidRDefault="006C7150" w:rsidP="00D40E8A">
      <w:pPr>
        <w:pStyle w:val="Heading3"/>
        <w:rPr>
          <w:rFonts w:asciiTheme="minorHAnsi" w:hAnsiTheme="minorHAnsi"/>
          <w:b/>
          <w:iCs/>
          <w:color w:val="000000" w:themeColor="text1"/>
        </w:rPr>
      </w:pPr>
      <w:r>
        <w:rPr>
          <w:rFonts w:asciiTheme="minorHAnsi" w:hAnsiTheme="minorHAnsi"/>
          <w:b/>
          <w:iCs/>
          <w:color w:val="000000" w:themeColor="text1"/>
        </w:rPr>
        <w:t xml:space="preserve">Supplementary Section </w:t>
      </w:r>
      <w:r w:rsidR="009104E7">
        <w:rPr>
          <w:rFonts w:asciiTheme="minorHAnsi" w:hAnsiTheme="minorHAnsi"/>
          <w:b/>
          <w:iCs/>
          <w:color w:val="000000" w:themeColor="text1"/>
        </w:rPr>
        <w:t>4</w:t>
      </w:r>
      <w:r>
        <w:rPr>
          <w:rFonts w:asciiTheme="minorHAnsi" w:hAnsiTheme="minorHAnsi"/>
          <w:b/>
          <w:iCs/>
          <w:color w:val="000000" w:themeColor="text1"/>
        </w:rPr>
        <w:t>: Bias Correction Performance</w:t>
      </w:r>
    </w:p>
    <w:p w14:paraId="1F67F2A3" w14:textId="49B30812" w:rsidR="00AD1013" w:rsidRPr="00207935" w:rsidRDefault="00AD1013" w:rsidP="00F05D32">
      <w:pPr>
        <w:spacing w:before="160" w:after="80" w:line="278" w:lineRule="auto"/>
        <w:jc w:val="both"/>
        <w:rPr>
          <w:rFonts w:asciiTheme="minorHAnsi" w:hAnsiTheme="minorHAnsi"/>
          <w:bCs/>
          <w:i/>
        </w:rPr>
      </w:pPr>
      <w:r w:rsidRPr="00207935">
        <w:rPr>
          <w:rFonts w:asciiTheme="minorHAnsi" w:hAnsiTheme="minorHAnsi"/>
          <w:bCs/>
          <w:i/>
        </w:rPr>
        <w:t xml:space="preserve">Supplementary Table </w:t>
      </w:r>
      <w:r w:rsidR="009104E7">
        <w:rPr>
          <w:rFonts w:asciiTheme="minorHAnsi" w:hAnsiTheme="minorHAnsi"/>
          <w:bCs/>
          <w:i/>
        </w:rPr>
        <w:t>4</w:t>
      </w:r>
      <w:r w:rsidR="004027C6" w:rsidRPr="00207935">
        <w:rPr>
          <w:rFonts w:asciiTheme="minorHAnsi" w:hAnsiTheme="minorHAnsi"/>
          <w:bCs/>
          <w:i/>
        </w:rPr>
        <w:t>.1</w:t>
      </w:r>
      <w:r w:rsidRPr="00207935">
        <w:rPr>
          <w:rFonts w:asciiTheme="minorHAnsi" w:hAnsiTheme="minorHAnsi"/>
          <w:i/>
        </w:rPr>
        <w:t xml:space="preserve">: KNMI-LENTIS bias correction performance statistics in comparison to ERA5 data for input into fire occurrence model. Based on correlation of top four moments for data aggregated monthly at 2π * ensemble resolution. The variables are mean daily surface </w:t>
      </w:r>
      <w:proofErr w:type="spellStart"/>
      <w:r w:rsidRPr="00207935">
        <w:rPr>
          <w:rFonts w:asciiTheme="minorHAnsi" w:hAnsiTheme="minorHAnsi"/>
          <w:i/>
        </w:rPr>
        <w:t>windspeed</w:t>
      </w:r>
      <w:proofErr w:type="spellEnd"/>
      <w:r w:rsidRPr="00207935">
        <w:rPr>
          <w:rFonts w:asciiTheme="minorHAnsi" w:hAnsiTheme="minorHAnsi"/>
          <w:i/>
        </w:rPr>
        <w:t xml:space="preserve"> (</w:t>
      </w:r>
      <w:proofErr w:type="spellStart"/>
      <w:r w:rsidRPr="00207935">
        <w:rPr>
          <w:rFonts w:asciiTheme="minorHAnsi" w:hAnsiTheme="minorHAnsi"/>
          <w:i/>
        </w:rPr>
        <w:t>sfcwind</w:t>
      </w:r>
      <w:proofErr w:type="spellEnd"/>
      <w:r w:rsidRPr="00207935">
        <w:rPr>
          <w:rFonts w:asciiTheme="minorHAnsi" w:hAnsiTheme="minorHAnsi"/>
          <w:i/>
        </w:rPr>
        <w:t>); daytime mean vapour pressure deficit (</w:t>
      </w:r>
      <w:proofErr w:type="spellStart"/>
      <w:r w:rsidRPr="00207935">
        <w:rPr>
          <w:rFonts w:asciiTheme="minorHAnsi" w:hAnsiTheme="minorHAnsi"/>
          <w:i/>
        </w:rPr>
        <w:t>vpd</w:t>
      </w:r>
      <w:proofErr w:type="spellEnd"/>
      <w:r w:rsidRPr="00207935">
        <w:rPr>
          <w:rFonts w:asciiTheme="minorHAnsi" w:hAnsiTheme="minorHAnsi"/>
          <w:i/>
        </w:rPr>
        <w:t>); diurnal temperature range (</w:t>
      </w:r>
      <w:proofErr w:type="spellStart"/>
      <w:r w:rsidRPr="00207935">
        <w:rPr>
          <w:rFonts w:asciiTheme="minorHAnsi" w:hAnsiTheme="minorHAnsi"/>
          <w:i/>
        </w:rPr>
        <w:t>dtr</w:t>
      </w:r>
      <w:proofErr w:type="spellEnd"/>
      <w:r w:rsidRPr="00207935">
        <w:rPr>
          <w:rFonts w:asciiTheme="minorHAnsi" w:hAnsiTheme="minorHAnsi"/>
          <w:i/>
        </w:rPr>
        <w:t>); precipitation (</w:t>
      </w:r>
      <w:proofErr w:type="spellStart"/>
      <w:r w:rsidRPr="00207935">
        <w:rPr>
          <w:rFonts w:asciiTheme="minorHAnsi" w:hAnsiTheme="minorHAnsi"/>
          <w:i/>
        </w:rPr>
        <w:t>pr</w:t>
      </w:r>
      <w:proofErr w:type="spellEnd"/>
      <w:r w:rsidRPr="00207935">
        <w:rPr>
          <w:rFonts w:asciiTheme="minorHAnsi" w:hAnsiTheme="minorHAnsi"/>
          <w:i/>
        </w:rPr>
        <w:t>); prior 5-day precipitation (pr_5d); prior 50-day GPP (GPP_50d); prior year GPP (GPP_1yr).</w:t>
      </w:r>
    </w:p>
    <w:tbl>
      <w:tblPr>
        <w:tblStyle w:val="TableGrid"/>
        <w:tblW w:w="0" w:type="auto"/>
        <w:tblLayout w:type="fixed"/>
        <w:tblLook w:val="04A0" w:firstRow="1" w:lastRow="0" w:firstColumn="1" w:lastColumn="0" w:noHBand="0" w:noVBand="1"/>
      </w:tblPr>
      <w:tblGrid>
        <w:gridCol w:w="1320"/>
        <w:gridCol w:w="1080"/>
        <w:gridCol w:w="810"/>
        <w:gridCol w:w="810"/>
        <w:gridCol w:w="810"/>
        <w:gridCol w:w="810"/>
        <w:gridCol w:w="1005"/>
        <w:gridCol w:w="1230"/>
        <w:gridCol w:w="1185"/>
      </w:tblGrid>
      <w:tr w:rsidR="00AD1013" w:rsidRPr="00A410DB" w14:paraId="368BEE73" w14:textId="77777777" w:rsidTr="00736618">
        <w:trPr>
          <w:trHeight w:val="360"/>
        </w:trPr>
        <w:tc>
          <w:tcPr>
            <w:tcW w:w="1320" w:type="dxa"/>
            <w:tcBorders>
              <w:top w:val="single" w:sz="8" w:space="0" w:color="auto"/>
              <w:left w:val="single" w:sz="8" w:space="0" w:color="auto"/>
              <w:bottom w:val="single" w:sz="8" w:space="0" w:color="000000" w:themeColor="text1"/>
              <w:right w:val="single" w:sz="8" w:space="0" w:color="000000" w:themeColor="text1"/>
            </w:tcBorders>
            <w:tcMar>
              <w:left w:w="105" w:type="dxa"/>
              <w:right w:w="105" w:type="dxa"/>
            </w:tcMar>
          </w:tcPr>
          <w:p w14:paraId="71D42091" w14:textId="77777777" w:rsidR="00AD1013" w:rsidRPr="00A410DB" w:rsidRDefault="00AD1013" w:rsidP="00D40E8A">
            <w:pPr>
              <w:rPr>
                <w:rFonts w:asciiTheme="minorHAnsi" w:hAnsiTheme="minorHAnsi"/>
                <w:bCs/>
                <w:iCs/>
                <w:sz w:val="22"/>
                <w:szCs w:val="22"/>
              </w:rPr>
            </w:pPr>
            <w:r w:rsidRPr="00A410DB">
              <w:rPr>
                <w:rFonts w:asciiTheme="minorHAnsi" w:hAnsiTheme="minorHAnsi"/>
                <w:bCs/>
                <w:iCs/>
                <w:sz w:val="22"/>
                <w:szCs w:val="22"/>
              </w:rPr>
              <w:t>R</w:t>
            </w:r>
            <w:r w:rsidRPr="00A410DB">
              <w:rPr>
                <w:rFonts w:asciiTheme="minorHAnsi" w:hAnsiTheme="minorHAnsi"/>
                <w:bCs/>
                <w:iCs/>
                <w:sz w:val="22"/>
                <w:szCs w:val="22"/>
                <w:vertAlign w:val="superscript"/>
              </w:rPr>
              <w:t>2</w:t>
            </w:r>
            <w:r w:rsidRPr="00A410DB">
              <w:rPr>
                <w:rFonts w:asciiTheme="minorHAnsi" w:hAnsiTheme="minorHAnsi"/>
                <w:bCs/>
                <w:iCs/>
                <w:sz w:val="22"/>
                <w:szCs w:val="22"/>
              </w:rPr>
              <w:t xml:space="preserve"> </w:t>
            </w:r>
          </w:p>
        </w:tc>
        <w:tc>
          <w:tcPr>
            <w:tcW w:w="1080" w:type="dxa"/>
            <w:tcBorders>
              <w:top w:val="single" w:sz="8" w:space="0" w:color="auto"/>
              <w:left w:val="single" w:sz="8" w:space="0" w:color="000000" w:themeColor="text1"/>
              <w:bottom w:val="single" w:sz="8" w:space="0" w:color="000000" w:themeColor="text1"/>
              <w:right w:val="single" w:sz="8" w:space="0" w:color="000000" w:themeColor="text1"/>
            </w:tcBorders>
            <w:tcMar>
              <w:left w:w="105" w:type="dxa"/>
              <w:right w:w="105" w:type="dxa"/>
            </w:tcMar>
          </w:tcPr>
          <w:p w14:paraId="71F25435" w14:textId="77777777" w:rsidR="00AD1013" w:rsidRPr="00A410DB" w:rsidRDefault="00AD1013" w:rsidP="00D40E8A">
            <w:pPr>
              <w:rPr>
                <w:rFonts w:asciiTheme="minorHAnsi" w:hAnsiTheme="minorHAnsi"/>
                <w:bCs/>
                <w:iCs/>
                <w:sz w:val="22"/>
                <w:szCs w:val="22"/>
              </w:rPr>
            </w:pPr>
            <w:proofErr w:type="spellStart"/>
            <w:r w:rsidRPr="00A410DB">
              <w:rPr>
                <w:rFonts w:asciiTheme="minorHAnsi" w:hAnsiTheme="minorHAnsi"/>
                <w:bCs/>
                <w:iCs/>
                <w:sz w:val="22"/>
                <w:szCs w:val="22"/>
              </w:rPr>
              <w:t>sfcwind</w:t>
            </w:r>
            <w:proofErr w:type="spellEnd"/>
          </w:p>
        </w:tc>
        <w:tc>
          <w:tcPr>
            <w:tcW w:w="810" w:type="dxa"/>
            <w:tcBorders>
              <w:top w:val="single" w:sz="8" w:space="0" w:color="auto"/>
              <w:left w:val="single" w:sz="8" w:space="0" w:color="000000" w:themeColor="text1"/>
              <w:bottom w:val="single" w:sz="8" w:space="0" w:color="000000" w:themeColor="text1"/>
              <w:right w:val="single" w:sz="8" w:space="0" w:color="000000" w:themeColor="text1"/>
            </w:tcBorders>
            <w:tcMar>
              <w:left w:w="105" w:type="dxa"/>
              <w:right w:w="105" w:type="dxa"/>
            </w:tcMar>
          </w:tcPr>
          <w:p w14:paraId="789566EB" w14:textId="4B7644B2" w:rsidR="00AD1013" w:rsidRPr="00A410DB" w:rsidRDefault="00386377" w:rsidP="00D40E8A">
            <w:pPr>
              <w:rPr>
                <w:rFonts w:asciiTheme="minorHAnsi" w:hAnsiTheme="minorHAnsi"/>
                <w:bCs/>
                <w:iCs/>
                <w:sz w:val="22"/>
                <w:szCs w:val="22"/>
              </w:rPr>
            </w:pPr>
            <w:proofErr w:type="spellStart"/>
            <w:r>
              <w:rPr>
                <w:rFonts w:asciiTheme="minorHAnsi" w:hAnsiTheme="minorHAnsi"/>
                <w:bCs/>
                <w:iCs/>
                <w:sz w:val="22"/>
                <w:szCs w:val="22"/>
              </w:rPr>
              <w:t>v</w:t>
            </w:r>
            <w:r w:rsidR="00AD1013" w:rsidRPr="00A410DB">
              <w:rPr>
                <w:rFonts w:asciiTheme="minorHAnsi" w:hAnsiTheme="minorHAnsi"/>
                <w:bCs/>
                <w:iCs/>
                <w:sz w:val="22"/>
                <w:szCs w:val="22"/>
              </w:rPr>
              <w:t>pd</w:t>
            </w:r>
            <w:proofErr w:type="spellEnd"/>
          </w:p>
        </w:tc>
        <w:tc>
          <w:tcPr>
            <w:tcW w:w="810" w:type="dxa"/>
            <w:tcBorders>
              <w:top w:val="single" w:sz="8" w:space="0" w:color="auto"/>
              <w:left w:val="single" w:sz="8" w:space="0" w:color="000000" w:themeColor="text1"/>
              <w:bottom w:val="single" w:sz="8" w:space="0" w:color="000000" w:themeColor="text1"/>
              <w:right w:val="single" w:sz="8" w:space="0" w:color="000000" w:themeColor="text1"/>
            </w:tcBorders>
            <w:tcMar>
              <w:left w:w="105" w:type="dxa"/>
              <w:right w:w="105" w:type="dxa"/>
            </w:tcMar>
          </w:tcPr>
          <w:p w14:paraId="169A3458" w14:textId="77777777" w:rsidR="00AD1013" w:rsidRPr="00A410DB" w:rsidRDefault="00AD1013" w:rsidP="00D40E8A">
            <w:pPr>
              <w:rPr>
                <w:rFonts w:asciiTheme="minorHAnsi" w:hAnsiTheme="minorHAnsi"/>
                <w:bCs/>
                <w:iCs/>
                <w:sz w:val="22"/>
                <w:szCs w:val="22"/>
              </w:rPr>
            </w:pPr>
            <w:proofErr w:type="spellStart"/>
            <w:r w:rsidRPr="00A410DB">
              <w:rPr>
                <w:rFonts w:asciiTheme="minorHAnsi" w:hAnsiTheme="minorHAnsi"/>
                <w:bCs/>
                <w:iCs/>
                <w:sz w:val="22"/>
                <w:szCs w:val="22"/>
              </w:rPr>
              <w:t>dtr</w:t>
            </w:r>
            <w:proofErr w:type="spellEnd"/>
          </w:p>
        </w:tc>
        <w:tc>
          <w:tcPr>
            <w:tcW w:w="810" w:type="dxa"/>
            <w:tcBorders>
              <w:top w:val="single" w:sz="8" w:space="0" w:color="auto"/>
              <w:left w:val="single" w:sz="8" w:space="0" w:color="000000" w:themeColor="text1"/>
              <w:bottom w:val="single" w:sz="8" w:space="0" w:color="000000" w:themeColor="text1"/>
              <w:right w:val="single" w:sz="8" w:space="0" w:color="000000" w:themeColor="text1"/>
            </w:tcBorders>
            <w:tcMar>
              <w:left w:w="105" w:type="dxa"/>
              <w:right w:w="105" w:type="dxa"/>
            </w:tcMar>
          </w:tcPr>
          <w:p w14:paraId="34D6C7E5" w14:textId="710CA24A" w:rsidR="00AD1013" w:rsidRPr="00A410DB" w:rsidRDefault="000F515E" w:rsidP="00D40E8A">
            <w:pPr>
              <w:rPr>
                <w:rFonts w:asciiTheme="minorHAnsi" w:hAnsiTheme="minorHAnsi"/>
                <w:bCs/>
                <w:iCs/>
                <w:sz w:val="22"/>
                <w:szCs w:val="22"/>
              </w:rPr>
            </w:pPr>
            <w:proofErr w:type="spellStart"/>
            <w:r>
              <w:rPr>
                <w:rFonts w:asciiTheme="minorHAnsi" w:hAnsiTheme="minorHAnsi"/>
                <w:bCs/>
                <w:iCs/>
                <w:sz w:val="22"/>
                <w:szCs w:val="22"/>
              </w:rPr>
              <w:t>s</w:t>
            </w:r>
            <w:r w:rsidR="00AD1013" w:rsidRPr="00A410DB">
              <w:rPr>
                <w:rFonts w:asciiTheme="minorHAnsi" w:hAnsiTheme="minorHAnsi"/>
                <w:bCs/>
                <w:iCs/>
                <w:sz w:val="22"/>
                <w:szCs w:val="22"/>
              </w:rPr>
              <w:t>nc</w:t>
            </w:r>
            <w:proofErr w:type="spellEnd"/>
          </w:p>
        </w:tc>
        <w:tc>
          <w:tcPr>
            <w:tcW w:w="810" w:type="dxa"/>
            <w:tcBorders>
              <w:top w:val="single" w:sz="8" w:space="0" w:color="auto"/>
              <w:left w:val="single" w:sz="8" w:space="0" w:color="000000" w:themeColor="text1"/>
              <w:bottom w:val="single" w:sz="8" w:space="0" w:color="000000" w:themeColor="text1"/>
              <w:right w:val="single" w:sz="8" w:space="0" w:color="000000" w:themeColor="text1"/>
            </w:tcBorders>
            <w:tcMar>
              <w:left w:w="105" w:type="dxa"/>
              <w:right w:w="105" w:type="dxa"/>
            </w:tcMar>
          </w:tcPr>
          <w:p w14:paraId="2EBF7150" w14:textId="77777777" w:rsidR="00AD1013" w:rsidRPr="00A410DB" w:rsidRDefault="00AD1013" w:rsidP="00D40E8A">
            <w:pPr>
              <w:rPr>
                <w:rFonts w:asciiTheme="minorHAnsi" w:hAnsiTheme="minorHAnsi"/>
                <w:bCs/>
                <w:iCs/>
                <w:sz w:val="22"/>
                <w:szCs w:val="22"/>
              </w:rPr>
            </w:pPr>
            <w:r w:rsidRPr="00A410DB">
              <w:rPr>
                <w:rFonts w:asciiTheme="minorHAnsi" w:hAnsiTheme="minorHAnsi"/>
                <w:bCs/>
                <w:iCs/>
                <w:sz w:val="22"/>
                <w:szCs w:val="22"/>
              </w:rPr>
              <w:t>pr</w:t>
            </w:r>
          </w:p>
        </w:tc>
        <w:tc>
          <w:tcPr>
            <w:tcW w:w="1005" w:type="dxa"/>
            <w:tcBorders>
              <w:top w:val="single" w:sz="8" w:space="0" w:color="auto"/>
              <w:left w:val="single" w:sz="8" w:space="0" w:color="000000" w:themeColor="text1"/>
              <w:bottom w:val="single" w:sz="8" w:space="0" w:color="000000" w:themeColor="text1"/>
              <w:right w:val="single" w:sz="8" w:space="0" w:color="000000" w:themeColor="text1"/>
            </w:tcBorders>
            <w:tcMar>
              <w:left w:w="105" w:type="dxa"/>
              <w:right w:w="105" w:type="dxa"/>
            </w:tcMar>
          </w:tcPr>
          <w:p w14:paraId="016ACABB" w14:textId="77777777" w:rsidR="00AD1013" w:rsidRPr="00A410DB" w:rsidRDefault="00AD1013" w:rsidP="00D40E8A">
            <w:pPr>
              <w:rPr>
                <w:rFonts w:asciiTheme="minorHAnsi" w:hAnsiTheme="minorHAnsi"/>
                <w:bCs/>
                <w:iCs/>
                <w:sz w:val="22"/>
                <w:szCs w:val="22"/>
              </w:rPr>
            </w:pPr>
            <w:r w:rsidRPr="00A410DB">
              <w:rPr>
                <w:rFonts w:asciiTheme="minorHAnsi" w:hAnsiTheme="minorHAnsi"/>
                <w:bCs/>
                <w:iCs/>
                <w:sz w:val="22"/>
                <w:szCs w:val="22"/>
              </w:rPr>
              <w:t>pr_5d</w:t>
            </w:r>
          </w:p>
        </w:tc>
        <w:tc>
          <w:tcPr>
            <w:tcW w:w="1230" w:type="dxa"/>
            <w:tcBorders>
              <w:top w:val="single" w:sz="8" w:space="0" w:color="auto"/>
              <w:left w:val="single" w:sz="8" w:space="0" w:color="000000" w:themeColor="text1"/>
              <w:bottom w:val="single" w:sz="8" w:space="0" w:color="000000" w:themeColor="text1"/>
              <w:right w:val="single" w:sz="8" w:space="0" w:color="000000" w:themeColor="text1"/>
            </w:tcBorders>
            <w:tcMar>
              <w:left w:w="105" w:type="dxa"/>
              <w:right w:w="105" w:type="dxa"/>
            </w:tcMar>
          </w:tcPr>
          <w:p w14:paraId="78F0120A" w14:textId="77777777" w:rsidR="00AD1013" w:rsidRPr="00A410DB" w:rsidRDefault="00AD1013" w:rsidP="00D40E8A">
            <w:pPr>
              <w:rPr>
                <w:rFonts w:asciiTheme="minorHAnsi" w:hAnsiTheme="minorHAnsi"/>
                <w:bCs/>
                <w:iCs/>
                <w:sz w:val="22"/>
                <w:szCs w:val="22"/>
              </w:rPr>
            </w:pPr>
            <w:r w:rsidRPr="00A410DB">
              <w:rPr>
                <w:rFonts w:asciiTheme="minorHAnsi" w:hAnsiTheme="minorHAnsi"/>
                <w:bCs/>
                <w:iCs/>
                <w:sz w:val="22"/>
                <w:szCs w:val="22"/>
              </w:rPr>
              <w:t>GPP_50d</w:t>
            </w:r>
          </w:p>
        </w:tc>
        <w:tc>
          <w:tcPr>
            <w:tcW w:w="1185" w:type="dxa"/>
            <w:tcBorders>
              <w:top w:val="single" w:sz="8" w:space="0" w:color="auto"/>
              <w:left w:val="single" w:sz="8" w:space="0" w:color="000000" w:themeColor="text1"/>
              <w:bottom w:val="single" w:sz="8" w:space="0" w:color="000000" w:themeColor="text1"/>
              <w:right w:val="single" w:sz="8" w:space="0" w:color="auto"/>
            </w:tcBorders>
            <w:tcMar>
              <w:left w:w="105" w:type="dxa"/>
              <w:right w:w="105" w:type="dxa"/>
            </w:tcMar>
          </w:tcPr>
          <w:p w14:paraId="2CF10CFC" w14:textId="77777777" w:rsidR="00AD1013" w:rsidRPr="00A410DB" w:rsidRDefault="00AD1013" w:rsidP="00D40E8A">
            <w:pPr>
              <w:rPr>
                <w:rFonts w:asciiTheme="minorHAnsi" w:hAnsiTheme="minorHAnsi"/>
                <w:bCs/>
                <w:iCs/>
                <w:sz w:val="22"/>
                <w:szCs w:val="22"/>
              </w:rPr>
            </w:pPr>
            <w:r w:rsidRPr="00A410DB">
              <w:rPr>
                <w:rFonts w:asciiTheme="minorHAnsi" w:hAnsiTheme="minorHAnsi"/>
                <w:bCs/>
                <w:iCs/>
                <w:sz w:val="22"/>
                <w:szCs w:val="22"/>
              </w:rPr>
              <w:t>GPP_1yr</w:t>
            </w:r>
          </w:p>
        </w:tc>
      </w:tr>
      <w:tr w:rsidR="00AD1013" w:rsidRPr="00A410DB" w14:paraId="666F5D16" w14:textId="77777777" w:rsidTr="00736618">
        <w:trPr>
          <w:trHeight w:val="300"/>
        </w:trPr>
        <w:tc>
          <w:tcPr>
            <w:tcW w:w="132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31476F85" w14:textId="77777777" w:rsidR="00AD1013" w:rsidRPr="00A410DB" w:rsidRDefault="00AD1013" w:rsidP="00D40E8A">
            <w:pPr>
              <w:rPr>
                <w:rFonts w:asciiTheme="minorHAnsi" w:hAnsiTheme="minorHAnsi"/>
                <w:bCs/>
                <w:iCs/>
                <w:sz w:val="22"/>
                <w:szCs w:val="22"/>
              </w:rPr>
            </w:pPr>
            <w:r w:rsidRPr="00A410DB">
              <w:rPr>
                <w:rFonts w:asciiTheme="minorHAnsi" w:hAnsiTheme="minorHAnsi"/>
                <w:bCs/>
                <w:iCs/>
                <w:sz w:val="22"/>
                <w:szCs w:val="22"/>
              </w:rPr>
              <w:t>Mean</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C8E0E92"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0.922</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0D1B4EF"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0.987</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816E9A6"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0.983</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20E6152"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0.994</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CB83C5C"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0.985</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42F090C2"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0.985</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1EE2C22"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0.881</w:t>
            </w:r>
          </w:p>
        </w:tc>
        <w:tc>
          <w:tcPr>
            <w:tcW w:w="1185"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491FDD08"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0.773</w:t>
            </w:r>
          </w:p>
        </w:tc>
      </w:tr>
      <w:tr w:rsidR="00AD1013" w:rsidRPr="00A410DB" w14:paraId="07C5F233" w14:textId="77777777" w:rsidTr="00736618">
        <w:trPr>
          <w:trHeight w:val="300"/>
        </w:trPr>
        <w:tc>
          <w:tcPr>
            <w:tcW w:w="132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59530562" w14:textId="77777777" w:rsidR="00AD1013" w:rsidRPr="00A410DB" w:rsidRDefault="00AD1013" w:rsidP="00D40E8A">
            <w:pPr>
              <w:rPr>
                <w:rFonts w:asciiTheme="minorHAnsi" w:hAnsiTheme="minorHAnsi"/>
                <w:bCs/>
                <w:iCs/>
                <w:sz w:val="22"/>
                <w:szCs w:val="22"/>
              </w:rPr>
            </w:pPr>
            <w:r w:rsidRPr="00A410DB">
              <w:rPr>
                <w:rFonts w:asciiTheme="minorHAnsi" w:hAnsiTheme="minorHAnsi"/>
                <w:bCs/>
                <w:iCs/>
                <w:sz w:val="22"/>
                <w:szCs w:val="22"/>
              </w:rPr>
              <w:t>Variance</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61026C1F"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0.567</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34FAD434"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0.812</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5AB9ACC"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0.684</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35E37A8"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0.409</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08A270A"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0.726</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4F08599D"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0.771</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E62B19C"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&lt;0</w:t>
            </w:r>
          </w:p>
        </w:tc>
        <w:tc>
          <w:tcPr>
            <w:tcW w:w="1185"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7B4456E1"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&lt;0</w:t>
            </w:r>
          </w:p>
        </w:tc>
      </w:tr>
      <w:tr w:rsidR="00AD1013" w:rsidRPr="00A410DB" w14:paraId="3F3557DA" w14:textId="77777777" w:rsidTr="00736618">
        <w:trPr>
          <w:trHeight w:val="300"/>
        </w:trPr>
        <w:tc>
          <w:tcPr>
            <w:tcW w:w="1320" w:type="dxa"/>
            <w:tcBorders>
              <w:top w:val="single" w:sz="8" w:space="0" w:color="000000" w:themeColor="text1"/>
              <w:left w:val="single" w:sz="8" w:space="0" w:color="auto"/>
              <w:bottom w:val="single" w:sz="8" w:space="0" w:color="000000" w:themeColor="text1"/>
              <w:right w:val="single" w:sz="8" w:space="0" w:color="000000" w:themeColor="text1"/>
            </w:tcBorders>
            <w:tcMar>
              <w:left w:w="105" w:type="dxa"/>
              <w:right w:w="105" w:type="dxa"/>
            </w:tcMar>
          </w:tcPr>
          <w:p w14:paraId="4FE936C3" w14:textId="77777777" w:rsidR="00AD1013" w:rsidRPr="00A410DB" w:rsidRDefault="00AD1013" w:rsidP="00D40E8A">
            <w:pPr>
              <w:rPr>
                <w:rFonts w:asciiTheme="minorHAnsi" w:hAnsiTheme="minorHAnsi"/>
                <w:bCs/>
                <w:iCs/>
                <w:sz w:val="22"/>
                <w:szCs w:val="22"/>
              </w:rPr>
            </w:pPr>
            <w:r w:rsidRPr="00A410DB">
              <w:rPr>
                <w:rFonts w:asciiTheme="minorHAnsi" w:hAnsiTheme="minorHAnsi"/>
                <w:bCs/>
                <w:iCs/>
                <w:sz w:val="22"/>
                <w:szCs w:val="22"/>
              </w:rPr>
              <w:t>Skewness</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40E6C56F"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0.073</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031110F"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&lt;0</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5684F35"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0.741</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DB3672B"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0.098</w:t>
            </w:r>
          </w:p>
        </w:tc>
        <w:tc>
          <w:tcPr>
            <w:tcW w:w="8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68997F7"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0.110</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797B32C"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0.307</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1C19407"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&lt;0</w:t>
            </w:r>
          </w:p>
        </w:tc>
        <w:tc>
          <w:tcPr>
            <w:tcW w:w="1185" w:type="dxa"/>
            <w:tcBorders>
              <w:top w:val="single" w:sz="8" w:space="0" w:color="000000" w:themeColor="text1"/>
              <w:left w:val="single" w:sz="8" w:space="0" w:color="000000" w:themeColor="text1"/>
              <w:bottom w:val="single" w:sz="8" w:space="0" w:color="000000" w:themeColor="text1"/>
              <w:right w:val="single" w:sz="8" w:space="0" w:color="auto"/>
            </w:tcBorders>
            <w:tcMar>
              <w:left w:w="105" w:type="dxa"/>
              <w:right w:w="105" w:type="dxa"/>
            </w:tcMar>
          </w:tcPr>
          <w:p w14:paraId="4A587961"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0.531</w:t>
            </w:r>
          </w:p>
        </w:tc>
      </w:tr>
      <w:tr w:rsidR="00AD1013" w:rsidRPr="00A410DB" w14:paraId="7CABC5E9" w14:textId="77777777" w:rsidTr="00736618">
        <w:trPr>
          <w:trHeight w:val="300"/>
        </w:trPr>
        <w:tc>
          <w:tcPr>
            <w:tcW w:w="1320" w:type="dxa"/>
            <w:tcBorders>
              <w:top w:val="single" w:sz="8" w:space="0" w:color="000000" w:themeColor="text1"/>
              <w:left w:val="single" w:sz="8" w:space="0" w:color="auto"/>
              <w:bottom w:val="single" w:sz="8" w:space="0" w:color="auto"/>
              <w:right w:val="single" w:sz="8" w:space="0" w:color="000000" w:themeColor="text1"/>
            </w:tcBorders>
            <w:tcMar>
              <w:left w:w="105" w:type="dxa"/>
              <w:right w:w="105" w:type="dxa"/>
            </w:tcMar>
          </w:tcPr>
          <w:p w14:paraId="7C782952" w14:textId="77777777" w:rsidR="00AD1013" w:rsidRPr="00A410DB" w:rsidRDefault="00AD1013" w:rsidP="00D40E8A">
            <w:pPr>
              <w:rPr>
                <w:rFonts w:asciiTheme="minorHAnsi" w:hAnsiTheme="minorHAnsi"/>
                <w:bCs/>
                <w:iCs/>
                <w:sz w:val="22"/>
                <w:szCs w:val="22"/>
              </w:rPr>
            </w:pPr>
            <w:r w:rsidRPr="00A410DB">
              <w:rPr>
                <w:rFonts w:asciiTheme="minorHAnsi" w:hAnsiTheme="minorHAnsi"/>
                <w:bCs/>
                <w:iCs/>
                <w:sz w:val="22"/>
                <w:szCs w:val="22"/>
              </w:rPr>
              <w:t>Kurtosis</w:t>
            </w:r>
          </w:p>
        </w:tc>
        <w:tc>
          <w:tcPr>
            <w:tcW w:w="1080" w:type="dxa"/>
            <w:tcBorders>
              <w:top w:val="single" w:sz="8" w:space="0" w:color="000000" w:themeColor="text1"/>
              <w:left w:val="single" w:sz="8" w:space="0" w:color="000000" w:themeColor="text1"/>
              <w:bottom w:val="single" w:sz="8" w:space="0" w:color="auto"/>
              <w:right w:val="single" w:sz="8" w:space="0" w:color="000000" w:themeColor="text1"/>
            </w:tcBorders>
            <w:tcMar>
              <w:left w:w="105" w:type="dxa"/>
              <w:right w:w="105" w:type="dxa"/>
            </w:tcMar>
          </w:tcPr>
          <w:p w14:paraId="28D63AE8"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0.020</w:t>
            </w:r>
          </w:p>
        </w:tc>
        <w:tc>
          <w:tcPr>
            <w:tcW w:w="810" w:type="dxa"/>
            <w:tcBorders>
              <w:top w:val="single" w:sz="8" w:space="0" w:color="000000" w:themeColor="text1"/>
              <w:left w:val="single" w:sz="8" w:space="0" w:color="000000" w:themeColor="text1"/>
              <w:bottom w:val="single" w:sz="8" w:space="0" w:color="auto"/>
              <w:right w:val="single" w:sz="8" w:space="0" w:color="000000" w:themeColor="text1"/>
            </w:tcBorders>
            <w:tcMar>
              <w:left w:w="105" w:type="dxa"/>
              <w:right w:w="105" w:type="dxa"/>
            </w:tcMar>
          </w:tcPr>
          <w:p w14:paraId="3D9EA362"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&lt;0</w:t>
            </w:r>
          </w:p>
        </w:tc>
        <w:tc>
          <w:tcPr>
            <w:tcW w:w="810" w:type="dxa"/>
            <w:tcBorders>
              <w:top w:val="single" w:sz="8" w:space="0" w:color="000000" w:themeColor="text1"/>
              <w:left w:val="single" w:sz="8" w:space="0" w:color="000000" w:themeColor="text1"/>
              <w:bottom w:val="single" w:sz="8" w:space="0" w:color="auto"/>
              <w:right w:val="single" w:sz="8" w:space="0" w:color="000000" w:themeColor="text1"/>
            </w:tcBorders>
            <w:tcMar>
              <w:left w:w="105" w:type="dxa"/>
              <w:right w:w="105" w:type="dxa"/>
            </w:tcMar>
          </w:tcPr>
          <w:p w14:paraId="09EEBCEC"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0.052</w:t>
            </w:r>
          </w:p>
        </w:tc>
        <w:tc>
          <w:tcPr>
            <w:tcW w:w="810" w:type="dxa"/>
            <w:tcBorders>
              <w:top w:val="single" w:sz="8" w:space="0" w:color="000000" w:themeColor="text1"/>
              <w:left w:val="single" w:sz="8" w:space="0" w:color="000000" w:themeColor="text1"/>
              <w:bottom w:val="single" w:sz="8" w:space="0" w:color="auto"/>
              <w:right w:val="single" w:sz="8" w:space="0" w:color="000000" w:themeColor="text1"/>
            </w:tcBorders>
            <w:tcMar>
              <w:left w:w="105" w:type="dxa"/>
              <w:right w:w="105" w:type="dxa"/>
            </w:tcMar>
          </w:tcPr>
          <w:p w14:paraId="26D266CE"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&lt;0</w:t>
            </w:r>
          </w:p>
        </w:tc>
        <w:tc>
          <w:tcPr>
            <w:tcW w:w="810" w:type="dxa"/>
            <w:tcBorders>
              <w:top w:val="single" w:sz="8" w:space="0" w:color="000000" w:themeColor="text1"/>
              <w:left w:val="single" w:sz="8" w:space="0" w:color="000000" w:themeColor="text1"/>
              <w:bottom w:val="single" w:sz="8" w:space="0" w:color="auto"/>
              <w:right w:val="single" w:sz="8" w:space="0" w:color="000000" w:themeColor="text1"/>
            </w:tcBorders>
            <w:tcMar>
              <w:left w:w="105" w:type="dxa"/>
              <w:right w:w="105" w:type="dxa"/>
            </w:tcMar>
          </w:tcPr>
          <w:p w14:paraId="70BEA1BC"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&lt;0</w:t>
            </w:r>
          </w:p>
        </w:tc>
        <w:tc>
          <w:tcPr>
            <w:tcW w:w="1005" w:type="dxa"/>
            <w:tcBorders>
              <w:top w:val="single" w:sz="8" w:space="0" w:color="000000" w:themeColor="text1"/>
              <w:left w:val="single" w:sz="8" w:space="0" w:color="000000" w:themeColor="text1"/>
              <w:bottom w:val="single" w:sz="8" w:space="0" w:color="auto"/>
              <w:right w:val="single" w:sz="8" w:space="0" w:color="000000" w:themeColor="text1"/>
            </w:tcBorders>
            <w:tcMar>
              <w:left w:w="105" w:type="dxa"/>
              <w:right w:w="105" w:type="dxa"/>
            </w:tcMar>
          </w:tcPr>
          <w:p w14:paraId="5C4F8C47"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&lt;0</w:t>
            </w:r>
          </w:p>
        </w:tc>
        <w:tc>
          <w:tcPr>
            <w:tcW w:w="1230" w:type="dxa"/>
            <w:tcBorders>
              <w:top w:val="single" w:sz="8" w:space="0" w:color="000000" w:themeColor="text1"/>
              <w:left w:val="single" w:sz="8" w:space="0" w:color="000000" w:themeColor="text1"/>
              <w:bottom w:val="single" w:sz="8" w:space="0" w:color="auto"/>
              <w:right w:val="single" w:sz="8" w:space="0" w:color="000000" w:themeColor="text1"/>
            </w:tcBorders>
            <w:tcMar>
              <w:left w:w="105" w:type="dxa"/>
              <w:right w:w="105" w:type="dxa"/>
            </w:tcMar>
          </w:tcPr>
          <w:p w14:paraId="72C557AE"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&lt;0</w:t>
            </w:r>
          </w:p>
        </w:tc>
        <w:tc>
          <w:tcPr>
            <w:tcW w:w="1185" w:type="dxa"/>
            <w:tcBorders>
              <w:top w:val="single" w:sz="8" w:space="0" w:color="000000" w:themeColor="text1"/>
              <w:left w:val="single" w:sz="8" w:space="0" w:color="000000" w:themeColor="text1"/>
              <w:bottom w:val="single" w:sz="8" w:space="0" w:color="auto"/>
              <w:right w:val="single" w:sz="8" w:space="0" w:color="auto"/>
            </w:tcBorders>
            <w:tcMar>
              <w:left w:w="105" w:type="dxa"/>
              <w:right w:w="105" w:type="dxa"/>
            </w:tcMar>
          </w:tcPr>
          <w:p w14:paraId="17C1B0E3" w14:textId="77777777" w:rsidR="00AD1013" w:rsidRPr="00A410DB" w:rsidRDefault="00AD1013" w:rsidP="00D40E8A">
            <w:pPr>
              <w:rPr>
                <w:rFonts w:asciiTheme="minorHAnsi" w:hAnsiTheme="minorHAnsi"/>
                <w:iCs/>
                <w:sz w:val="22"/>
                <w:szCs w:val="22"/>
              </w:rPr>
            </w:pPr>
            <w:r w:rsidRPr="00A410DB">
              <w:rPr>
                <w:rFonts w:asciiTheme="minorHAnsi" w:hAnsiTheme="minorHAnsi"/>
                <w:iCs/>
                <w:sz w:val="22"/>
                <w:szCs w:val="22"/>
              </w:rPr>
              <w:t>0.266</w:t>
            </w:r>
          </w:p>
        </w:tc>
      </w:tr>
    </w:tbl>
    <w:p w14:paraId="5CBD410B" w14:textId="6120D706" w:rsidR="0005042E" w:rsidRPr="00F05D32" w:rsidRDefault="00AD1013" w:rsidP="00F05D32">
      <w:pPr>
        <w:spacing w:before="160" w:after="80" w:line="279" w:lineRule="auto"/>
        <w:rPr>
          <w:rFonts w:asciiTheme="minorHAnsi" w:hAnsiTheme="minorHAnsi"/>
          <w:iCs/>
        </w:rPr>
      </w:pPr>
      <w:r>
        <w:rPr>
          <w:rFonts w:asciiTheme="minorHAnsi" w:hAnsiTheme="minorHAnsi"/>
          <w:iCs/>
        </w:rPr>
        <w:br w:type="page"/>
      </w:r>
    </w:p>
    <w:p w14:paraId="1F72A8D2" w14:textId="74497FEA" w:rsidR="0005042E" w:rsidRPr="00F05D32" w:rsidRDefault="0037152B" w:rsidP="00F05D32">
      <w:pPr>
        <w:pStyle w:val="Heading3"/>
        <w:rPr>
          <w:rFonts w:asciiTheme="minorHAnsi" w:hAnsiTheme="minorHAnsi"/>
          <w:b/>
          <w:iCs/>
          <w:color w:val="000000" w:themeColor="text1"/>
        </w:rPr>
      </w:pPr>
      <w:r>
        <w:rPr>
          <w:rFonts w:asciiTheme="minorHAnsi" w:hAnsiTheme="minorHAnsi"/>
          <w:b/>
          <w:iCs/>
          <w:color w:val="000000" w:themeColor="text1"/>
        </w:rPr>
        <w:t xml:space="preserve">Supplementary Section </w:t>
      </w:r>
      <w:r w:rsidR="009104E7">
        <w:rPr>
          <w:rFonts w:asciiTheme="minorHAnsi" w:hAnsiTheme="minorHAnsi"/>
          <w:b/>
          <w:iCs/>
          <w:color w:val="000000" w:themeColor="text1"/>
        </w:rPr>
        <w:t>5</w:t>
      </w:r>
      <w:r>
        <w:rPr>
          <w:rFonts w:asciiTheme="minorHAnsi" w:hAnsiTheme="minorHAnsi"/>
          <w:b/>
          <w:iCs/>
          <w:color w:val="000000" w:themeColor="text1"/>
        </w:rPr>
        <w:t xml:space="preserve">: </w:t>
      </w:r>
      <w:r w:rsidR="0005042E">
        <w:rPr>
          <w:rFonts w:asciiTheme="minorHAnsi" w:hAnsiTheme="minorHAnsi"/>
          <w:b/>
          <w:iCs/>
          <w:color w:val="000000" w:themeColor="text1"/>
        </w:rPr>
        <w:t>Global Climate Mode Representation</w:t>
      </w:r>
      <w:r>
        <w:rPr>
          <w:rFonts w:asciiTheme="minorHAnsi" w:hAnsiTheme="minorHAnsi"/>
          <w:b/>
          <w:iCs/>
          <w:color w:val="000000" w:themeColor="text1"/>
        </w:rPr>
        <w:t xml:space="preserve"> in KNMI-LENTIS</w:t>
      </w:r>
    </w:p>
    <w:p w14:paraId="2941FAA5" w14:textId="6E273D32" w:rsidR="00302EAE" w:rsidRPr="00EF7E33" w:rsidRDefault="007E5062" w:rsidP="00F05D32">
      <w:pPr>
        <w:spacing w:before="360" w:after="80"/>
        <w:rPr>
          <w:rFonts w:asciiTheme="minorHAnsi" w:hAnsiTheme="minorHAnsi"/>
          <w:bCs/>
          <w:iCs/>
        </w:rPr>
      </w:pPr>
      <w:r>
        <w:rPr>
          <w:rFonts w:asciiTheme="minorHAnsi" w:hAnsiTheme="minorHAnsi"/>
          <w:bCs/>
          <w:iCs/>
        </w:rPr>
        <w:t xml:space="preserve">Supplementary Figures </w:t>
      </w:r>
      <w:r w:rsidR="009104E7">
        <w:rPr>
          <w:rFonts w:asciiTheme="minorHAnsi" w:hAnsiTheme="minorHAnsi"/>
          <w:bCs/>
          <w:iCs/>
        </w:rPr>
        <w:t>5</w:t>
      </w:r>
      <w:r>
        <w:rPr>
          <w:rFonts w:asciiTheme="minorHAnsi" w:hAnsiTheme="minorHAnsi"/>
          <w:bCs/>
          <w:iCs/>
        </w:rPr>
        <w:t>.1-</w:t>
      </w:r>
      <w:r w:rsidR="009104E7">
        <w:rPr>
          <w:rFonts w:asciiTheme="minorHAnsi" w:hAnsiTheme="minorHAnsi"/>
          <w:bCs/>
          <w:iCs/>
        </w:rPr>
        <w:t>5</w:t>
      </w:r>
      <w:r>
        <w:rPr>
          <w:rFonts w:asciiTheme="minorHAnsi" w:hAnsiTheme="minorHAnsi"/>
          <w:bCs/>
          <w:iCs/>
        </w:rPr>
        <w:t>.11 show</w:t>
      </w:r>
      <w:r w:rsidR="00542C40">
        <w:rPr>
          <w:rFonts w:asciiTheme="minorHAnsi" w:hAnsiTheme="minorHAnsi"/>
          <w:bCs/>
          <w:iCs/>
        </w:rPr>
        <w:t xml:space="preserve"> that </w:t>
      </w:r>
      <w:r>
        <w:rPr>
          <w:rFonts w:asciiTheme="minorHAnsi" w:hAnsiTheme="minorHAnsi"/>
          <w:bCs/>
          <w:iCs/>
        </w:rPr>
        <w:t>t</w:t>
      </w:r>
      <w:r w:rsidR="00F05D32">
        <w:rPr>
          <w:rFonts w:asciiTheme="minorHAnsi" w:hAnsiTheme="minorHAnsi"/>
          <w:bCs/>
          <w:iCs/>
        </w:rPr>
        <w:t xml:space="preserve">he </w:t>
      </w:r>
      <w:r w:rsidR="00542C40">
        <w:rPr>
          <w:rFonts w:asciiTheme="minorHAnsi" w:hAnsiTheme="minorHAnsi"/>
          <w:bCs/>
          <w:iCs/>
        </w:rPr>
        <w:t>Sea Level Pressure (</w:t>
      </w:r>
      <w:r w:rsidR="00F96817">
        <w:rPr>
          <w:rFonts w:asciiTheme="minorHAnsi" w:hAnsiTheme="minorHAnsi"/>
          <w:bCs/>
          <w:iCs/>
        </w:rPr>
        <w:t>SLP</w:t>
      </w:r>
      <w:r w:rsidR="00542C40">
        <w:rPr>
          <w:rFonts w:asciiTheme="minorHAnsi" w:hAnsiTheme="minorHAnsi"/>
          <w:bCs/>
          <w:iCs/>
        </w:rPr>
        <w:t>)</w:t>
      </w:r>
      <w:r w:rsidR="00F96817">
        <w:rPr>
          <w:rFonts w:asciiTheme="minorHAnsi" w:hAnsiTheme="minorHAnsi"/>
          <w:bCs/>
          <w:iCs/>
        </w:rPr>
        <w:t xml:space="preserve"> and </w:t>
      </w:r>
      <w:r w:rsidR="00542C40">
        <w:rPr>
          <w:rFonts w:asciiTheme="minorHAnsi" w:hAnsiTheme="minorHAnsi"/>
          <w:bCs/>
          <w:iCs/>
        </w:rPr>
        <w:t>Sea Surface Temperature (</w:t>
      </w:r>
      <w:r w:rsidR="00F96817">
        <w:rPr>
          <w:rFonts w:asciiTheme="minorHAnsi" w:hAnsiTheme="minorHAnsi"/>
          <w:bCs/>
          <w:iCs/>
        </w:rPr>
        <w:t>SST</w:t>
      </w:r>
      <w:r w:rsidR="00542C40">
        <w:rPr>
          <w:rFonts w:asciiTheme="minorHAnsi" w:hAnsiTheme="minorHAnsi"/>
          <w:bCs/>
          <w:iCs/>
        </w:rPr>
        <w:t>)</w:t>
      </w:r>
      <w:r w:rsidR="00F96817">
        <w:rPr>
          <w:rFonts w:asciiTheme="minorHAnsi" w:hAnsiTheme="minorHAnsi"/>
          <w:bCs/>
          <w:iCs/>
        </w:rPr>
        <w:t xml:space="preserve"> phenomena </w:t>
      </w:r>
      <w:r w:rsidR="00DF29E4">
        <w:rPr>
          <w:rFonts w:asciiTheme="minorHAnsi" w:hAnsiTheme="minorHAnsi"/>
          <w:bCs/>
          <w:iCs/>
        </w:rPr>
        <w:t>(</w:t>
      </w:r>
      <w:r w:rsidR="00DA27E6">
        <w:rPr>
          <w:rFonts w:asciiTheme="minorHAnsi" w:hAnsiTheme="minorHAnsi"/>
          <w:bCs/>
          <w:iCs/>
        </w:rPr>
        <w:t>specified in each figure caption</w:t>
      </w:r>
      <w:r w:rsidR="00DF29E4">
        <w:rPr>
          <w:rFonts w:asciiTheme="minorHAnsi" w:hAnsiTheme="minorHAnsi"/>
          <w:bCs/>
          <w:iCs/>
        </w:rPr>
        <w:t xml:space="preserve">) </w:t>
      </w:r>
      <w:r w:rsidR="00F96817">
        <w:rPr>
          <w:rFonts w:asciiTheme="minorHAnsi" w:hAnsiTheme="minorHAnsi"/>
          <w:bCs/>
          <w:iCs/>
        </w:rPr>
        <w:t xml:space="preserve">associated with each </w:t>
      </w:r>
      <w:r>
        <w:rPr>
          <w:rFonts w:asciiTheme="minorHAnsi" w:hAnsiTheme="minorHAnsi"/>
          <w:bCs/>
          <w:iCs/>
        </w:rPr>
        <w:t xml:space="preserve">global </w:t>
      </w:r>
      <w:r w:rsidR="00F96817">
        <w:rPr>
          <w:rFonts w:asciiTheme="minorHAnsi" w:hAnsiTheme="minorHAnsi"/>
          <w:bCs/>
          <w:iCs/>
        </w:rPr>
        <w:t xml:space="preserve">climate </w:t>
      </w:r>
      <w:r>
        <w:rPr>
          <w:rFonts w:asciiTheme="minorHAnsi" w:hAnsiTheme="minorHAnsi"/>
          <w:bCs/>
          <w:iCs/>
        </w:rPr>
        <w:t xml:space="preserve">mode </w:t>
      </w:r>
      <w:r w:rsidR="00F05D32">
        <w:rPr>
          <w:rFonts w:asciiTheme="minorHAnsi" w:hAnsiTheme="minorHAnsi"/>
          <w:bCs/>
          <w:iCs/>
        </w:rPr>
        <w:t xml:space="preserve">are </w:t>
      </w:r>
      <w:r w:rsidR="00F96817">
        <w:rPr>
          <w:rFonts w:asciiTheme="minorHAnsi" w:hAnsiTheme="minorHAnsi"/>
          <w:bCs/>
          <w:iCs/>
        </w:rPr>
        <w:t>all adequately represent</w:t>
      </w:r>
      <w:r w:rsidR="00F05D32">
        <w:rPr>
          <w:rFonts w:asciiTheme="minorHAnsi" w:hAnsiTheme="minorHAnsi"/>
          <w:bCs/>
          <w:iCs/>
        </w:rPr>
        <w:t>ed</w:t>
      </w:r>
      <w:r w:rsidR="00F96817">
        <w:rPr>
          <w:rFonts w:asciiTheme="minorHAnsi" w:hAnsiTheme="minorHAnsi"/>
          <w:bCs/>
          <w:iCs/>
        </w:rPr>
        <w:t xml:space="preserve"> </w:t>
      </w:r>
      <w:r w:rsidR="00F05D32">
        <w:rPr>
          <w:rFonts w:asciiTheme="minorHAnsi" w:hAnsiTheme="minorHAnsi"/>
          <w:bCs/>
          <w:iCs/>
        </w:rPr>
        <w:t xml:space="preserve">in the KNMI-LENTIS ensemble. </w:t>
      </w:r>
      <w:r w:rsidR="002E51EA" w:rsidRPr="002E51EA">
        <w:rPr>
          <w:rFonts w:asciiTheme="minorHAnsi" w:hAnsiTheme="minorHAnsi"/>
          <w:bCs/>
          <w:iCs/>
        </w:rPr>
        <w:t xml:space="preserve">The Atlantic Multidecadal Oscillation (AMO) shows </w:t>
      </w:r>
      <w:r w:rsidR="002C1436" w:rsidRPr="002E51EA">
        <w:rPr>
          <w:rFonts w:asciiTheme="minorHAnsi" w:hAnsiTheme="minorHAnsi"/>
          <w:bCs/>
          <w:iCs/>
        </w:rPr>
        <w:t>the characteristic AMO+ warm pool in the northern Atlantic, with the correct region of highest anomaly off the Greenland coast</w:t>
      </w:r>
      <w:r w:rsidR="002E51EA" w:rsidRPr="002E51EA">
        <w:rPr>
          <w:rFonts w:asciiTheme="minorHAnsi" w:hAnsiTheme="minorHAnsi"/>
          <w:bCs/>
          <w:iCs/>
        </w:rPr>
        <w:t>.</w:t>
      </w:r>
      <w:r w:rsidR="002E51EA">
        <w:rPr>
          <w:rFonts w:asciiTheme="minorHAnsi" w:hAnsiTheme="minorHAnsi"/>
          <w:bCs/>
          <w:iCs/>
        </w:rPr>
        <w:t xml:space="preserve"> </w:t>
      </w:r>
      <w:r w:rsidR="002E51EA" w:rsidRPr="002E51EA">
        <w:rPr>
          <w:rFonts w:asciiTheme="minorHAnsi" w:hAnsiTheme="minorHAnsi"/>
          <w:bCs/>
          <w:iCs/>
        </w:rPr>
        <w:t>The Tropical South Atlantic (TSA) shows</w:t>
      </w:r>
      <w:r w:rsidR="002C1436" w:rsidRPr="002E51EA">
        <w:rPr>
          <w:rFonts w:asciiTheme="minorHAnsi" w:hAnsiTheme="minorHAnsi"/>
          <w:bCs/>
          <w:iCs/>
        </w:rPr>
        <w:t xml:space="preserve"> the characteristic TSA+ warm sea surface temperatures below West Africa, spreading in effect to the Caribbean Sea</w:t>
      </w:r>
      <w:r w:rsidR="002E51EA" w:rsidRPr="002E51EA">
        <w:rPr>
          <w:rFonts w:asciiTheme="minorHAnsi" w:hAnsiTheme="minorHAnsi"/>
          <w:bCs/>
          <w:iCs/>
        </w:rPr>
        <w:t>.</w:t>
      </w:r>
      <w:r w:rsidR="002E51EA">
        <w:rPr>
          <w:rFonts w:asciiTheme="minorHAnsi" w:hAnsiTheme="minorHAnsi"/>
          <w:bCs/>
          <w:iCs/>
        </w:rPr>
        <w:t xml:space="preserve"> </w:t>
      </w:r>
      <w:r w:rsidR="002E51EA" w:rsidRPr="002E51EA">
        <w:rPr>
          <w:rFonts w:asciiTheme="minorHAnsi" w:hAnsiTheme="minorHAnsi"/>
          <w:bCs/>
          <w:iCs/>
        </w:rPr>
        <w:t xml:space="preserve">The Tropical North Atlantic (TSA) shows the expected </w:t>
      </w:r>
      <w:r w:rsidR="002C1436" w:rsidRPr="002E51EA">
        <w:rPr>
          <w:rFonts w:asciiTheme="minorHAnsi" w:hAnsiTheme="minorHAnsi"/>
          <w:bCs/>
          <w:iCs/>
        </w:rPr>
        <w:t>TNA+ warm band in the northern tropics, with cool effects towards the equator and in the extratropical west Atlantic</w:t>
      </w:r>
      <w:r w:rsidR="002E51EA" w:rsidRPr="002E51EA">
        <w:rPr>
          <w:rFonts w:asciiTheme="minorHAnsi" w:hAnsiTheme="minorHAnsi"/>
          <w:bCs/>
          <w:iCs/>
        </w:rPr>
        <w:t>.</w:t>
      </w:r>
      <w:r w:rsidR="002E51EA">
        <w:rPr>
          <w:rFonts w:asciiTheme="minorHAnsi" w:hAnsiTheme="minorHAnsi"/>
          <w:bCs/>
          <w:iCs/>
        </w:rPr>
        <w:t xml:space="preserve"> </w:t>
      </w:r>
      <w:r w:rsidR="002E51EA" w:rsidRPr="002E51EA">
        <w:rPr>
          <w:rFonts w:asciiTheme="minorHAnsi" w:hAnsiTheme="minorHAnsi"/>
          <w:bCs/>
          <w:iCs/>
        </w:rPr>
        <w:t xml:space="preserve">The Southern Annular Mode (SAM) shows the expected </w:t>
      </w:r>
      <w:r w:rsidR="002C1436" w:rsidRPr="002E51EA">
        <w:rPr>
          <w:rFonts w:asciiTheme="minorHAnsi" w:hAnsiTheme="minorHAnsi"/>
          <w:bCs/>
          <w:iCs/>
        </w:rPr>
        <w:t>low pressure system over Antarctica associated with the SAM+.</w:t>
      </w:r>
      <w:r w:rsidR="002E51EA">
        <w:rPr>
          <w:rFonts w:asciiTheme="minorHAnsi" w:hAnsiTheme="minorHAnsi"/>
          <w:bCs/>
          <w:iCs/>
        </w:rPr>
        <w:t xml:space="preserve"> </w:t>
      </w:r>
      <w:r w:rsidR="002E51EA" w:rsidRPr="002E51EA">
        <w:rPr>
          <w:rFonts w:asciiTheme="minorHAnsi" w:hAnsiTheme="minorHAnsi"/>
          <w:bCs/>
          <w:iCs/>
        </w:rPr>
        <w:t xml:space="preserve">The Pacific/North American (PNA) oscillations strongly shows </w:t>
      </w:r>
      <w:r w:rsidR="002C1436" w:rsidRPr="002E51EA">
        <w:rPr>
          <w:rFonts w:asciiTheme="minorHAnsi" w:hAnsiTheme="minorHAnsi"/>
          <w:bCs/>
          <w:iCs/>
        </w:rPr>
        <w:t>the expected PNA+ low in the northeastern Pacific</w:t>
      </w:r>
      <w:r w:rsidR="002E51EA" w:rsidRPr="002E51EA">
        <w:rPr>
          <w:rFonts w:asciiTheme="minorHAnsi" w:hAnsiTheme="minorHAnsi"/>
          <w:bCs/>
          <w:iCs/>
        </w:rPr>
        <w:t>; but d</w:t>
      </w:r>
      <w:r w:rsidR="002C1436" w:rsidRPr="002E51EA">
        <w:rPr>
          <w:rFonts w:asciiTheme="minorHAnsi" w:hAnsiTheme="minorHAnsi"/>
          <w:bCs/>
          <w:iCs/>
        </w:rPr>
        <w:t>oes not show clearly the expected western US high and eastern US low</w:t>
      </w:r>
      <w:r w:rsidR="002E51EA" w:rsidRPr="002E51EA">
        <w:rPr>
          <w:rFonts w:asciiTheme="minorHAnsi" w:hAnsiTheme="minorHAnsi"/>
          <w:bCs/>
          <w:iCs/>
        </w:rPr>
        <w:t xml:space="preserve"> –</w:t>
      </w:r>
      <w:r w:rsidR="002C1436" w:rsidRPr="002E51EA">
        <w:rPr>
          <w:rFonts w:asciiTheme="minorHAnsi" w:hAnsiTheme="minorHAnsi"/>
          <w:bCs/>
          <w:iCs/>
        </w:rPr>
        <w:t xml:space="preserve"> though the associated arctic high in the PNA+ is present</w:t>
      </w:r>
      <w:r w:rsidR="002E51EA" w:rsidRPr="002E51EA">
        <w:rPr>
          <w:rFonts w:asciiTheme="minorHAnsi" w:hAnsiTheme="minorHAnsi"/>
          <w:bCs/>
          <w:iCs/>
        </w:rPr>
        <w:t>.</w:t>
      </w:r>
      <w:r w:rsidR="002E51EA">
        <w:rPr>
          <w:rFonts w:asciiTheme="minorHAnsi" w:hAnsiTheme="minorHAnsi"/>
          <w:bCs/>
          <w:iCs/>
        </w:rPr>
        <w:t xml:space="preserve"> </w:t>
      </w:r>
      <w:r w:rsidR="002E51EA" w:rsidRPr="002E51EA">
        <w:rPr>
          <w:rFonts w:asciiTheme="minorHAnsi" w:hAnsiTheme="minorHAnsi"/>
          <w:bCs/>
          <w:iCs/>
        </w:rPr>
        <w:t xml:space="preserve">The Pacific Decadal Oscillation (PDO) shows the expected cool sea </w:t>
      </w:r>
      <w:r w:rsidR="002C1436" w:rsidRPr="002E51EA">
        <w:rPr>
          <w:rFonts w:asciiTheme="minorHAnsi" w:hAnsiTheme="minorHAnsi"/>
          <w:bCs/>
          <w:iCs/>
        </w:rPr>
        <w:t>surface temperature jet off the west coast of Japan, and the pooling of warmer water against West North America</w:t>
      </w:r>
      <w:r w:rsidR="002E51EA" w:rsidRPr="002E51EA">
        <w:rPr>
          <w:rFonts w:asciiTheme="minorHAnsi" w:hAnsiTheme="minorHAnsi"/>
          <w:bCs/>
          <w:iCs/>
        </w:rPr>
        <w:t>.</w:t>
      </w:r>
      <w:r w:rsidR="002E51EA">
        <w:rPr>
          <w:rFonts w:asciiTheme="minorHAnsi" w:hAnsiTheme="minorHAnsi"/>
          <w:bCs/>
          <w:iCs/>
        </w:rPr>
        <w:t xml:space="preserve"> </w:t>
      </w:r>
      <w:r w:rsidR="002E51EA" w:rsidRPr="002E51EA">
        <w:rPr>
          <w:rFonts w:asciiTheme="minorHAnsi" w:hAnsiTheme="minorHAnsi"/>
          <w:bCs/>
          <w:iCs/>
        </w:rPr>
        <w:t>The North Atlantic Oscillation (NAO) shows</w:t>
      </w:r>
      <w:r w:rsidR="002C1436" w:rsidRPr="002E51EA">
        <w:rPr>
          <w:rFonts w:asciiTheme="minorHAnsi" w:hAnsiTheme="minorHAnsi"/>
          <w:bCs/>
          <w:iCs/>
        </w:rPr>
        <w:t xml:space="preserve"> the expected sea surface temperature quadrupole with warmer sea surface temperatures of the eastern US and in Northern Europe, and cooler sea surface temperatures off Greenland and West Africa</w:t>
      </w:r>
      <w:r w:rsidR="002E51EA" w:rsidRPr="002E51EA">
        <w:rPr>
          <w:rFonts w:asciiTheme="minorHAnsi" w:hAnsiTheme="minorHAnsi"/>
          <w:bCs/>
          <w:iCs/>
        </w:rPr>
        <w:t>.</w:t>
      </w:r>
      <w:r w:rsidR="002E51EA">
        <w:rPr>
          <w:rFonts w:asciiTheme="minorHAnsi" w:hAnsiTheme="minorHAnsi"/>
          <w:bCs/>
          <w:iCs/>
        </w:rPr>
        <w:t xml:space="preserve"> </w:t>
      </w:r>
      <w:r w:rsidR="002E51EA" w:rsidRPr="002E51EA">
        <w:rPr>
          <w:rFonts w:asciiTheme="minorHAnsi" w:hAnsiTheme="minorHAnsi"/>
          <w:bCs/>
          <w:iCs/>
        </w:rPr>
        <w:t>The Indian Ocean Dipole (IOD) shows</w:t>
      </w:r>
      <w:r w:rsidR="002C1436" w:rsidRPr="002E51EA">
        <w:rPr>
          <w:rFonts w:asciiTheme="minorHAnsi" w:hAnsiTheme="minorHAnsi"/>
          <w:bCs/>
          <w:iCs/>
        </w:rPr>
        <w:t xml:space="preserve"> the expected gradient of cool to warm sea surface temperatures from the west to east Indian Ocean in the negative mode</w:t>
      </w:r>
      <w:r w:rsidR="002E51EA" w:rsidRPr="002E51EA">
        <w:rPr>
          <w:rFonts w:asciiTheme="minorHAnsi" w:hAnsiTheme="minorHAnsi"/>
          <w:bCs/>
          <w:iCs/>
        </w:rPr>
        <w:t>.</w:t>
      </w:r>
      <w:r w:rsidR="002E51EA">
        <w:rPr>
          <w:rFonts w:asciiTheme="minorHAnsi" w:hAnsiTheme="minorHAnsi"/>
          <w:bCs/>
          <w:iCs/>
        </w:rPr>
        <w:t xml:space="preserve"> </w:t>
      </w:r>
      <w:r w:rsidR="002E51EA" w:rsidRPr="002E51EA">
        <w:rPr>
          <w:rFonts w:asciiTheme="minorHAnsi" w:hAnsiTheme="minorHAnsi"/>
          <w:bCs/>
          <w:iCs/>
        </w:rPr>
        <w:t>El Niño Southern Oscillation (</w:t>
      </w:r>
      <w:r w:rsidR="002C1436" w:rsidRPr="002E51EA">
        <w:rPr>
          <w:rFonts w:asciiTheme="minorHAnsi" w:hAnsiTheme="minorHAnsi"/>
          <w:bCs/>
          <w:iCs/>
        </w:rPr>
        <w:t>ENSO</w:t>
      </w:r>
      <w:r w:rsidR="002E51EA" w:rsidRPr="002E51EA">
        <w:rPr>
          <w:rFonts w:asciiTheme="minorHAnsi" w:hAnsiTheme="minorHAnsi"/>
          <w:bCs/>
          <w:iCs/>
        </w:rPr>
        <w:t>)</w:t>
      </w:r>
      <w:r w:rsidR="002C1436" w:rsidRPr="002E51EA">
        <w:rPr>
          <w:rFonts w:asciiTheme="minorHAnsi" w:hAnsiTheme="minorHAnsi"/>
          <w:bCs/>
          <w:iCs/>
        </w:rPr>
        <w:t xml:space="preserve"> shows the expected warm jet along the equator in El Niño (SOI-) with cooler sea surface temperature pools north and south of it in the west and central Pacific</w:t>
      </w:r>
      <w:r w:rsidR="002E51EA" w:rsidRPr="002E51EA">
        <w:rPr>
          <w:rFonts w:asciiTheme="minorHAnsi" w:hAnsiTheme="minorHAnsi"/>
          <w:bCs/>
          <w:iCs/>
        </w:rPr>
        <w:t>.</w:t>
      </w:r>
      <w:r w:rsidR="002E51EA">
        <w:rPr>
          <w:rFonts w:asciiTheme="minorHAnsi" w:hAnsiTheme="minorHAnsi"/>
          <w:bCs/>
          <w:iCs/>
        </w:rPr>
        <w:t xml:space="preserve"> </w:t>
      </w:r>
      <w:r w:rsidR="002E51EA" w:rsidRPr="002E51EA">
        <w:rPr>
          <w:rFonts w:asciiTheme="minorHAnsi" w:hAnsiTheme="minorHAnsi"/>
          <w:bCs/>
          <w:iCs/>
        </w:rPr>
        <w:t xml:space="preserve">The East Atlantic (EA) oscillation shows the </w:t>
      </w:r>
      <w:r w:rsidR="002C1436" w:rsidRPr="002E51EA">
        <w:rPr>
          <w:rFonts w:asciiTheme="minorHAnsi" w:hAnsiTheme="minorHAnsi"/>
          <w:bCs/>
          <w:iCs/>
        </w:rPr>
        <w:t>northern pressure low and southern pressure high in the Atlantic associated with the EA+</w:t>
      </w:r>
      <w:r w:rsidR="002E51EA" w:rsidRPr="002E51EA">
        <w:rPr>
          <w:rFonts w:asciiTheme="minorHAnsi" w:hAnsiTheme="minorHAnsi"/>
          <w:bCs/>
          <w:iCs/>
        </w:rPr>
        <w:t>.</w:t>
      </w:r>
      <w:r w:rsidR="002E51EA">
        <w:rPr>
          <w:rFonts w:asciiTheme="minorHAnsi" w:hAnsiTheme="minorHAnsi"/>
          <w:bCs/>
          <w:iCs/>
        </w:rPr>
        <w:t xml:space="preserve"> </w:t>
      </w:r>
      <w:r w:rsidR="002E51EA" w:rsidRPr="002E51EA">
        <w:rPr>
          <w:rFonts w:asciiTheme="minorHAnsi" w:hAnsiTheme="minorHAnsi"/>
          <w:bCs/>
          <w:iCs/>
        </w:rPr>
        <w:t>The Arctic Oscillation (AO) shows</w:t>
      </w:r>
      <w:r w:rsidR="002C1436" w:rsidRPr="002E51EA">
        <w:rPr>
          <w:rFonts w:asciiTheme="minorHAnsi" w:hAnsiTheme="minorHAnsi"/>
          <w:bCs/>
          <w:iCs/>
        </w:rPr>
        <w:t xml:space="preserve"> the expected low pressure system over the Arctic associated with the AO+</w:t>
      </w:r>
      <w:r w:rsidR="002E51EA" w:rsidRPr="002E51EA">
        <w:rPr>
          <w:rFonts w:asciiTheme="minorHAnsi" w:hAnsiTheme="minorHAnsi"/>
          <w:bCs/>
          <w:iCs/>
        </w:rPr>
        <w:t>.</w:t>
      </w:r>
    </w:p>
    <w:p w14:paraId="758D1334" w14:textId="726388B8" w:rsidR="0026246D" w:rsidRPr="003D2AD6" w:rsidRDefault="00F05D32" w:rsidP="008B51B4">
      <w:pPr>
        <w:spacing w:before="360" w:after="80"/>
        <w:rPr>
          <w:rFonts w:asciiTheme="minorHAnsi" w:hAnsiTheme="minorHAnsi"/>
          <w:bCs/>
          <w:iCs/>
          <w:color w:val="000000" w:themeColor="text1"/>
        </w:rPr>
      </w:pPr>
      <w:r>
        <w:rPr>
          <w:rFonts w:asciiTheme="minorHAnsi" w:hAnsiTheme="minorHAnsi"/>
          <w:bCs/>
          <w:iCs/>
        </w:rPr>
        <w:t>T</w:t>
      </w:r>
      <w:r w:rsidR="00E57AD6" w:rsidRPr="00E57AD6">
        <w:rPr>
          <w:rFonts w:asciiTheme="minorHAnsi" w:hAnsiTheme="minorHAnsi"/>
          <w:bCs/>
          <w:iCs/>
        </w:rPr>
        <w:t>he effect of each global climate mode</w:t>
      </w:r>
      <w:r>
        <w:rPr>
          <w:rFonts w:asciiTheme="minorHAnsi" w:hAnsiTheme="minorHAnsi"/>
          <w:bCs/>
          <w:iCs/>
        </w:rPr>
        <w:t xml:space="preserve"> (Supplementary Figure </w:t>
      </w:r>
      <w:r w:rsidR="009104E7">
        <w:rPr>
          <w:rFonts w:asciiTheme="minorHAnsi" w:hAnsiTheme="minorHAnsi"/>
          <w:bCs/>
          <w:iCs/>
        </w:rPr>
        <w:t>5</w:t>
      </w:r>
      <w:r>
        <w:rPr>
          <w:rFonts w:asciiTheme="minorHAnsi" w:hAnsiTheme="minorHAnsi"/>
          <w:bCs/>
          <w:iCs/>
        </w:rPr>
        <w:t xml:space="preserve">.12) </w:t>
      </w:r>
      <w:r w:rsidR="008B51B4">
        <w:rPr>
          <w:rFonts w:asciiTheme="minorHAnsi" w:hAnsiTheme="minorHAnsi"/>
          <w:bCs/>
          <w:iCs/>
        </w:rPr>
        <w:t>on precipitation patterns over the contiguous US in the recent climate ensemble is consistent with expectations.</w:t>
      </w:r>
      <w:r w:rsidR="00E57AD6" w:rsidRPr="00E57AD6">
        <w:rPr>
          <w:rFonts w:asciiTheme="minorHAnsi" w:hAnsiTheme="minorHAnsi"/>
          <w:bCs/>
          <w:iCs/>
        </w:rPr>
        <w:t xml:space="preserve"> </w:t>
      </w:r>
      <w:r w:rsidR="00B56D22">
        <w:rPr>
          <w:rFonts w:asciiTheme="minorHAnsi" w:hAnsiTheme="minorHAnsi"/>
          <w:bCs/>
          <w:iCs/>
        </w:rPr>
        <w:t>For</w:t>
      </w:r>
      <w:r w:rsidR="003F3B75">
        <w:rPr>
          <w:rFonts w:asciiTheme="minorHAnsi" w:hAnsiTheme="minorHAnsi"/>
          <w:bCs/>
          <w:iCs/>
        </w:rPr>
        <w:t xml:space="preserve"> </w:t>
      </w:r>
      <w:r w:rsidR="00B56D22">
        <w:rPr>
          <w:rFonts w:asciiTheme="minorHAnsi" w:hAnsiTheme="minorHAnsi"/>
          <w:bCs/>
          <w:iCs/>
        </w:rPr>
        <w:t>ENSO, wetter conditions are expected during La Niña in the northwestern and inland East US, and during El Niño in the southern latitudes of the US (Ropelewski and Halpert, 1987).</w:t>
      </w:r>
      <w:r w:rsidR="002A2F0B">
        <w:rPr>
          <w:rFonts w:asciiTheme="minorHAnsi" w:hAnsiTheme="minorHAnsi"/>
          <w:bCs/>
          <w:iCs/>
        </w:rPr>
        <w:t xml:space="preserve"> These features are all well represented in the ensemble.</w:t>
      </w:r>
      <w:r w:rsidR="005B62F8">
        <w:rPr>
          <w:rFonts w:asciiTheme="minorHAnsi" w:hAnsiTheme="minorHAnsi"/>
          <w:bCs/>
          <w:iCs/>
        </w:rPr>
        <w:t xml:space="preserve"> </w:t>
      </w:r>
      <w:r w:rsidR="002A2F0B">
        <w:rPr>
          <w:rFonts w:asciiTheme="minorHAnsi" w:hAnsiTheme="minorHAnsi"/>
          <w:bCs/>
          <w:iCs/>
        </w:rPr>
        <w:t>For the IOD, precipitation conditions are expected to be highly correlated to ENSO</w:t>
      </w:r>
      <w:r w:rsidR="00184D08">
        <w:rPr>
          <w:rFonts w:asciiTheme="minorHAnsi" w:hAnsiTheme="minorHAnsi"/>
          <w:bCs/>
          <w:iCs/>
        </w:rPr>
        <w:t>, with limited independent influence (Hu et al., 2023). This is matched in the ensemble, with the IOD showing highly similar patterns to ENSO but with a lesser overall magnitude of effect.</w:t>
      </w:r>
      <w:r w:rsidR="005B62F8">
        <w:rPr>
          <w:rFonts w:asciiTheme="minorHAnsi" w:hAnsiTheme="minorHAnsi"/>
          <w:bCs/>
          <w:iCs/>
        </w:rPr>
        <w:t xml:space="preserve"> </w:t>
      </w:r>
      <w:r w:rsidR="00C62D31">
        <w:rPr>
          <w:rFonts w:asciiTheme="minorHAnsi" w:hAnsiTheme="minorHAnsi"/>
          <w:bCs/>
          <w:iCs/>
        </w:rPr>
        <w:t>For the PDO</w:t>
      </w:r>
      <w:r w:rsidR="00244267">
        <w:rPr>
          <w:rFonts w:asciiTheme="minorHAnsi" w:hAnsiTheme="minorHAnsi"/>
          <w:bCs/>
          <w:iCs/>
        </w:rPr>
        <w:t>, southwestern precipitation is associated with a strong increase in the positive phase (Dai, 2013), in other regions the effect is limited for the annually averaged index (Kumar et al., 2013). This is well represented in the ensemble.</w:t>
      </w:r>
      <w:r w:rsidR="005B62F8">
        <w:rPr>
          <w:rFonts w:asciiTheme="minorHAnsi" w:hAnsiTheme="minorHAnsi"/>
          <w:bCs/>
          <w:iCs/>
        </w:rPr>
        <w:t xml:space="preserve"> </w:t>
      </w:r>
      <w:r w:rsidR="00244267">
        <w:rPr>
          <w:rFonts w:asciiTheme="minorHAnsi" w:hAnsiTheme="minorHAnsi"/>
          <w:bCs/>
          <w:iCs/>
        </w:rPr>
        <w:t>For the TNA, the association with precipitation, like the IOD, is confounded by its close association with ENSO (Kushnir et al., 2010). The association with ENSO is matched in the ensemble, with the precipitation pattern a weakened version of that observed under ENSO.</w:t>
      </w:r>
      <w:r w:rsidR="005B62F8">
        <w:rPr>
          <w:rFonts w:asciiTheme="minorHAnsi" w:hAnsiTheme="minorHAnsi"/>
          <w:bCs/>
          <w:iCs/>
        </w:rPr>
        <w:t xml:space="preserve"> </w:t>
      </w:r>
      <w:r w:rsidR="00244267">
        <w:rPr>
          <w:rFonts w:asciiTheme="minorHAnsi" w:hAnsiTheme="minorHAnsi"/>
          <w:bCs/>
          <w:iCs/>
        </w:rPr>
        <w:t>The TSA is not association with US precipitation. In the ensemble it has a minor negative effect in the central US.</w:t>
      </w:r>
      <w:r w:rsidR="005B62F8">
        <w:rPr>
          <w:rFonts w:asciiTheme="minorHAnsi" w:hAnsiTheme="minorHAnsi"/>
          <w:bCs/>
          <w:iCs/>
        </w:rPr>
        <w:t xml:space="preserve"> </w:t>
      </w:r>
      <w:r w:rsidR="00244267">
        <w:rPr>
          <w:rFonts w:asciiTheme="minorHAnsi" w:hAnsiTheme="minorHAnsi"/>
          <w:bCs/>
          <w:iCs/>
        </w:rPr>
        <w:t xml:space="preserve">For the NAO, higher </w:t>
      </w:r>
      <w:r w:rsidR="008E38BA">
        <w:rPr>
          <w:rFonts w:asciiTheme="minorHAnsi" w:hAnsiTheme="minorHAnsi"/>
          <w:bCs/>
          <w:iCs/>
        </w:rPr>
        <w:t xml:space="preserve">winter precipitation </w:t>
      </w:r>
      <w:r w:rsidR="004C4593">
        <w:rPr>
          <w:rFonts w:asciiTheme="minorHAnsi" w:hAnsiTheme="minorHAnsi"/>
          <w:bCs/>
          <w:iCs/>
        </w:rPr>
        <w:t xml:space="preserve">can result from a </w:t>
      </w:r>
      <w:r w:rsidR="00955A99">
        <w:rPr>
          <w:rFonts w:asciiTheme="minorHAnsi" w:hAnsiTheme="minorHAnsi"/>
          <w:bCs/>
          <w:iCs/>
        </w:rPr>
        <w:t xml:space="preserve">positive </w:t>
      </w:r>
      <w:r w:rsidR="004C4593">
        <w:rPr>
          <w:rFonts w:asciiTheme="minorHAnsi" w:hAnsiTheme="minorHAnsi"/>
          <w:bCs/>
          <w:iCs/>
        </w:rPr>
        <w:t xml:space="preserve">phase </w:t>
      </w:r>
      <w:r w:rsidR="00955A99">
        <w:rPr>
          <w:rFonts w:asciiTheme="minorHAnsi" w:hAnsiTheme="minorHAnsi"/>
          <w:bCs/>
          <w:iCs/>
        </w:rPr>
        <w:t xml:space="preserve">in the eastern US (Ning and Bradley, 2014), </w:t>
      </w:r>
      <w:r w:rsidR="004C4593">
        <w:rPr>
          <w:rFonts w:asciiTheme="minorHAnsi" w:hAnsiTheme="minorHAnsi"/>
          <w:bCs/>
          <w:iCs/>
        </w:rPr>
        <w:t>but this effect is dominated by ENSO (Tang et al., 2023; Ning and Bradley, 2014) whilst in the southwestern US conditions are wetter in the negative phase including when controlling for ENSO (Tang et al., 2023).</w:t>
      </w:r>
      <w:r w:rsidR="007F1770">
        <w:rPr>
          <w:rFonts w:asciiTheme="minorHAnsi" w:hAnsiTheme="minorHAnsi"/>
          <w:bCs/>
          <w:iCs/>
        </w:rPr>
        <w:t xml:space="preserve"> </w:t>
      </w:r>
      <w:r w:rsidR="004B0379">
        <w:rPr>
          <w:rFonts w:asciiTheme="minorHAnsi" w:hAnsiTheme="minorHAnsi"/>
          <w:bCs/>
          <w:iCs/>
        </w:rPr>
        <w:t>In the ensemble</w:t>
      </w:r>
      <w:r w:rsidR="009670B8">
        <w:rPr>
          <w:rFonts w:asciiTheme="minorHAnsi" w:hAnsiTheme="minorHAnsi"/>
          <w:bCs/>
          <w:iCs/>
        </w:rPr>
        <w:t xml:space="preserve"> this southwestern effect is well-represented, whilst the eastern effect is not, this can be explained by the dominant effect of ENSO on precipitation in the region.</w:t>
      </w:r>
      <w:r w:rsidR="005B62F8">
        <w:rPr>
          <w:rFonts w:asciiTheme="minorHAnsi" w:hAnsiTheme="minorHAnsi"/>
          <w:bCs/>
          <w:iCs/>
        </w:rPr>
        <w:t xml:space="preserve"> </w:t>
      </w:r>
      <w:r w:rsidR="003F3B75">
        <w:rPr>
          <w:rFonts w:asciiTheme="minorHAnsi" w:hAnsiTheme="minorHAnsi"/>
          <w:bCs/>
          <w:iCs/>
        </w:rPr>
        <w:t>For the AMO, a decrease on contiguous US precipitation is associated with the positive phase, though this effect is patchy over the region (Hu et al., 2011). No clear effect is apparent in the ensemble data, possible due to the index signal not being smoothed over a decadal timescale.</w:t>
      </w:r>
      <w:r w:rsidR="005B62F8">
        <w:rPr>
          <w:rFonts w:asciiTheme="minorHAnsi" w:hAnsiTheme="minorHAnsi"/>
          <w:bCs/>
          <w:iCs/>
        </w:rPr>
        <w:t xml:space="preserve"> </w:t>
      </w:r>
      <w:r w:rsidR="00D63EDA">
        <w:rPr>
          <w:rFonts w:asciiTheme="minorHAnsi" w:hAnsiTheme="minorHAnsi"/>
          <w:bCs/>
          <w:iCs/>
        </w:rPr>
        <w:t>For the PNA, the positive phase is associated with elevated rainfall in the great Plains and East coast and reduced rainfall in the northwestern US (Leathers et al., 1991)</w:t>
      </w:r>
      <w:r w:rsidR="00643DFC">
        <w:rPr>
          <w:rFonts w:asciiTheme="minorHAnsi" w:hAnsiTheme="minorHAnsi"/>
          <w:bCs/>
          <w:iCs/>
        </w:rPr>
        <w:t>.</w:t>
      </w:r>
      <w:r w:rsidR="008A275D">
        <w:rPr>
          <w:rFonts w:asciiTheme="minorHAnsi" w:hAnsiTheme="minorHAnsi"/>
          <w:bCs/>
          <w:iCs/>
        </w:rPr>
        <w:t xml:space="preserve"> In the ensemble, the East coast and Great Plains effects are seen, but there is an additional stronger effect in the southwestern US as well as no effect in the northwest; this can be explained by correlation (Soulard et al., 2019) between the positive PNA and El Niño.</w:t>
      </w:r>
      <w:r w:rsidR="005B62F8">
        <w:rPr>
          <w:rFonts w:asciiTheme="minorHAnsi" w:hAnsiTheme="minorHAnsi"/>
          <w:bCs/>
          <w:iCs/>
        </w:rPr>
        <w:t xml:space="preserve"> </w:t>
      </w:r>
      <w:r w:rsidR="00156B1A">
        <w:rPr>
          <w:rFonts w:asciiTheme="minorHAnsi" w:hAnsiTheme="minorHAnsi"/>
          <w:bCs/>
          <w:iCs/>
        </w:rPr>
        <w:t xml:space="preserve">For the AO, high precipitation totals are expected over the central US (Hu and Feng, 2010). This effect is well represented in the ensemble, </w:t>
      </w:r>
      <w:r w:rsidR="00DA2CF9">
        <w:rPr>
          <w:rFonts w:asciiTheme="minorHAnsi" w:hAnsiTheme="minorHAnsi"/>
          <w:bCs/>
          <w:iCs/>
        </w:rPr>
        <w:t>but an additional effect is present in the southwestern US; this can be explained by correlation (Simpkins, 2021) between the AO and NAO.</w:t>
      </w:r>
      <w:r w:rsidR="005B62F8">
        <w:rPr>
          <w:rFonts w:asciiTheme="minorHAnsi" w:hAnsiTheme="minorHAnsi"/>
          <w:bCs/>
          <w:iCs/>
        </w:rPr>
        <w:t xml:space="preserve"> </w:t>
      </w:r>
      <w:r w:rsidR="00B020AE">
        <w:rPr>
          <w:rFonts w:asciiTheme="minorHAnsi" w:hAnsiTheme="minorHAnsi"/>
          <w:bCs/>
          <w:iCs/>
        </w:rPr>
        <w:t xml:space="preserve">The EA is not associated with an effect on US meteorology, but has been linked to a modulation of the NAO (Rodrigo, 2021). </w:t>
      </w:r>
      <w:r w:rsidR="0060052D">
        <w:rPr>
          <w:rFonts w:asciiTheme="minorHAnsi" w:hAnsiTheme="minorHAnsi"/>
          <w:bCs/>
          <w:iCs/>
        </w:rPr>
        <w:t>The ensemble shows limited diverging effect on precipitation between its phases.</w:t>
      </w:r>
      <w:r w:rsidR="005B62F8">
        <w:rPr>
          <w:rFonts w:asciiTheme="minorHAnsi" w:hAnsiTheme="minorHAnsi"/>
          <w:bCs/>
          <w:iCs/>
        </w:rPr>
        <w:t xml:space="preserve"> </w:t>
      </w:r>
      <w:r w:rsidR="0060052D">
        <w:rPr>
          <w:rFonts w:asciiTheme="minorHAnsi" w:hAnsiTheme="minorHAnsi"/>
          <w:bCs/>
          <w:iCs/>
        </w:rPr>
        <w:t>The SAM is not associated with a direct impact on US meteorology. The ensemble shows a minor positive effect for the central US.</w:t>
      </w:r>
      <w:r w:rsidR="005B62F8">
        <w:rPr>
          <w:rFonts w:asciiTheme="minorHAnsi" w:hAnsiTheme="minorHAnsi"/>
          <w:bCs/>
          <w:iCs/>
        </w:rPr>
        <w:t xml:space="preserve"> </w:t>
      </w:r>
      <w:r w:rsidR="00E57AD6" w:rsidRPr="005B62F8">
        <w:rPr>
          <w:rFonts w:asciiTheme="minorHAnsi" w:hAnsiTheme="minorHAnsi"/>
          <w:bCs/>
          <w:iCs/>
          <w:color w:val="000000" w:themeColor="text1"/>
        </w:rPr>
        <w:t>Overall, the major effects on precipitation are well-represented in the ensemble, although confounding effects from correlation and modulating-effects between modes can render the signal hard to attribute.</w:t>
      </w:r>
    </w:p>
    <w:p w14:paraId="4131B3F0" w14:textId="3F462E79" w:rsidR="000D0744" w:rsidRDefault="008B51B4" w:rsidP="008B51B4">
      <w:pPr>
        <w:spacing w:before="360" w:after="80"/>
        <w:rPr>
          <w:rFonts w:asciiTheme="minorHAnsi" w:hAnsiTheme="minorHAnsi"/>
          <w:bCs/>
          <w:iCs/>
        </w:rPr>
      </w:pPr>
      <w:r>
        <w:rPr>
          <w:rFonts w:asciiTheme="minorHAnsi" w:hAnsiTheme="minorHAnsi"/>
          <w:bCs/>
          <w:iCs/>
        </w:rPr>
        <w:t>T</w:t>
      </w:r>
      <w:r w:rsidR="00E57AD6" w:rsidRPr="00E57AD6">
        <w:rPr>
          <w:rFonts w:asciiTheme="minorHAnsi" w:hAnsiTheme="minorHAnsi"/>
          <w:bCs/>
          <w:iCs/>
        </w:rPr>
        <w:t>he transient, continuous runs of the two multidecadal modes</w:t>
      </w:r>
      <w:r>
        <w:rPr>
          <w:rFonts w:asciiTheme="minorHAnsi" w:hAnsiTheme="minorHAnsi"/>
          <w:bCs/>
          <w:iCs/>
        </w:rPr>
        <w:t xml:space="preserve"> b</w:t>
      </w:r>
      <w:r w:rsidR="00E57AD6" w:rsidRPr="00E57AD6">
        <w:rPr>
          <w:rFonts w:asciiTheme="minorHAnsi" w:hAnsiTheme="minorHAnsi"/>
          <w:bCs/>
          <w:iCs/>
        </w:rPr>
        <w:t>oth show clear decadal or longer time-period oscillations</w:t>
      </w:r>
      <w:r>
        <w:rPr>
          <w:rFonts w:asciiTheme="minorHAnsi" w:hAnsiTheme="minorHAnsi"/>
          <w:bCs/>
          <w:iCs/>
        </w:rPr>
        <w:t xml:space="preserve"> (Supplementary Figures </w:t>
      </w:r>
      <w:r w:rsidR="009104E7">
        <w:rPr>
          <w:rFonts w:asciiTheme="minorHAnsi" w:hAnsiTheme="minorHAnsi"/>
          <w:bCs/>
          <w:iCs/>
        </w:rPr>
        <w:t>5</w:t>
      </w:r>
      <w:r>
        <w:rPr>
          <w:rFonts w:asciiTheme="minorHAnsi" w:hAnsiTheme="minorHAnsi"/>
          <w:bCs/>
          <w:iCs/>
        </w:rPr>
        <w:t>.13-</w:t>
      </w:r>
      <w:r w:rsidR="009104E7">
        <w:rPr>
          <w:rFonts w:asciiTheme="minorHAnsi" w:hAnsiTheme="minorHAnsi"/>
          <w:bCs/>
          <w:iCs/>
        </w:rPr>
        <w:t>5</w:t>
      </w:r>
      <w:r>
        <w:rPr>
          <w:rFonts w:asciiTheme="minorHAnsi" w:hAnsiTheme="minorHAnsi"/>
          <w:bCs/>
          <w:iCs/>
        </w:rPr>
        <w:t>.14)</w:t>
      </w:r>
      <w:r w:rsidR="00E57AD6" w:rsidRPr="00E57AD6">
        <w:rPr>
          <w:rFonts w:asciiTheme="minorHAnsi" w:hAnsiTheme="minorHAnsi"/>
          <w:bCs/>
          <w:iCs/>
        </w:rPr>
        <w:t xml:space="preserve">. The amplitude of multidecadal oscillations in the AMO is comparable to the amplitude of sub-decadal oscillations, </w:t>
      </w:r>
      <w:r w:rsidR="000D0744">
        <w:rPr>
          <w:rFonts w:asciiTheme="minorHAnsi" w:hAnsiTheme="minorHAnsi"/>
          <w:bCs/>
          <w:iCs/>
        </w:rPr>
        <w:t>meaning that a clear multidecadal signal emerges in the annual index values considered in this study. On the other hand, the sub-decadal timescale oscillations in the PDO are significantly greater than the multidecadal oscillations, meaning that a multidecadal effect does not emerge and sub-decadal oscillations dominate as the key effect in this study.</w:t>
      </w:r>
    </w:p>
    <w:p w14:paraId="3A93F61F" w14:textId="77777777" w:rsidR="0005042E" w:rsidRDefault="0005042E" w:rsidP="00192F9B">
      <w:pPr>
        <w:spacing w:before="160" w:after="80"/>
        <w:rPr>
          <w:rFonts w:asciiTheme="minorHAnsi" w:hAnsiTheme="minorHAnsi"/>
          <w:bCs/>
          <w:iCs/>
        </w:rPr>
      </w:pPr>
    </w:p>
    <w:p w14:paraId="4DC8235A" w14:textId="18B46829" w:rsidR="0005042E" w:rsidRPr="008B51B4" w:rsidRDefault="0005042E" w:rsidP="008B51B4">
      <w:pPr>
        <w:spacing w:before="160" w:after="80"/>
        <w:jc w:val="center"/>
        <w:rPr>
          <w:rFonts w:asciiTheme="minorHAnsi" w:hAnsiTheme="minorHAnsi"/>
          <w:bCs/>
          <w:iCs/>
        </w:rPr>
      </w:pPr>
      <w:r>
        <w:rPr>
          <w:rFonts w:asciiTheme="minorHAnsi" w:hAnsiTheme="minorHAnsi"/>
          <w:bCs/>
          <w:iCs/>
          <w:noProof/>
          <w:lang w:val="en-IN" w:eastAsia="en-IN"/>
        </w:rPr>
        <w:drawing>
          <wp:inline distT="0" distB="0" distL="0" distR="0" wp14:anchorId="1D269D76" wp14:editId="6D7366EB">
            <wp:extent cx="3683000" cy="2476500"/>
            <wp:effectExtent l="0" t="0" r="0" b="0"/>
            <wp:docPr id="1971555435" name="Picture 43"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55435" name="Picture 43" descr="A map of the world&#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3683000" cy="2476500"/>
                    </a:xfrm>
                    <a:prstGeom prst="rect">
                      <a:avLst/>
                    </a:prstGeom>
                  </pic:spPr>
                </pic:pic>
              </a:graphicData>
            </a:graphic>
          </wp:inline>
        </w:drawing>
      </w:r>
    </w:p>
    <w:p w14:paraId="4B91080A" w14:textId="0271AD74" w:rsidR="0005042E" w:rsidRPr="00207935" w:rsidRDefault="0005042E" w:rsidP="008B51B4">
      <w:pPr>
        <w:spacing w:before="160" w:after="80"/>
        <w:jc w:val="both"/>
        <w:rPr>
          <w:rFonts w:asciiTheme="minorHAnsi" w:hAnsiTheme="minorHAnsi"/>
          <w:i/>
        </w:rPr>
      </w:pPr>
      <w:r w:rsidRPr="00207935">
        <w:rPr>
          <w:rFonts w:asciiTheme="minorHAnsi" w:hAnsiTheme="minorHAnsi"/>
          <w:bCs/>
          <w:i/>
        </w:rPr>
        <w:t xml:space="preserve">Supplementary Figure </w:t>
      </w:r>
      <w:r w:rsidR="009104E7">
        <w:rPr>
          <w:rFonts w:asciiTheme="minorHAnsi" w:hAnsiTheme="minorHAnsi"/>
          <w:bCs/>
          <w:i/>
        </w:rPr>
        <w:t>5</w:t>
      </w:r>
      <w:r w:rsidR="004027C6" w:rsidRPr="00207935">
        <w:rPr>
          <w:rFonts w:asciiTheme="minorHAnsi" w:hAnsiTheme="minorHAnsi"/>
          <w:bCs/>
          <w:i/>
        </w:rPr>
        <w:t>.1</w:t>
      </w:r>
      <w:r w:rsidRPr="00207935">
        <w:rPr>
          <w:rFonts w:asciiTheme="minorHAnsi" w:hAnsiTheme="minorHAnsi"/>
          <w:i/>
        </w:rPr>
        <w:t xml:space="preserve">: </w:t>
      </w:r>
      <w:r w:rsidR="00F97746" w:rsidRPr="00207935">
        <w:rPr>
          <w:rFonts w:asciiTheme="minorHAnsi" w:hAnsiTheme="minorHAnsi"/>
          <w:i/>
        </w:rPr>
        <w:t xml:space="preserve">The sea surface temperature pattern of the Atlantic Multidecadal Oscillation (AMO) in the recent climate ensemble, showing the </w:t>
      </w:r>
      <w:r w:rsidRPr="00207935">
        <w:rPr>
          <w:rFonts w:asciiTheme="minorHAnsi" w:hAnsiTheme="minorHAnsi"/>
          <w:i/>
        </w:rPr>
        <w:t>characteristic AMO+ warm pool in the northern Atlantic, with the correct region of highest anomaly off the Greenland coast.</w:t>
      </w:r>
    </w:p>
    <w:p w14:paraId="6FE83569" w14:textId="43A6D90D" w:rsidR="0005042E" w:rsidRPr="008B51B4" w:rsidRDefault="0005042E" w:rsidP="008B51B4">
      <w:pPr>
        <w:spacing w:before="160" w:after="80"/>
        <w:jc w:val="center"/>
        <w:rPr>
          <w:rFonts w:asciiTheme="minorHAnsi" w:hAnsiTheme="minorHAnsi"/>
          <w:bCs/>
          <w:iCs/>
        </w:rPr>
      </w:pPr>
      <w:r>
        <w:rPr>
          <w:rFonts w:asciiTheme="minorHAnsi" w:hAnsiTheme="minorHAnsi"/>
          <w:bCs/>
          <w:iCs/>
          <w:noProof/>
          <w:lang w:val="en-IN" w:eastAsia="en-IN"/>
        </w:rPr>
        <w:drawing>
          <wp:inline distT="0" distB="0" distL="0" distR="0" wp14:anchorId="7F404844" wp14:editId="6021657E">
            <wp:extent cx="3822700" cy="2070100"/>
            <wp:effectExtent l="0" t="0" r="0" b="0"/>
            <wp:docPr id="971198412" name="Picture 44" descr="A map of the world with red and blue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198412" name="Picture 44" descr="A map of the world with red and blue colors&#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3822700" cy="2070100"/>
                    </a:xfrm>
                    <a:prstGeom prst="rect">
                      <a:avLst/>
                    </a:prstGeom>
                  </pic:spPr>
                </pic:pic>
              </a:graphicData>
            </a:graphic>
          </wp:inline>
        </w:drawing>
      </w:r>
    </w:p>
    <w:p w14:paraId="329050D5" w14:textId="5E17F848" w:rsidR="0005042E" w:rsidRPr="00207935" w:rsidRDefault="0005042E" w:rsidP="008B51B4">
      <w:pPr>
        <w:spacing w:before="160" w:after="80"/>
        <w:jc w:val="both"/>
        <w:rPr>
          <w:rFonts w:asciiTheme="minorHAnsi" w:hAnsiTheme="minorHAnsi"/>
          <w:i/>
        </w:rPr>
      </w:pPr>
      <w:r w:rsidRPr="00207935">
        <w:rPr>
          <w:rFonts w:asciiTheme="minorHAnsi" w:hAnsiTheme="minorHAnsi"/>
          <w:bCs/>
          <w:i/>
        </w:rPr>
        <w:t xml:space="preserve">Supplementary Figure </w:t>
      </w:r>
      <w:r w:rsidR="009104E7">
        <w:rPr>
          <w:rFonts w:asciiTheme="minorHAnsi" w:hAnsiTheme="minorHAnsi"/>
          <w:bCs/>
          <w:i/>
        </w:rPr>
        <w:t>5</w:t>
      </w:r>
      <w:r w:rsidR="004027C6" w:rsidRPr="00207935">
        <w:rPr>
          <w:rFonts w:asciiTheme="minorHAnsi" w:hAnsiTheme="minorHAnsi"/>
          <w:bCs/>
          <w:i/>
        </w:rPr>
        <w:t>.2</w:t>
      </w:r>
      <w:r w:rsidRPr="00207935">
        <w:rPr>
          <w:rFonts w:asciiTheme="minorHAnsi" w:hAnsiTheme="minorHAnsi"/>
          <w:i/>
        </w:rPr>
        <w:t xml:space="preserve">: </w:t>
      </w:r>
      <w:r w:rsidR="00F97746" w:rsidRPr="00207935">
        <w:rPr>
          <w:rFonts w:asciiTheme="minorHAnsi" w:hAnsiTheme="minorHAnsi"/>
          <w:i/>
        </w:rPr>
        <w:t xml:space="preserve">The sea surface temperature pattern of the Tropical South Atlantic (TSA) in the recent climate ensemble, </w:t>
      </w:r>
      <w:r w:rsidRPr="00207935">
        <w:rPr>
          <w:rFonts w:asciiTheme="minorHAnsi" w:hAnsiTheme="minorHAnsi"/>
          <w:i/>
        </w:rPr>
        <w:t xml:space="preserve">showing the characteristic TSA+ warm </w:t>
      </w:r>
      <w:r w:rsidR="001C15E3" w:rsidRPr="00207935">
        <w:rPr>
          <w:rFonts w:asciiTheme="minorHAnsi" w:hAnsiTheme="minorHAnsi"/>
          <w:i/>
        </w:rPr>
        <w:t xml:space="preserve">sea surface temperatures </w:t>
      </w:r>
      <w:r w:rsidRPr="00207935">
        <w:rPr>
          <w:rFonts w:asciiTheme="minorHAnsi" w:hAnsiTheme="minorHAnsi"/>
          <w:i/>
        </w:rPr>
        <w:t>below West Africa, spreading in effect to the Caribbean Sea.</w:t>
      </w:r>
    </w:p>
    <w:p w14:paraId="0B26F75A" w14:textId="46D55438" w:rsidR="0005042E" w:rsidRPr="008B51B4" w:rsidRDefault="0005042E" w:rsidP="008B51B4">
      <w:pPr>
        <w:spacing w:before="160" w:after="80"/>
        <w:jc w:val="center"/>
        <w:rPr>
          <w:rFonts w:asciiTheme="minorHAnsi" w:hAnsiTheme="minorHAnsi"/>
          <w:bCs/>
          <w:iCs/>
        </w:rPr>
      </w:pPr>
      <w:r>
        <w:rPr>
          <w:rFonts w:asciiTheme="minorHAnsi" w:hAnsiTheme="minorHAnsi"/>
          <w:bCs/>
          <w:iCs/>
          <w:noProof/>
          <w:lang w:val="en-IN" w:eastAsia="en-IN"/>
        </w:rPr>
        <w:drawing>
          <wp:inline distT="0" distB="0" distL="0" distR="0" wp14:anchorId="7C3F784C" wp14:editId="29F70089">
            <wp:extent cx="3695700" cy="2070100"/>
            <wp:effectExtent l="0" t="0" r="0" b="0"/>
            <wp:docPr id="543704540" name="Picture 45"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704540" name="Picture 45" descr="A map of the world&#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3695700" cy="2070100"/>
                    </a:xfrm>
                    <a:prstGeom prst="rect">
                      <a:avLst/>
                    </a:prstGeom>
                  </pic:spPr>
                </pic:pic>
              </a:graphicData>
            </a:graphic>
          </wp:inline>
        </w:drawing>
      </w:r>
    </w:p>
    <w:p w14:paraId="70EBE52D" w14:textId="589CC463" w:rsidR="0005042E" w:rsidRPr="00207935" w:rsidRDefault="0005042E" w:rsidP="00192F9B">
      <w:pPr>
        <w:spacing w:before="160" w:after="80"/>
        <w:jc w:val="both"/>
        <w:rPr>
          <w:rFonts w:asciiTheme="minorHAnsi" w:hAnsiTheme="minorHAnsi"/>
          <w:i/>
        </w:rPr>
      </w:pPr>
      <w:r w:rsidRPr="00207935">
        <w:rPr>
          <w:rFonts w:asciiTheme="minorHAnsi" w:hAnsiTheme="minorHAnsi"/>
          <w:bCs/>
          <w:i/>
        </w:rPr>
        <w:t xml:space="preserve">Supplementary Figure </w:t>
      </w:r>
      <w:r w:rsidR="009104E7">
        <w:rPr>
          <w:rFonts w:asciiTheme="minorHAnsi" w:hAnsiTheme="minorHAnsi"/>
          <w:bCs/>
          <w:i/>
        </w:rPr>
        <w:t>5</w:t>
      </w:r>
      <w:r w:rsidR="004027C6" w:rsidRPr="00207935">
        <w:rPr>
          <w:rFonts w:asciiTheme="minorHAnsi" w:hAnsiTheme="minorHAnsi"/>
          <w:bCs/>
          <w:i/>
        </w:rPr>
        <w:t>.3</w:t>
      </w:r>
      <w:r w:rsidRPr="00207935">
        <w:rPr>
          <w:rFonts w:asciiTheme="minorHAnsi" w:hAnsiTheme="minorHAnsi"/>
          <w:i/>
        </w:rPr>
        <w:t xml:space="preserve">: </w:t>
      </w:r>
      <w:r w:rsidR="002000F1" w:rsidRPr="00207935">
        <w:rPr>
          <w:rFonts w:asciiTheme="minorHAnsi" w:hAnsiTheme="minorHAnsi"/>
          <w:i/>
        </w:rPr>
        <w:t xml:space="preserve">The sea surface temperature pattern of the Tropical North Atlantic (TNA) in the recent climate ensemble, </w:t>
      </w:r>
      <w:r w:rsidRPr="00207935">
        <w:rPr>
          <w:rFonts w:asciiTheme="minorHAnsi" w:hAnsiTheme="minorHAnsi"/>
          <w:i/>
        </w:rPr>
        <w:t>the TNA+ warm band in the northern tropics, with cool effects towards the equator and in the extratropical west Atlantic.</w:t>
      </w:r>
    </w:p>
    <w:p w14:paraId="24C3D301" w14:textId="77777777" w:rsidR="0005042E" w:rsidRPr="00A410DB" w:rsidRDefault="0005042E" w:rsidP="00192F9B">
      <w:pPr>
        <w:spacing w:before="160" w:after="80"/>
        <w:jc w:val="center"/>
        <w:rPr>
          <w:rFonts w:asciiTheme="minorHAnsi" w:hAnsiTheme="minorHAnsi"/>
          <w:iCs/>
        </w:rPr>
      </w:pPr>
    </w:p>
    <w:p w14:paraId="37EE233D" w14:textId="65340C67" w:rsidR="0005042E" w:rsidRPr="008B51B4" w:rsidRDefault="0005042E" w:rsidP="008B51B4">
      <w:pPr>
        <w:spacing w:before="160" w:after="80"/>
        <w:jc w:val="center"/>
        <w:rPr>
          <w:rFonts w:asciiTheme="minorHAnsi" w:hAnsiTheme="minorHAnsi"/>
          <w:bCs/>
          <w:iCs/>
        </w:rPr>
      </w:pPr>
      <w:r>
        <w:rPr>
          <w:rFonts w:asciiTheme="minorHAnsi" w:hAnsiTheme="minorHAnsi"/>
          <w:bCs/>
          <w:iCs/>
          <w:noProof/>
          <w:lang w:val="en-IN" w:eastAsia="en-IN"/>
        </w:rPr>
        <w:drawing>
          <wp:inline distT="0" distB="0" distL="0" distR="0" wp14:anchorId="03DC4417" wp14:editId="342CE24D">
            <wp:extent cx="3378200" cy="2476500"/>
            <wp:effectExtent l="0" t="0" r="0" b="0"/>
            <wp:docPr id="1465756702" name="Picture 46" descr="A blue and orange circle with black lines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56702" name="Picture 46" descr="A blue and orange circle with black lines and a red line&#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3378200" cy="2476500"/>
                    </a:xfrm>
                    <a:prstGeom prst="rect">
                      <a:avLst/>
                    </a:prstGeom>
                  </pic:spPr>
                </pic:pic>
              </a:graphicData>
            </a:graphic>
          </wp:inline>
        </w:drawing>
      </w:r>
    </w:p>
    <w:p w14:paraId="0C6C143A" w14:textId="1126FFD5" w:rsidR="0005042E" w:rsidRPr="00207935" w:rsidRDefault="0005042E" w:rsidP="008B51B4">
      <w:pPr>
        <w:spacing w:before="160" w:after="80"/>
        <w:jc w:val="both"/>
        <w:rPr>
          <w:rFonts w:asciiTheme="minorHAnsi" w:hAnsiTheme="minorHAnsi"/>
          <w:i/>
        </w:rPr>
      </w:pPr>
      <w:r w:rsidRPr="00207935">
        <w:rPr>
          <w:rFonts w:asciiTheme="minorHAnsi" w:hAnsiTheme="minorHAnsi"/>
          <w:bCs/>
          <w:i/>
        </w:rPr>
        <w:t xml:space="preserve">Supplementary Figure </w:t>
      </w:r>
      <w:r w:rsidR="009104E7">
        <w:rPr>
          <w:rFonts w:asciiTheme="minorHAnsi" w:hAnsiTheme="minorHAnsi"/>
          <w:bCs/>
          <w:i/>
        </w:rPr>
        <w:t>5</w:t>
      </w:r>
      <w:r w:rsidR="004027C6" w:rsidRPr="00207935">
        <w:rPr>
          <w:rFonts w:asciiTheme="minorHAnsi" w:hAnsiTheme="minorHAnsi"/>
          <w:bCs/>
          <w:i/>
        </w:rPr>
        <w:t>.4</w:t>
      </w:r>
      <w:r w:rsidRPr="00207935">
        <w:rPr>
          <w:rFonts w:asciiTheme="minorHAnsi" w:hAnsiTheme="minorHAnsi"/>
          <w:i/>
        </w:rPr>
        <w:t xml:space="preserve">: </w:t>
      </w:r>
      <w:r w:rsidR="002000F1" w:rsidRPr="00207935">
        <w:rPr>
          <w:rFonts w:asciiTheme="minorHAnsi" w:hAnsiTheme="minorHAnsi"/>
          <w:i/>
        </w:rPr>
        <w:t xml:space="preserve">The sea-level pressure pattern of the Southern Annular Mode (SAM) in the recent climate ensemble, </w:t>
      </w:r>
      <w:r w:rsidRPr="00207935">
        <w:rPr>
          <w:rFonts w:asciiTheme="minorHAnsi" w:hAnsiTheme="minorHAnsi"/>
          <w:i/>
        </w:rPr>
        <w:t>showing the expected low pressure system over Antarctica associated with the SAM+.</w:t>
      </w:r>
    </w:p>
    <w:p w14:paraId="17F7022B" w14:textId="33F7929E" w:rsidR="0005042E" w:rsidRPr="008B51B4" w:rsidRDefault="0005042E" w:rsidP="008B51B4">
      <w:pPr>
        <w:spacing w:before="160" w:after="80"/>
        <w:jc w:val="center"/>
        <w:rPr>
          <w:rFonts w:asciiTheme="minorHAnsi" w:hAnsiTheme="minorHAnsi"/>
          <w:bCs/>
          <w:iCs/>
        </w:rPr>
      </w:pPr>
      <w:r>
        <w:rPr>
          <w:rFonts w:asciiTheme="minorHAnsi" w:hAnsiTheme="minorHAnsi"/>
          <w:bCs/>
          <w:iCs/>
          <w:noProof/>
          <w:lang w:val="en-IN" w:eastAsia="en-IN"/>
        </w:rPr>
        <w:drawing>
          <wp:inline distT="0" distB="0" distL="0" distR="0" wp14:anchorId="38F26370" wp14:editId="45DD93C2">
            <wp:extent cx="3365500" cy="2476500"/>
            <wp:effectExtent l="0" t="0" r="0" b="0"/>
            <wp:docPr id="1468194242" name="Picture 47" descr="A globe with a red and blue grad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194242" name="Picture 47" descr="A globe with a red and blue gradient&#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3365500" cy="2476500"/>
                    </a:xfrm>
                    <a:prstGeom prst="rect">
                      <a:avLst/>
                    </a:prstGeom>
                  </pic:spPr>
                </pic:pic>
              </a:graphicData>
            </a:graphic>
          </wp:inline>
        </w:drawing>
      </w:r>
    </w:p>
    <w:p w14:paraId="78266320" w14:textId="20313724" w:rsidR="0005042E" w:rsidRPr="00207935" w:rsidRDefault="0005042E" w:rsidP="008B51B4">
      <w:pPr>
        <w:spacing w:before="160" w:after="80"/>
        <w:jc w:val="both"/>
        <w:rPr>
          <w:rFonts w:asciiTheme="minorHAnsi" w:hAnsiTheme="minorHAnsi"/>
          <w:i/>
        </w:rPr>
      </w:pPr>
      <w:r w:rsidRPr="00207935">
        <w:rPr>
          <w:rFonts w:asciiTheme="minorHAnsi" w:hAnsiTheme="minorHAnsi"/>
          <w:bCs/>
          <w:i/>
        </w:rPr>
        <w:t xml:space="preserve">Supplementary Figure </w:t>
      </w:r>
      <w:r w:rsidR="009104E7">
        <w:rPr>
          <w:rFonts w:asciiTheme="minorHAnsi" w:hAnsiTheme="minorHAnsi"/>
          <w:bCs/>
          <w:i/>
        </w:rPr>
        <w:t>5</w:t>
      </w:r>
      <w:r w:rsidR="004027C6" w:rsidRPr="00207935">
        <w:rPr>
          <w:rFonts w:asciiTheme="minorHAnsi" w:hAnsiTheme="minorHAnsi"/>
          <w:bCs/>
          <w:i/>
        </w:rPr>
        <w:t>.5</w:t>
      </w:r>
      <w:r w:rsidRPr="00207935">
        <w:rPr>
          <w:rFonts w:asciiTheme="minorHAnsi" w:hAnsiTheme="minorHAnsi"/>
          <w:i/>
        </w:rPr>
        <w:t xml:space="preserve">: </w:t>
      </w:r>
      <w:r w:rsidR="002000F1" w:rsidRPr="00207935">
        <w:rPr>
          <w:rFonts w:asciiTheme="minorHAnsi" w:hAnsiTheme="minorHAnsi"/>
          <w:i/>
        </w:rPr>
        <w:t>The sea-level pressure pattern of the Pacific/North America (PNA) in the recent climate ensemble</w:t>
      </w:r>
      <w:r w:rsidRPr="00207935">
        <w:rPr>
          <w:rFonts w:asciiTheme="minorHAnsi" w:hAnsiTheme="minorHAnsi"/>
          <w:i/>
        </w:rPr>
        <w:t>, showing strongly the expected PNA+ low in the northeastern Pacific. Does not show clearly the expected western US high and eastern US low, though the associated arctic high in the PNA+ is present.</w:t>
      </w:r>
    </w:p>
    <w:p w14:paraId="73B5B364" w14:textId="77777777" w:rsidR="0005042E" w:rsidRPr="00A410DB" w:rsidRDefault="0005042E" w:rsidP="00192F9B">
      <w:pPr>
        <w:spacing w:before="160" w:after="80"/>
        <w:jc w:val="center"/>
        <w:rPr>
          <w:rFonts w:asciiTheme="minorHAnsi" w:hAnsiTheme="minorHAnsi"/>
          <w:bCs/>
          <w:iCs/>
        </w:rPr>
      </w:pPr>
    </w:p>
    <w:p w14:paraId="23E6B3CC" w14:textId="3625139F" w:rsidR="0005042E" w:rsidRPr="008B51B4" w:rsidRDefault="0005042E" w:rsidP="008B51B4">
      <w:pPr>
        <w:spacing w:before="160" w:after="80"/>
        <w:jc w:val="center"/>
        <w:rPr>
          <w:rFonts w:asciiTheme="minorHAnsi" w:hAnsiTheme="minorHAnsi"/>
          <w:bCs/>
          <w:iCs/>
        </w:rPr>
      </w:pPr>
      <w:r>
        <w:rPr>
          <w:rFonts w:asciiTheme="minorHAnsi" w:hAnsiTheme="minorHAnsi"/>
          <w:bCs/>
          <w:iCs/>
          <w:noProof/>
          <w:lang w:val="en-IN" w:eastAsia="en-IN"/>
        </w:rPr>
        <w:drawing>
          <wp:inline distT="0" distB="0" distL="0" distR="0" wp14:anchorId="607A4BAC" wp14:editId="4EB5E94A">
            <wp:extent cx="3632200" cy="2476500"/>
            <wp:effectExtent l="0" t="0" r="0" b="0"/>
            <wp:docPr id="1959921587" name="Picture 48" descr="A map of the north and the nor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921587" name="Picture 48" descr="A map of the north and the north&#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3632200" cy="2476500"/>
                    </a:xfrm>
                    <a:prstGeom prst="rect">
                      <a:avLst/>
                    </a:prstGeom>
                  </pic:spPr>
                </pic:pic>
              </a:graphicData>
            </a:graphic>
          </wp:inline>
        </w:drawing>
      </w:r>
    </w:p>
    <w:p w14:paraId="1357C969" w14:textId="1B1D32BA" w:rsidR="0005042E" w:rsidRPr="00143CB1" w:rsidRDefault="0005042E" w:rsidP="00143CB1">
      <w:pPr>
        <w:spacing w:before="160" w:after="80"/>
        <w:jc w:val="both"/>
        <w:rPr>
          <w:rFonts w:asciiTheme="minorHAnsi" w:hAnsiTheme="minorHAnsi"/>
          <w:i/>
        </w:rPr>
      </w:pPr>
      <w:r w:rsidRPr="00207935">
        <w:rPr>
          <w:rFonts w:asciiTheme="minorHAnsi" w:hAnsiTheme="minorHAnsi"/>
          <w:bCs/>
          <w:i/>
        </w:rPr>
        <w:t xml:space="preserve">Supplementary Figure </w:t>
      </w:r>
      <w:r w:rsidR="009104E7">
        <w:rPr>
          <w:rFonts w:asciiTheme="minorHAnsi" w:hAnsiTheme="minorHAnsi"/>
          <w:bCs/>
          <w:i/>
        </w:rPr>
        <w:t>5</w:t>
      </w:r>
      <w:r w:rsidR="004027C6" w:rsidRPr="00207935">
        <w:rPr>
          <w:rFonts w:asciiTheme="minorHAnsi" w:hAnsiTheme="minorHAnsi"/>
          <w:bCs/>
          <w:i/>
        </w:rPr>
        <w:t>.6</w:t>
      </w:r>
      <w:r w:rsidRPr="00207935">
        <w:rPr>
          <w:rFonts w:asciiTheme="minorHAnsi" w:hAnsiTheme="minorHAnsi"/>
          <w:i/>
        </w:rPr>
        <w:t xml:space="preserve">: </w:t>
      </w:r>
      <w:r w:rsidR="002000F1" w:rsidRPr="00207935">
        <w:rPr>
          <w:rFonts w:asciiTheme="minorHAnsi" w:hAnsiTheme="minorHAnsi"/>
          <w:i/>
        </w:rPr>
        <w:t>The sea surface temperature pattern of the Pacific Decadal Oscillation (PDO) in the recent climate ensemble</w:t>
      </w:r>
      <w:r w:rsidRPr="00207935">
        <w:rPr>
          <w:rFonts w:asciiTheme="minorHAnsi" w:hAnsiTheme="minorHAnsi"/>
          <w:i/>
        </w:rPr>
        <w:t xml:space="preserve">, showing the expected cool </w:t>
      </w:r>
      <w:r w:rsidR="001C15E3" w:rsidRPr="00207935">
        <w:rPr>
          <w:rFonts w:asciiTheme="minorHAnsi" w:hAnsiTheme="minorHAnsi"/>
          <w:i/>
        </w:rPr>
        <w:t xml:space="preserve">sea surface temperature </w:t>
      </w:r>
      <w:r w:rsidRPr="00207935">
        <w:rPr>
          <w:rFonts w:asciiTheme="minorHAnsi" w:hAnsiTheme="minorHAnsi"/>
          <w:i/>
        </w:rPr>
        <w:t>jet off the west coast of Japan, and the pooling of warmer water against West North America.</w:t>
      </w:r>
      <w:r>
        <w:rPr>
          <w:rFonts w:asciiTheme="minorHAnsi" w:hAnsiTheme="minorHAnsi"/>
          <w:iCs/>
        </w:rPr>
        <w:br w:type="page"/>
      </w:r>
    </w:p>
    <w:p w14:paraId="29D671C6" w14:textId="77777777" w:rsidR="0005042E" w:rsidRPr="00A410DB" w:rsidRDefault="0005042E" w:rsidP="00192F9B">
      <w:pPr>
        <w:spacing w:before="160" w:after="80"/>
        <w:jc w:val="center"/>
        <w:rPr>
          <w:rFonts w:asciiTheme="minorHAnsi" w:hAnsiTheme="minorHAnsi"/>
          <w:iCs/>
        </w:rPr>
      </w:pPr>
    </w:p>
    <w:p w14:paraId="427CC8DE" w14:textId="53B795AB" w:rsidR="0005042E" w:rsidRPr="002E3254" w:rsidRDefault="0005042E" w:rsidP="002E3254">
      <w:pPr>
        <w:spacing w:before="160" w:after="80"/>
        <w:jc w:val="center"/>
        <w:rPr>
          <w:rFonts w:asciiTheme="minorHAnsi" w:hAnsiTheme="minorHAnsi"/>
          <w:bCs/>
          <w:iCs/>
        </w:rPr>
      </w:pPr>
      <w:r>
        <w:rPr>
          <w:rFonts w:asciiTheme="minorHAnsi" w:hAnsiTheme="minorHAnsi"/>
          <w:bCs/>
          <w:iCs/>
          <w:noProof/>
          <w:lang w:val="en-IN" w:eastAsia="en-IN"/>
        </w:rPr>
        <w:drawing>
          <wp:inline distT="0" distB="0" distL="0" distR="0" wp14:anchorId="33C393A0" wp14:editId="71032F7F">
            <wp:extent cx="3695700" cy="2324100"/>
            <wp:effectExtent l="0" t="0" r="0" b="0"/>
            <wp:docPr id="1847194634" name="Picture 49"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194634" name="Picture 49" descr="A map of the world&#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3695700" cy="2324100"/>
                    </a:xfrm>
                    <a:prstGeom prst="rect">
                      <a:avLst/>
                    </a:prstGeom>
                  </pic:spPr>
                </pic:pic>
              </a:graphicData>
            </a:graphic>
          </wp:inline>
        </w:drawing>
      </w:r>
    </w:p>
    <w:p w14:paraId="60D5857C" w14:textId="4A2FCA75" w:rsidR="0005042E" w:rsidRPr="00207935" w:rsidRDefault="0005042E" w:rsidP="002E3254">
      <w:pPr>
        <w:spacing w:before="160" w:after="80"/>
        <w:jc w:val="both"/>
        <w:rPr>
          <w:rFonts w:asciiTheme="minorHAnsi" w:hAnsiTheme="minorHAnsi"/>
          <w:i/>
        </w:rPr>
      </w:pPr>
      <w:r w:rsidRPr="00207935">
        <w:rPr>
          <w:rFonts w:asciiTheme="minorHAnsi" w:hAnsiTheme="minorHAnsi"/>
          <w:bCs/>
          <w:i/>
        </w:rPr>
        <w:t xml:space="preserve">Supplementary Figure </w:t>
      </w:r>
      <w:r w:rsidR="009104E7">
        <w:rPr>
          <w:rFonts w:asciiTheme="minorHAnsi" w:hAnsiTheme="minorHAnsi"/>
          <w:bCs/>
          <w:i/>
        </w:rPr>
        <w:t>5</w:t>
      </w:r>
      <w:r w:rsidR="004027C6" w:rsidRPr="00207935">
        <w:rPr>
          <w:rFonts w:asciiTheme="minorHAnsi" w:hAnsiTheme="minorHAnsi"/>
          <w:bCs/>
          <w:i/>
        </w:rPr>
        <w:t>.7</w:t>
      </w:r>
      <w:r w:rsidRPr="00207935">
        <w:rPr>
          <w:rFonts w:asciiTheme="minorHAnsi" w:hAnsiTheme="minorHAnsi"/>
          <w:i/>
        </w:rPr>
        <w:t xml:space="preserve">: </w:t>
      </w:r>
      <w:r w:rsidR="008307C1" w:rsidRPr="00207935">
        <w:rPr>
          <w:rFonts w:asciiTheme="minorHAnsi" w:hAnsiTheme="minorHAnsi"/>
          <w:i/>
        </w:rPr>
        <w:t>The sea surface temperature pattern of the North Atlantic Oscillation (NAO) in the recent climate ensemble</w:t>
      </w:r>
      <w:r w:rsidRPr="00207935">
        <w:rPr>
          <w:rFonts w:asciiTheme="minorHAnsi" w:hAnsiTheme="minorHAnsi"/>
          <w:i/>
        </w:rPr>
        <w:t xml:space="preserve">, showing the expected </w:t>
      </w:r>
      <w:r w:rsidR="001C15E3" w:rsidRPr="00207935">
        <w:rPr>
          <w:rFonts w:asciiTheme="minorHAnsi" w:hAnsiTheme="minorHAnsi"/>
          <w:i/>
        </w:rPr>
        <w:t xml:space="preserve">sea surface temperature </w:t>
      </w:r>
      <w:r w:rsidRPr="00207935">
        <w:rPr>
          <w:rFonts w:asciiTheme="minorHAnsi" w:hAnsiTheme="minorHAnsi"/>
          <w:i/>
        </w:rPr>
        <w:t xml:space="preserve">quadrupole with warmer </w:t>
      </w:r>
      <w:r w:rsidR="001C15E3" w:rsidRPr="00207935">
        <w:rPr>
          <w:rFonts w:asciiTheme="minorHAnsi" w:hAnsiTheme="minorHAnsi"/>
          <w:i/>
        </w:rPr>
        <w:t xml:space="preserve">sea surface temperatures </w:t>
      </w:r>
      <w:r w:rsidRPr="00207935">
        <w:rPr>
          <w:rFonts w:asciiTheme="minorHAnsi" w:hAnsiTheme="minorHAnsi"/>
          <w:i/>
        </w:rPr>
        <w:t xml:space="preserve">of the eastern US and in Northern Europe, and cooler </w:t>
      </w:r>
      <w:r w:rsidR="001C15E3" w:rsidRPr="00207935">
        <w:rPr>
          <w:rFonts w:asciiTheme="minorHAnsi" w:hAnsiTheme="minorHAnsi"/>
          <w:i/>
        </w:rPr>
        <w:t xml:space="preserve">sea surface temperatures </w:t>
      </w:r>
      <w:r w:rsidRPr="00207935">
        <w:rPr>
          <w:rFonts w:asciiTheme="minorHAnsi" w:hAnsiTheme="minorHAnsi"/>
          <w:i/>
        </w:rPr>
        <w:t>off Greenland and West Africa.</w:t>
      </w:r>
    </w:p>
    <w:p w14:paraId="7A6EC1C2" w14:textId="77777777" w:rsidR="0005042E" w:rsidRPr="00A410DB" w:rsidRDefault="0005042E" w:rsidP="00192F9B">
      <w:pPr>
        <w:spacing w:before="160" w:after="80"/>
        <w:jc w:val="center"/>
        <w:rPr>
          <w:rFonts w:asciiTheme="minorHAnsi" w:hAnsiTheme="minorHAnsi"/>
          <w:iCs/>
        </w:rPr>
      </w:pPr>
    </w:p>
    <w:p w14:paraId="18B12473" w14:textId="7A6A3A43" w:rsidR="0005042E" w:rsidRPr="002E3254" w:rsidRDefault="0005042E" w:rsidP="002E3254">
      <w:pPr>
        <w:spacing w:before="160" w:after="80"/>
        <w:jc w:val="center"/>
        <w:rPr>
          <w:rFonts w:asciiTheme="minorHAnsi" w:hAnsiTheme="minorHAnsi"/>
          <w:bCs/>
          <w:iCs/>
        </w:rPr>
      </w:pPr>
      <w:r>
        <w:rPr>
          <w:rFonts w:asciiTheme="minorHAnsi" w:hAnsiTheme="minorHAnsi"/>
          <w:bCs/>
          <w:iCs/>
          <w:noProof/>
          <w:lang w:val="en-IN" w:eastAsia="en-IN"/>
        </w:rPr>
        <w:drawing>
          <wp:inline distT="0" distB="0" distL="0" distR="0" wp14:anchorId="22421B31" wp14:editId="5D19EA9C">
            <wp:extent cx="3695700" cy="2260600"/>
            <wp:effectExtent l="0" t="0" r="0" b="0"/>
            <wp:docPr id="813063328" name="Picture 50" descr="A map of the north americ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063328" name="Picture 50" descr="A map of the north america&#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3695700" cy="2260600"/>
                    </a:xfrm>
                    <a:prstGeom prst="rect">
                      <a:avLst/>
                    </a:prstGeom>
                  </pic:spPr>
                </pic:pic>
              </a:graphicData>
            </a:graphic>
          </wp:inline>
        </w:drawing>
      </w:r>
    </w:p>
    <w:p w14:paraId="2F612706" w14:textId="2676CFE2" w:rsidR="0005042E" w:rsidRPr="00207935" w:rsidRDefault="0005042E" w:rsidP="002E3254">
      <w:pPr>
        <w:spacing w:before="160" w:after="80"/>
        <w:jc w:val="both"/>
        <w:rPr>
          <w:rFonts w:asciiTheme="minorHAnsi" w:hAnsiTheme="minorHAnsi"/>
          <w:i/>
        </w:rPr>
      </w:pPr>
      <w:r w:rsidRPr="00207935">
        <w:rPr>
          <w:rFonts w:asciiTheme="minorHAnsi" w:hAnsiTheme="minorHAnsi"/>
          <w:bCs/>
          <w:i/>
        </w:rPr>
        <w:t xml:space="preserve">Supplementary Figure </w:t>
      </w:r>
      <w:r w:rsidR="009104E7">
        <w:rPr>
          <w:rFonts w:asciiTheme="minorHAnsi" w:hAnsiTheme="minorHAnsi"/>
          <w:bCs/>
          <w:i/>
        </w:rPr>
        <w:t>5</w:t>
      </w:r>
      <w:r w:rsidR="004027C6" w:rsidRPr="00207935">
        <w:rPr>
          <w:rFonts w:asciiTheme="minorHAnsi" w:hAnsiTheme="minorHAnsi"/>
          <w:bCs/>
          <w:i/>
        </w:rPr>
        <w:t>.8</w:t>
      </w:r>
      <w:r w:rsidRPr="00207935">
        <w:rPr>
          <w:rFonts w:asciiTheme="minorHAnsi" w:hAnsiTheme="minorHAnsi"/>
          <w:i/>
        </w:rPr>
        <w:t xml:space="preserve">: </w:t>
      </w:r>
      <w:r w:rsidR="00F52BD4" w:rsidRPr="00207935">
        <w:rPr>
          <w:rFonts w:asciiTheme="minorHAnsi" w:hAnsiTheme="minorHAnsi"/>
          <w:i/>
        </w:rPr>
        <w:t>The sea surface temperature pattern of the Indian Ocean Dipole (IOD) in the recent climate ensemble</w:t>
      </w:r>
      <w:r w:rsidRPr="00207935">
        <w:rPr>
          <w:rFonts w:asciiTheme="minorHAnsi" w:hAnsiTheme="minorHAnsi"/>
          <w:i/>
        </w:rPr>
        <w:t xml:space="preserve">, showing the expected gradient of cool to warm </w:t>
      </w:r>
      <w:r w:rsidR="001C15E3" w:rsidRPr="00207935">
        <w:rPr>
          <w:rFonts w:asciiTheme="minorHAnsi" w:hAnsiTheme="minorHAnsi"/>
          <w:i/>
        </w:rPr>
        <w:t xml:space="preserve">sea surface temperatures </w:t>
      </w:r>
      <w:r w:rsidRPr="00207935">
        <w:rPr>
          <w:rFonts w:asciiTheme="minorHAnsi" w:hAnsiTheme="minorHAnsi"/>
          <w:i/>
        </w:rPr>
        <w:t>from the west to east Indian Ocean in the negative mode.</w:t>
      </w:r>
      <w:r w:rsidRPr="00207935">
        <w:rPr>
          <w:rFonts w:asciiTheme="minorHAnsi" w:hAnsiTheme="minorHAnsi"/>
          <w:i/>
        </w:rPr>
        <w:br w:type="page"/>
      </w:r>
    </w:p>
    <w:p w14:paraId="7BAB1E02" w14:textId="17C1997D" w:rsidR="0005042E" w:rsidRPr="002E3254" w:rsidRDefault="0005042E" w:rsidP="002E3254">
      <w:pPr>
        <w:spacing w:before="160" w:after="80"/>
        <w:jc w:val="center"/>
        <w:rPr>
          <w:rFonts w:asciiTheme="minorHAnsi" w:hAnsiTheme="minorHAnsi"/>
          <w:bCs/>
          <w:iCs/>
        </w:rPr>
      </w:pPr>
      <w:r>
        <w:rPr>
          <w:rFonts w:asciiTheme="minorHAnsi" w:hAnsiTheme="minorHAnsi"/>
          <w:bCs/>
          <w:iCs/>
          <w:noProof/>
          <w:lang w:val="en-IN" w:eastAsia="en-IN"/>
        </w:rPr>
        <w:drawing>
          <wp:inline distT="0" distB="0" distL="0" distR="0" wp14:anchorId="464A4B46" wp14:editId="2B3685C9">
            <wp:extent cx="3632200" cy="2476500"/>
            <wp:effectExtent l="0" t="0" r="0" b="0"/>
            <wp:docPr id="654543714" name="Picture 51" descr="A map of the north p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543714" name="Picture 51" descr="A map of the north pole&#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3632200" cy="2476500"/>
                    </a:xfrm>
                    <a:prstGeom prst="rect">
                      <a:avLst/>
                    </a:prstGeom>
                  </pic:spPr>
                </pic:pic>
              </a:graphicData>
            </a:graphic>
          </wp:inline>
        </w:drawing>
      </w:r>
    </w:p>
    <w:p w14:paraId="6EAB2B49" w14:textId="3711E1BA" w:rsidR="0005042E" w:rsidRPr="00207935" w:rsidRDefault="0005042E" w:rsidP="00192F9B">
      <w:pPr>
        <w:spacing w:before="160" w:after="80"/>
        <w:jc w:val="both"/>
        <w:rPr>
          <w:rFonts w:asciiTheme="minorHAnsi" w:hAnsiTheme="minorHAnsi"/>
          <w:i/>
        </w:rPr>
      </w:pPr>
      <w:r w:rsidRPr="00207935">
        <w:rPr>
          <w:rFonts w:asciiTheme="minorHAnsi" w:hAnsiTheme="minorHAnsi"/>
          <w:bCs/>
          <w:i/>
        </w:rPr>
        <w:t xml:space="preserve">Supplementary Figure </w:t>
      </w:r>
      <w:r w:rsidR="009104E7">
        <w:rPr>
          <w:rFonts w:asciiTheme="minorHAnsi" w:hAnsiTheme="minorHAnsi"/>
          <w:bCs/>
          <w:i/>
        </w:rPr>
        <w:t>5</w:t>
      </w:r>
      <w:r w:rsidR="004027C6" w:rsidRPr="00207935">
        <w:rPr>
          <w:rFonts w:asciiTheme="minorHAnsi" w:hAnsiTheme="minorHAnsi"/>
          <w:bCs/>
          <w:i/>
        </w:rPr>
        <w:t>.9</w:t>
      </w:r>
      <w:r w:rsidRPr="00207935">
        <w:rPr>
          <w:rFonts w:asciiTheme="minorHAnsi" w:hAnsiTheme="minorHAnsi"/>
          <w:i/>
        </w:rPr>
        <w:t xml:space="preserve">: </w:t>
      </w:r>
      <w:r w:rsidR="002D0521" w:rsidRPr="00207935">
        <w:rPr>
          <w:rFonts w:asciiTheme="minorHAnsi" w:hAnsiTheme="minorHAnsi"/>
          <w:i/>
        </w:rPr>
        <w:t>The sea surface temperature pattern of El Niño Southern Oscillation (ENSO) in the recent climate ensemble</w:t>
      </w:r>
      <w:r w:rsidRPr="00207935">
        <w:rPr>
          <w:rFonts w:asciiTheme="minorHAnsi" w:hAnsiTheme="minorHAnsi"/>
          <w:i/>
        </w:rPr>
        <w:t xml:space="preserve">, this shows the expected warm jet along the equator in El Niño (SOI-) with cooler </w:t>
      </w:r>
      <w:r w:rsidR="001C15E3" w:rsidRPr="00207935">
        <w:rPr>
          <w:rFonts w:asciiTheme="minorHAnsi" w:hAnsiTheme="minorHAnsi"/>
          <w:i/>
        </w:rPr>
        <w:t xml:space="preserve">sea surface temperature </w:t>
      </w:r>
      <w:r w:rsidRPr="00207935">
        <w:rPr>
          <w:rFonts w:asciiTheme="minorHAnsi" w:hAnsiTheme="minorHAnsi"/>
          <w:i/>
        </w:rPr>
        <w:t>pools north and south of it in the west and central Pacific.</w:t>
      </w:r>
    </w:p>
    <w:p w14:paraId="545FEED7" w14:textId="77777777" w:rsidR="0005042E" w:rsidRPr="00A410DB" w:rsidRDefault="0005042E" w:rsidP="002E3254">
      <w:pPr>
        <w:spacing w:before="160" w:after="80"/>
        <w:rPr>
          <w:rFonts w:asciiTheme="minorHAnsi" w:hAnsiTheme="minorHAnsi"/>
          <w:iCs/>
        </w:rPr>
      </w:pPr>
    </w:p>
    <w:p w14:paraId="4DD38F75" w14:textId="5931C264" w:rsidR="0005042E" w:rsidRPr="002E3254" w:rsidRDefault="0005042E" w:rsidP="002E3254">
      <w:pPr>
        <w:spacing w:before="160" w:after="80"/>
        <w:jc w:val="center"/>
        <w:rPr>
          <w:rFonts w:asciiTheme="minorHAnsi" w:hAnsiTheme="minorHAnsi"/>
          <w:bCs/>
          <w:iCs/>
        </w:rPr>
      </w:pPr>
      <w:r>
        <w:rPr>
          <w:rFonts w:asciiTheme="minorHAnsi" w:hAnsiTheme="minorHAnsi"/>
          <w:bCs/>
          <w:iCs/>
          <w:noProof/>
          <w:lang w:val="en-IN" w:eastAsia="en-IN"/>
        </w:rPr>
        <w:drawing>
          <wp:inline distT="0" distB="0" distL="0" distR="0" wp14:anchorId="65B74330" wp14:editId="42997A1B">
            <wp:extent cx="3289300" cy="2476500"/>
            <wp:effectExtent l="0" t="0" r="0" b="0"/>
            <wp:docPr id="1249248893" name="Picture 52" descr="A map of the earth with the temperature of the ear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248893" name="Picture 52" descr="A map of the earth with the temperature of the earth&#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3289300" cy="2476500"/>
                    </a:xfrm>
                    <a:prstGeom prst="rect">
                      <a:avLst/>
                    </a:prstGeom>
                  </pic:spPr>
                </pic:pic>
              </a:graphicData>
            </a:graphic>
          </wp:inline>
        </w:drawing>
      </w:r>
    </w:p>
    <w:p w14:paraId="213553BA" w14:textId="440D6121" w:rsidR="0005042E" w:rsidRPr="00143CB1" w:rsidRDefault="0005042E" w:rsidP="00143CB1">
      <w:pPr>
        <w:spacing w:before="160" w:after="80"/>
        <w:jc w:val="both"/>
        <w:rPr>
          <w:rFonts w:asciiTheme="minorHAnsi" w:hAnsiTheme="minorHAnsi"/>
          <w:bCs/>
          <w:i/>
        </w:rPr>
      </w:pPr>
      <w:r w:rsidRPr="00207935">
        <w:rPr>
          <w:rFonts w:asciiTheme="minorHAnsi" w:hAnsiTheme="minorHAnsi"/>
          <w:bCs/>
          <w:i/>
        </w:rPr>
        <w:t xml:space="preserve">Supplementary Figure </w:t>
      </w:r>
      <w:r w:rsidR="009104E7">
        <w:rPr>
          <w:rFonts w:asciiTheme="minorHAnsi" w:hAnsiTheme="minorHAnsi"/>
          <w:bCs/>
          <w:i/>
        </w:rPr>
        <w:t>5</w:t>
      </w:r>
      <w:r w:rsidR="004027C6" w:rsidRPr="00207935">
        <w:rPr>
          <w:rFonts w:asciiTheme="minorHAnsi" w:hAnsiTheme="minorHAnsi"/>
          <w:bCs/>
          <w:i/>
        </w:rPr>
        <w:t>.10</w:t>
      </w:r>
      <w:r w:rsidRPr="00207935">
        <w:rPr>
          <w:rFonts w:asciiTheme="minorHAnsi" w:hAnsiTheme="minorHAnsi"/>
          <w:i/>
        </w:rPr>
        <w:t xml:space="preserve">: </w:t>
      </w:r>
      <w:r w:rsidR="0079049C" w:rsidRPr="00207935">
        <w:rPr>
          <w:rFonts w:asciiTheme="minorHAnsi" w:hAnsiTheme="minorHAnsi"/>
          <w:i/>
        </w:rPr>
        <w:t>The sea-level pressure pattern of the East Atlantic (EA) in the recent climate ensemble,</w:t>
      </w:r>
      <w:r w:rsidRPr="00207935">
        <w:rPr>
          <w:rFonts w:asciiTheme="minorHAnsi" w:hAnsiTheme="minorHAnsi"/>
          <w:i/>
        </w:rPr>
        <w:t xml:space="preserve"> showing a northern pressure low and southern pressure high in the Atlantic associated with the EA+.</w:t>
      </w:r>
      <w:r>
        <w:rPr>
          <w:rFonts w:asciiTheme="minorHAnsi" w:hAnsiTheme="minorHAnsi"/>
          <w:iCs/>
        </w:rPr>
        <w:br w:type="page"/>
      </w:r>
    </w:p>
    <w:p w14:paraId="5F2A545B" w14:textId="5BCF4347" w:rsidR="0005042E" w:rsidRPr="002E3254" w:rsidRDefault="0005042E" w:rsidP="002E3254">
      <w:pPr>
        <w:spacing w:before="160" w:after="80"/>
        <w:jc w:val="center"/>
        <w:rPr>
          <w:rFonts w:asciiTheme="minorHAnsi" w:hAnsiTheme="minorHAnsi"/>
          <w:bCs/>
          <w:iCs/>
        </w:rPr>
      </w:pPr>
      <w:r>
        <w:rPr>
          <w:rFonts w:asciiTheme="minorHAnsi" w:hAnsiTheme="minorHAnsi"/>
          <w:bCs/>
          <w:iCs/>
          <w:noProof/>
          <w:lang w:val="en-IN" w:eastAsia="en-IN"/>
        </w:rPr>
        <w:drawing>
          <wp:inline distT="0" distB="0" distL="0" distR="0" wp14:anchorId="14EE2658" wp14:editId="0F41AADB">
            <wp:extent cx="3327400" cy="2476500"/>
            <wp:effectExtent l="0" t="0" r="0" b="0"/>
            <wp:docPr id="1367584183" name="Picture 53" descr="A diagram of the ear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84183" name="Picture 53" descr="A diagram of the earth&#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3327400" cy="2476500"/>
                    </a:xfrm>
                    <a:prstGeom prst="rect">
                      <a:avLst/>
                    </a:prstGeom>
                  </pic:spPr>
                </pic:pic>
              </a:graphicData>
            </a:graphic>
          </wp:inline>
        </w:drawing>
      </w:r>
    </w:p>
    <w:p w14:paraId="0676493B" w14:textId="5054108B" w:rsidR="0005042E" w:rsidRPr="00207935" w:rsidRDefault="0005042E" w:rsidP="006412B1">
      <w:pPr>
        <w:spacing w:before="160" w:after="80"/>
        <w:jc w:val="both"/>
        <w:rPr>
          <w:rFonts w:asciiTheme="minorHAnsi" w:hAnsiTheme="minorHAnsi"/>
          <w:i/>
        </w:rPr>
      </w:pPr>
      <w:r w:rsidRPr="00207935">
        <w:rPr>
          <w:rFonts w:asciiTheme="minorHAnsi" w:hAnsiTheme="minorHAnsi"/>
          <w:bCs/>
          <w:i/>
        </w:rPr>
        <w:t xml:space="preserve">Supplementary Figure </w:t>
      </w:r>
      <w:r w:rsidR="009104E7">
        <w:rPr>
          <w:rFonts w:asciiTheme="minorHAnsi" w:hAnsiTheme="minorHAnsi"/>
          <w:bCs/>
          <w:i/>
        </w:rPr>
        <w:t>5</w:t>
      </w:r>
      <w:r w:rsidR="004027C6" w:rsidRPr="00207935">
        <w:rPr>
          <w:rFonts w:asciiTheme="minorHAnsi" w:hAnsiTheme="minorHAnsi"/>
          <w:bCs/>
          <w:i/>
        </w:rPr>
        <w:t>.11</w:t>
      </w:r>
      <w:r w:rsidRPr="00207935">
        <w:rPr>
          <w:rFonts w:asciiTheme="minorHAnsi" w:hAnsiTheme="minorHAnsi"/>
          <w:i/>
        </w:rPr>
        <w:t xml:space="preserve">: </w:t>
      </w:r>
      <w:r w:rsidR="00AB7B6A" w:rsidRPr="00207935">
        <w:rPr>
          <w:rFonts w:asciiTheme="minorHAnsi" w:hAnsiTheme="minorHAnsi"/>
          <w:i/>
        </w:rPr>
        <w:t>The sea-level pressure pattern of the Arctic Oscillation (AO) in the recent climate ensemble</w:t>
      </w:r>
      <w:r w:rsidRPr="00207935">
        <w:rPr>
          <w:rFonts w:asciiTheme="minorHAnsi" w:hAnsiTheme="minorHAnsi"/>
          <w:i/>
        </w:rPr>
        <w:t>, showing the expected low pressure system over the Arctic associated with the AO+.</w:t>
      </w:r>
    </w:p>
    <w:p w14:paraId="02E40F77" w14:textId="7CA8BF1F" w:rsidR="0005042E" w:rsidRPr="008834C2" w:rsidRDefault="00A943E5" w:rsidP="00192F9B">
      <w:pPr>
        <w:spacing w:before="160" w:after="80"/>
        <w:jc w:val="center"/>
        <w:rPr>
          <w:rFonts w:asciiTheme="minorHAnsi" w:hAnsiTheme="minorHAnsi"/>
        </w:rPr>
      </w:pPr>
      <w:r>
        <w:rPr>
          <w:rFonts w:asciiTheme="minorHAnsi" w:hAnsiTheme="minorHAnsi"/>
          <w:noProof/>
          <w:lang w:val="en-IN" w:eastAsia="en-IN"/>
        </w:rPr>
        <w:drawing>
          <wp:inline distT="0" distB="0" distL="0" distR="0" wp14:anchorId="4C9F3419" wp14:editId="2ED38D20">
            <wp:extent cx="5943600" cy="2512060"/>
            <wp:effectExtent l="0" t="0" r="0" b="2540"/>
            <wp:docPr id="1938611504" name="Picture 7" descr="A collage of maps of different weather condi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611504" name="Picture 7" descr="A collage of maps of different weather conditions&#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2512060"/>
                    </a:xfrm>
                    <a:prstGeom prst="rect">
                      <a:avLst/>
                    </a:prstGeom>
                  </pic:spPr>
                </pic:pic>
              </a:graphicData>
            </a:graphic>
          </wp:inline>
        </w:drawing>
      </w:r>
    </w:p>
    <w:p w14:paraId="50D49479" w14:textId="440B915E" w:rsidR="0005042E" w:rsidRPr="00207935" w:rsidRDefault="0005042E" w:rsidP="00D40E8A">
      <w:pPr>
        <w:spacing w:before="160" w:after="80"/>
        <w:rPr>
          <w:rFonts w:asciiTheme="minorHAnsi" w:hAnsiTheme="minorHAnsi"/>
          <w:i/>
          <w:iCs/>
          <w:color w:val="000000" w:themeColor="text1"/>
        </w:rPr>
      </w:pPr>
      <w:r w:rsidRPr="00207935">
        <w:rPr>
          <w:rFonts w:asciiTheme="minorHAnsi" w:hAnsiTheme="minorHAnsi"/>
          <w:i/>
          <w:iCs/>
          <w:color w:val="000000" w:themeColor="text1"/>
        </w:rPr>
        <w:t xml:space="preserve">Supplementary Figure </w:t>
      </w:r>
      <w:r w:rsidR="009104E7">
        <w:rPr>
          <w:rFonts w:asciiTheme="minorHAnsi" w:hAnsiTheme="minorHAnsi"/>
          <w:i/>
          <w:iCs/>
          <w:color w:val="000000" w:themeColor="text1"/>
        </w:rPr>
        <w:t>5</w:t>
      </w:r>
      <w:r w:rsidR="004027C6" w:rsidRPr="00207935">
        <w:rPr>
          <w:rFonts w:asciiTheme="minorHAnsi" w:hAnsiTheme="minorHAnsi"/>
          <w:i/>
          <w:iCs/>
          <w:color w:val="000000" w:themeColor="text1"/>
        </w:rPr>
        <w:t>.12</w:t>
      </w:r>
      <w:r w:rsidRPr="00207935">
        <w:rPr>
          <w:rFonts w:asciiTheme="minorHAnsi" w:hAnsiTheme="minorHAnsi"/>
          <w:i/>
          <w:iCs/>
          <w:color w:val="000000" w:themeColor="text1"/>
        </w:rPr>
        <w:t xml:space="preserve">: </w:t>
      </w:r>
      <w:r w:rsidR="00FB3252" w:rsidRPr="00207935">
        <w:rPr>
          <w:rFonts w:asciiTheme="minorHAnsi" w:hAnsiTheme="minorHAnsi"/>
          <w:i/>
          <w:iCs/>
          <w:color w:val="000000" w:themeColor="text1"/>
        </w:rPr>
        <w:t>The effect of the phase of each climate mode (greater or lesser than half of a standard deviation from zero) on annual precipitation totals relative to the mean rate.</w:t>
      </w:r>
      <w:r w:rsidR="00E57AD6" w:rsidRPr="00207935">
        <w:rPr>
          <w:rFonts w:asciiTheme="minorHAnsi" w:hAnsiTheme="minorHAnsi"/>
          <w:i/>
          <w:iCs/>
          <w:color w:val="000000" w:themeColor="text1"/>
        </w:rPr>
        <w:br w:type="page"/>
      </w:r>
    </w:p>
    <w:p w14:paraId="0650C8F0" w14:textId="77777777" w:rsidR="0005042E" w:rsidRDefault="0005042E" w:rsidP="00192F9B">
      <w:pPr>
        <w:spacing w:before="160" w:after="80"/>
        <w:rPr>
          <w:rFonts w:asciiTheme="minorHAnsi" w:hAnsiTheme="minorHAnsi"/>
          <w:bCs/>
          <w:iCs/>
        </w:rPr>
      </w:pPr>
      <w:r>
        <w:rPr>
          <w:rFonts w:asciiTheme="minorHAnsi" w:hAnsiTheme="minorHAnsi"/>
          <w:bCs/>
          <w:iCs/>
          <w:noProof/>
          <w:lang w:val="en-IN" w:eastAsia="en-IN"/>
        </w:rPr>
        <w:drawing>
          <wp:inline distT="0" distB="0" distL="0" distR="0" wp14:anchorId="6BD130FB" wp14:editId="5351024C">
            <wp:extent cx="5943600" cy="3012440"/>
            <wp:effectExtent l="0" t="0" r="0" b="0"/>
            <wp:docPr id="1928215919" name="Picture 2"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215919" name="Picture 2" descr="A graph of different colored lines&#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3012440"/>
                    </a:xfrm>
                    <a:prstGeom prst="rect">
                      <a:avLst/>
                    </a:prstGeom>
                  </pic:spPr>
                </pic:pic>
              </a:graphicData>
            </a:graphic>
          </wp:inline>
        </w:drawing>
      </w:r>
    </w:p>
    <w:p w14:paraId="04B2461E" w14:textId="0AD49A12" w:rsidR="0005042E" w:rsidRPr="00207935" w:rsidRDefault="0005042E" w:rsidP="00192F9B">
      <w:pPr>
        <w:spacing w:before="160" w:after="80"/>
        <w:rPr>
          <w:rFonts w:asciiTheme="minorHAnsi" w:hAnsiTheme="minorHAnsi"/>
          <w:bCs/>
          <w:i/>
        </w:rPr>
      </w:pPr>
      <w:r w:rsidRPr="00207935">
        <w:rPr>
          <w:rFonts w:asciiTheme="minorHAnsi" w:hAnsiTheme="minorHAnsi"/>
          <w:bCs/>
          <w:i/>
          <w:color w:val="000000" w:themeColor="text1"/>
        </w:rPr>
        <w:t xml:space="preserve">Supplementary Figure </w:t>
      </w:r>
      <w:r w:rsidR="009104E7">
        <w:rPr>
          <w:rFonts w:asciiTheme="minorHAnsi" w:hAnsiTheme="minorHAnsi"/>
          <w:bCs/>
          <w:i/>
          <w:color w:val="000000" w:themeColor="text1"/>
        </w:rPr>
        <w:t>5</w:t>
      </w:r>
      <w:r w:rsidR="004027C6" w:rsidRPr="00207935">
        <w:rPr>
          <w:rFonts w:asciiTheme="minorHAnsi" w:hAnsiTheme="minorHAnsi"/>
          <w:bCs/>
          <w:i/>
          <w:color w:val="000000" w:themeColor="text1"/>
        </w:rPr>
        <w:t>.13</w:t>
      </w:r>
      <w:r w:rsidRPr="00207935">
        <w:rPr>
          <w:rFonts w:asciiTheme="minorHAnsi" w:hAnsiTheme="minorHAnsi"/>
          <w:bCs/>
          <w:i/>
          <w:color w:val="000000" w:themeColor="text1"/>
        </w:rPr>
        <w:t xml:space="preserve">: </w:t>
      </w:r>
      <w:r w:rsidR="00D5127B" w:rsidRPr="00207935">
        <w:rPr>
          <w:rFonts w:asciiTheme="minorHAnsi" w:hAnsiTheme="minorHAnsi"/>
          <w:bCs/>
          <w:i/>
          <w:color w:val="000000" w:themeColor="text1"/>
        </w:rPr>
        <w:t xml:space="preserve">The 16 transient runs of the AMO index </w:t>
      </w:r>
      <w:r w:rsidR="00AD5CE8" w:rsidRPr="00207935">
        <w:rPr>
          <w:rFonts w:asciiTheme="minorHAnsi" w:hAnsiTheme="minorHAnsi"/>
          <w:bCs/>
          <w:i/>
          <w:color w:val="000000" w:themeColor="text1"/>
        </w:rPr>
        <w:t>from which the 160 ensemble members</w:t>
      </w:r>
      <w:r w:rsidR="00667324" w:rsidRPr="00207935">
        <w:rPr>
          <w:rFonts w:asciiTheme="minorHAnsi" w:hAnsiTheme="minorHAnsi"/>
          <w:bCs/>
          <w:i/>
          <w:color w:val="000000" w:themeColor="text1"/>
        </w:rPr>
        <w:t xml:space="preserve"> for each time-slice</w:t>
      </w:r>
      <w:r w:rsidR="00AD5CE8" w:rsidRPr="00207935">
        <w:rPr>
          <w:rFonts w:asciiTheme="minorHAnsi" w:hAnsiTheme="minorHAnsi"/>
          <w:bCs/>
          <w:i/>
          <w:color w:val="000000" w:themeColor="text1"/>
        </w:rPr>
        <w:t xml:space="preserve"> are derived</w:t>
      </w:r>
      <w:r w:rsidR="00941D42" w:rsidRPr="00207935">
        <w:rPr>
          <w:rFonts w:asciiTheme="minorHAnsi" w:hAnsiTheme="minorHAnsi"/>
          <w:bCs/>
          <w:i/>
          <w:color w:val="000000" w:themeColor="text1"/>
        </w:rPr>
        <w:t xml:space="preserve">. The thin line shows the annual timeseries and the thicker, under-filled line shows the </w:t>
      </w:r>
      <w:proofErr w:type="spellStart"/>
      <w:r w:rsidR="00941D42" w:rsidRPr="00207935">
        <w:rPr>
          <w:rFonts w:asciiTheme="minorHAnsi" w:hAnsiTheme="minorHAnsi"/>
          <w:bCs/>
          <w:i/>
          <w:color w:val="000000" w:themeColor="text1"/>
        </w:rPr>
        <w:t>decadally</w:t>
      </w:r>
      <w:proofErr w:type="spellEnd"/>
      <w:r w:rsidR="00941D42" w:rsidRPr="00207935">
        <w:rPr>
          <w:rFonts w:asciiTheme="minorHAnsi" w:hAnsiTheme="minorHAnsi"/>
          <w:bCs/>
          <w:i/>
          <w:color w:val="000000" w:themeColor="text1"/>
        </w:rPr>
        <w:t xml:space="preserve"> smoothed, </w:t>
      </w:r>
      <w:proofErr w:type="spellStart"/>
      <w:r w:rsidR="00941D42" w:rsidRPr="00207935">
        <w:rPr>
          <w:rFonts w:asciiTheme="minorHAnsi" w:hAnsiTheme="minorHAnsi"/>
          <w:bCs/>
          <w:i/>
          <w:color w:val="000000" w:themeColor="text1"/>
        </w:rPr>
        <w:t>centered</w:t>
      </w:r>
      <w:proofErr w:type="spellEnd"/>
      <w:r w:rsidR="00941D42" w:rsidRPr="00207935">
        <w:rPr>
          <w:rFonts w:asciiTheme="minorHAnsi" w:hAnsiTheme="minorHAnsi"/>
          <w:bCs/>
          <w:i/>
          <w:color w:val="000000" w:themeColor="text1"/>
        </w:rPr>
        <w:t xml:space="preserve"> average.</w:t>
      </w:r>
    </w:p>
    <w:p w14:paraId="46389A74" w14:textId="77777777" w:rsidR="0005042E" w:rsidRDefault="0005042E" w:rsidP="00192F9B">
      <w:pPr>
        <w:spacing w:before="160" w:after="80"/>
        <w:rPr>
          <w:rFonts w:asciiTheme="minorHAnsi" w:hAnsiTheme="minorHAnsi"/>
          <w:bCs/>
          <w:iCs/>
        </w:rPr>
      </w:pPr>
      <w:r>
        <w:rPr>
          <w:rFonts w:asciiTheme="minorHAnsi" w:hAnsiTheme="minorHAnsi"/>
          <w:bCs/>
          <w:iCs/>
          <w:noProof/>
          <w:lang w:val="en-IN" w:eastAsia="en-IN"/>
        </w:rPr>
        <w:drawing>
          <wp:inline distT="0" distB="0" distL="0" distR="0" wp14:anchorId="65D1F3DA" wp14:editId="4284CEA8">
            <wp:extent cx="5943600" cy="3012440"/>
            <wp:effectExtent l="0" t="0" r="0" b="0"/>
            <wp:docPr id="1534558550" name="Picture 3"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558550" name="Picture 3" descr="A graph of different colored lines&#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3012440"/>
                    </a:xfrm>
                    <a:prstGeom prst="rect">
                      <a:avLst/>
                    </a:prstGeom>
                  </pic:spPr>
                </pic:pic>
              </a:graphicData>
            </a:graphic>
          </wp:inline>
        </w:drawing>
      </w:r>
    </w:p>
    <w:p w14:paraId="3F6FEE32" w14:textId="19274CA1" w:rsidR="00DB0A22" w:rsidRDefault="0005042E" w:rsidP="002E3254">
      <w:pPr>
        <w:spacing w:before="160" w:after="80"/>
        <w:rPr>
          <w:rFonts w:asciiTheme="minorHAnsi" w:hAnsiTheme="minorHAnsi"/>
          <w:bCs/>
          <w:i/>
          <w:color w:val="000000" w:themeColor="text1"/>
        </w:rPr>
      </w:pPr>
      <w:r w:rsidRPr="00207935">
        <w:rPr>
          <w:rFonts w:asciiTheme="minorHAnsi" w:hAnsiTheme="minorHAnsi"/>
          <w:bCs/>
          <w:i/>
          <w:color w:val="000000" w:themeColor="text1"/>
        </w:rPr>
        <w:t xml:space="preserve">Supplementary Figure </w:t>
      </w:r>
      <w:r w:rsidR="009104E7">
        <w:rPr>
          <w:rFonts w:asciiTheme="minorHAnsi" w:hAnsiTheme="minorHAnsi"/>
          <w:bCs/>
          <w:i/>
          <w:color w:val="000000" w:themeColor="text1"/>
        </w:rPr>
        <w:t>5</w:t>
      </w:r>
      <w:r w:rsidR="004027C6" w:rsidRPr="00207935">
        <w:rPr>
          <w:rFonts w:asciiTheme="minorHAnsi" w:hAnsiTheme="minorHAnsi"/>
          <w:bCs/>
          <w:i/>
          <w:color w:val="000000" w:themeColor="text1"/>
        </w:rPr>
        <w:t>.14</w:t>
      </w:r>
      <w:r w:rsidRPr="00207935">
        <w:rPr>
          <w:rFonts w:asciiTheme="minorHAnsi" w:hAnsiTheme="minorHAnsi"/>
          <w:bCs/>
          <w:i/>
          <w:color w:val="000000" w:themeColor="text1"/>
        </w:rPr>
        <w:t xml:space="preserve">: </w:t>
      </w:r>
      <w:r w:rsidR="00941D42" w:rsidRPr="00207935">
        <w:rPr>
          <w:rFonts w:asciiTheme="minorHAnsi" w:hAnsiTheme="minorHAnsi"/>
          <w:bCs/>
          <w:i/>
          <w:color w:val="000000" w:themeColor="text1"/>
        </w:rPr>
        <w:t xml:space="preserve">The 16 transient runs of the PDO index from which the 160 ensemble members for each time-slice are derived. The thin line shows the annual timeseries and the thicker, under-filled line shows the </w:t>
      </w:r>
      <w:proofErr w:type="spellStart"/>
      <w:r w:rsidR="00941D42" w:rsidRPr="00207935">
        <w:rPr>
          <w:rFonts w:asciiTheme="minorHAnsi" w:hAnsiTheme="minorHAnsi"/>
          <w:bCs/>
          <w:i/>
          <w:color w:val="000000" w:themeColor="text1"/>
        </w:rPr>
        <w:t>decadally</w:t>
      </w:r>
      <w:proofErr w:type="spellEnd"/>
      <w:r w:rsidR="00941D42" w:rsidRPr="00207935">
        <w:rPr>
          <w:rFonts w:asciiTheme="minorHAnsi" w:hAnsiTheme="minorHAnsi"/>
          <w:bCs/>
          <w:i/>
          <w:color w:val="000000" w:themeColor="text1"/>
        </w:rPr>
        <w:t xml:space="preserve"> smoothed, </w:t>
      </w:r>
      <w:proofErr w:type="spellStart"/>
      <w:r w:rsidR="00941D42" w:rsidRPr="00207935">
        <w:rPr>
          <w:rFonts w:asciiTheme="minorHAnsi" w:hAnsiTheme="minorHAnsi"/>
          <w:bCs/>
          <w:i/>
          <w:color w:val="000000" w:themeColor="text1"/>
        </w:rPr>
        <w:t>centered</w:t>
      </w:r>
      <w:proofErr w:type="spellEnd"/>
      <w:r w:rsidR="00941D42" w:rsidRPr="00207935">
        <w:rPr>
          <w:rFonts w:asciiTheme="minorHAnsi" w:hAnsiTheme="minorHAnsi"/>
          <w:bCs/>
          <w:i/>
          <w:color w:val="000000" w:themeColor="text1"/>
        </w:rPr>
        <w:t xml:space="preserve"> average.</w:t>
      </w:r>
    </w:p>
    <w:p w14:paraId="66DAC77C" w14:textId="77777777" w:rsidR="00DB0A22" w:rsidRDefault="00DB0A22" w:rsidP="002E3254">
      <w:pPr>
        <w:spacing w:before="160" w:after="80"/>
        <w:rPr>
          <w:rFonts w:asciiTheme="minorHAnsi" w:hAnsiTheme="minorHAnsi"/>
          <w:bCs/>
          <w:i/>
          <w:color w:val="000000" w:themeColor="text1"/>
        </w:rPr>
      </w:pPr>
    </w:p>
    <w:p w14:paraId="6B4B9974" w14:textId="07E55777" w:rsidR="00DB0A22" w:rsidRDefault="00DB0A22" w:rsidP="00FD434A">
      <w:pPr>
        <w:spacing w:before="160" w:after="80"/>
        <w:jc w:val="center"/>
        <w:rPr>
          <w:rFonts w:asciiTheme="minorHAnsi" w:hAnsiTheme="minorHAnsi"/>
          <w:bCs/>
          <w:i/>
          <w:color w:val="000000" w:themeColor="text1"/>
        </w:rPr>
      </w:pPr>
      <w:r w:rsidRPr="00FF2867">
        <w:rPr>
          <w:rFonts w:asciiTheme="minorHAnsi" w:hAnsiTheme="minorHAnsi"/>
          <w:i/>
          <w:iCs/>
          <w:noProof/>
          <w:color w:val="156082" w:themeColor="accent1"/>
          <w:lang w:val="en-IN" w:eastAsia="en-IN"/>
        </w:rPr>
        <w:drawing>
          <wp:inline distT="0" distB="0" distL="0" distR="0" wp14:anchorId="0459256F" wp14:editId="6AFDC573">
            <wp:extent cx="4215950" cy="2707718"/>
            <wp:effectExtent l="0" t="0" r="635" b="0"/>
            <wp:docPr id="1361602818" name="Picture 3" descr="A diagram of a normal distribution&#10;&#10;AI-generated content may be incorrect.">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5D8441-EA5D-38DC-DB52-34EF71D8F9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diagram of a normal distribution&#10;&#10;AI-generated content may be incorrect.">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5D8441-EA5D-38DC-DB52-34EF71D8F98C}"/>
                        </a:ext>
                      </a:extLst>
                    </pic:cNvPr>
                    <pic:cNvPicPr>
                      <a:picLocks noChangeAspect="1"/>
                    </pic:cNvPicPr>
                  </pic:nvPicPr>
                  <pic:blipFill>
                    <a:blip r:embed="rId30"/>
                    <a:stretch>
                      <a:fillRect/>
                    </a:stretch>
                  </pic:blipFill>
                  <pic:spPr>
                    <a:xfrm>
                      <a:off x="0" y="0"/>
                      <a:ext cx="4228554" cy="2715813"/>
                    </a:xfrm>
                    <a:prstGeom prst="rect">
                      <a:avLst/>
                    </a:prstGeom>
                  </pic:spPr>
                </pic:pic>
              </a:graphicData>
            </a:graphic>
          </wp:inline>
        </w:drawing>
      </w:r>
    </w:p>
    <w:p w14:paraId="53AF3CC9" w14:textId="2304F56D" w:rsidR="00DB0A22" w:rsidRDefault="00DB0A22" w:rsidP="00FD434A">
      <w:pPr>
        <w:spacing w:before="160" w:after="80"/>
        <w:jc w:val="both"/>
        <w:rPr>
          <w:rFonts w:asciiTheme="minorHAnsi" w:hAnsiTheme="minorHAnsi"/>
          <w:bCs/>
          <w:i/>
          <w:color w:val="000000" w:themeColor="text1"/>
        </w:rPr>
      </w:pPr>
      <w:r w:rsidRPr="00DB0A22">
        <w:rPr>
          <w:rFonts w:asciiTheme="minorHAnsi" w:hAnsiTheme="minorHAnsi"/>
          <w:bCs/>
          <w:i/>
          <w:color w:val="000000" w:themeColor="text1"/>
        </w:rPr>
        <w:t xml:space="preserve">Supplementary Figure </w:t>
      </w:r>
      <w:r w:rsidR="009104E7">
        <w:rPr>
          <w:rFonts w:asciiTheme="minorHAnsi" w:hAnsiTheme="minorHAnsi"/>
          <w:bCs/>
          <w:i/>
          <w:color w:val="000000" w:themeColor="text1"/>
        </w:rPr>
        <w:t>5</w:t>
      </w:r>
      <w:r>
        <w:rPr>
          <w:rFonts w:asciiTheme="minorHAnsi" w:hAnsiTheme="minorHAnsi"/>
          <w:bCs/>
          <w:i/>
          <w:color w:val="000000" w:themeColor="text1"/>
        </w:rPr>
        <w:t>.15</w:t>
      </w:r>
      <w:r w:rsidRPr="00DB0A22">
        <w:rPr>
          <w:rFonts w:asciiTheme="minorHAnsi" w:hAnsiTheme="minorHAnsi"/>
          <w:bCs/>
          <w:i/>
          <w:color w:val="000000" w:themeColor="text1"/>
        </w:rPr>
        <w:t>: Distributions, with K-S test p-values for difference in distribution in both periods. There are small but statistically significant shifts in the ENSO, IOD and TNA distributions.</w:t>
      </w:r>
    </w:p>
    <w:p w14:paraId="667E2E6B" w14:textId="77777777" w:rsidR="00DB0A22" w:rsidRPr="00FF2867" w:rsidRDefault="00DB0A22" w:rsidP="00FD434A">
      <w:pPr>
        <w:jc w:val="center"/>
        <w:rPr>
          <w:rFonts w:asciiTheme="minorHAnsi" w:hAnsiTheme="minorHAnsi"/>
          <w:i/>
          <w:iCs/>
          <w:color w:val="156082" w:themeColor="accent1"/>
        </w:rPr>
      </w:pPr>
      <w:r w:rsidRPr="00FF2867">
        <w:rPr>
          <w:rFonts w:asciiTheme="minorHAnsi" w:hAnsiTheme="minorHAnsi"/>
          <w:i/>
          <w:iCs/>
          <w:noProof/>
          <w:color w:val="156082" w:themeColor="accent1"/>
          <w:lang w:val="en-IN" w:eastAsia="en-IN"/>
          <w14:ligatures w14:val="standardContextual"/>
        </w:rPr>
        <w:drawing>
          <wp:inline distT="0" distB="0" distL="0" distR="0" wp14:anchorId="08FDFB99" wp14:editId="12A9DF1F">
            <wp:extent cx="4470400" cy="2717800"/>
            <wp:effectExtent l="0" t="0" r="0" b="0"/>
            <wp:docPr id="1504647376" name="Picture 1" descr="A comparison of the different weather condi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47376" name="Picture 1" descr="A comparison of the different weather conditions&#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4470400" cy="2717800"/>
                    </a:xfrm>
                    <a:prstGeom prst="rect">
                      <a:avLst/>
                    </a:prstGeom>
                  </pic:spPr>
                </pic:pic>
              </a:graphicData>
            </a:graphic>
          </wp:inline>
        </w:drawing>
      </w:r>
    </w:p>
    <w:p w14:paraId="11C7AD65" w14:textId="77777777" w:rsidR="00DB0A22" w:rsidRPr="00FF2867" w:rsidRDefault="00DB0A22" w:rsidP="00DB0A22">
      <w:pPr>
        <w:ind w:left="720"/>
        <w:rPr>
          <w:rFonts w:asciiTheme="minorHAnsi" w:hAnsiTheme="minorHAnsi"/>
          <w:i/>
          <w:iCs/>
          <w:color w:val="156082" w:themeColor="accent1"/>
        </w:rPr>
      </w:pPr>
    </w:p>
    <w:p w14:paraId="3453AC19" w14:textId="3ECE7B84" w:rsidR="00DB0A22" w:rsidRPr="00FD434A" w:rsidRDefault="00DB0A22" w:rsidP="00FD434A">
      <w:pPr>
        <w:jc w:val="both"/>
        <w:rPr>
          <w:rFonts w:asciiTheme="minorHAnsi" w:hAnsiTheme="minorHAnsi"/>
          <w:i/>
          <w:iCs/>
          <w:color w:val="000000" w:themeColor="text1"/>
        </w:rPr>
      </w:pPr>
      <w:r w:rsidRPr="00FD434A">
        <w:rPr>
          <w:rFonts w:asciiTheme="minorHAnsi" w:hAnsiTheme="minorHAnsi"/>
          <w:i/>
          <w:iCs/>
          <w:color w:val="000000" w:themeColor="text1"/>
        </w:rPr>
        <w:t xml:space="preserve">Supplementary Figure </w:t>
      </w:r>
      <w:r w:rsidR="009104E7">
        <w:rPr>
          <w:rFonts w:asciiTheme="minorHAnsi" w:hAnsiTheme="minorHAnsi"/>
          <w:i/>
          <w:iCs/>
          <w:color w:val="000000" w:themeColor="text1"/>
        </w:rPr>
        <w:t>5</w:t>
      </w:r>
      <w:r w:rsidRPr="00FD434A">
        <w:rPr>
          <w:rFonts w:asciiTheme="minorHAnsi" w:hAnsiTheme="minorHAnsi"/>
          <w:i/>
          <w:iCs/>
          <w:color w:val="000000" w:themeColor="text1"/>
        </w:rPr>
        <w:t xml:space="preserve">.16: The sea surface temperature pattern of El Niño Southern Oscillation (ENSO) in the recent (left) and future (right) time slice of the climate ensemble. </w:t>
      </w:r>
    </w:p>
    <w:p w14:paraId="5A1C5347" w14:textId="77777777" w:rsidR="00DB0A22" w:rsidRDefault="00DB0A22" w:rsidP="002E3254">
      <w:pPr>
        <w:spacing w:before="160" w:after="80"/>
        <w:rPr>
          <w:rFonts w:asciiTheme="minorHAnsi" w:hAnsiTheme="minorHAnsi"/>
          <w:bCs/>
          <w:i/>
          <w:color w:val="000000" w:themeColor="text1"/>
        </w:rPr>
      </w:pPr>
    </w:p>
    <w:p w14:paraId="283C9E40" w14:textId="77777777" w:rsidR="00D918B8" w:rsidRDefault="0005042E" w:rsidP="00D918B8">
      <w:pPr>
        <w:pStyle w:val="Heading3"/>
        <w:rPr>
          <w:rFonts w:asciiTheme="minorHAnsi" w:hAnsiTheme="minorHAnsi"/>
          <w:b/>
          <w:iCs/>
          <w:color w:val="000000" w:themeColor="text1"/>
        </w:rPr>
      </w:pPr>
      <w:r w:rsidRPr="00207935">
        <w:rPr>
          <w:rFonts w:asciiTheme="minorHAnsi" w:hAnsiTheme="minorHAnsi"/>
          <w:bCs/>
          <w:i/>
        </w:rPr>
        <w:br w:type="page"/>
      </w:r>
      <w:r w:rsidR="00D918B8">
        <w:rPr>
          <w:rFonts w:asciiTheme="minorHAnsi" w:hAnsiTheme="minorHAnsi"/>
          <w:b/>
          <w:iCs/>
          <w:color w:val="000000" w:themeColor="text1"/>
        </w:rPr>
        <w:t>Supplementary Section 6: Correlations Between ENSO, IOD and TNA+1</w:t>
      </w:r>
    </w:p>
    <w:p w14:paraId="388FB96B" w14:textId="77777777" w:rsidR="00D918B8" w:rsidRPr="00A410DB" w:rsidRDefault="00D918B8" w:rsidP="00D918B8">
      <w:pPr>
        <w:spacing w:before="160" w:after="80"/>
        <w:rPr>
          <w:rFonts w:asciiTheme="minorHAnsi" w:hAnsiTheme="minorHAnsi"/>
          <w:bCs/>
          <w:iCs/>
        </w:rPr>
      </w:pPr>
      <w:r>
        <w:rPr>
          <w:rFonts w:asciiTheme="minorHAnsi" w:hAnsiTheme="minorHAnsi"/>
          <w:bCs/>
          <w:iCs/>
        </w:rPr>
        <w:t xml:space="preserve">The El Niño Southern Oscillation (ENSO) is correlated with the Indian Ocean Dipole (IOD) and Tropical North Atlantic (TNA) in the ensemble. The below scatter plots given an overview of that relationship in the ensemble recent and +2°C climates, the TNA+1 is correlated to ENSO, whilst the IOD is more strongly anti-correlated. Both modes become more strongly correlated with future warming. </w:t>
      </w:r>
    </w:p>
    <w:p w14:paraId="7CC9123D" w14:textId="77777777" w:rsidR="00D918B8" w:rsidRDefault="00D918B8" w:rsidP="00D918B8">
      <w:pPr>
        <w:spacing w:before="160" w:after="80" w:line="279" w:lineRule="auto"/>
        <w:jc w:val="center"/>
        <w:rPr>
          <w:rFonts w:asciiTheme="minorHAnsi" w:hAnsiTheme="minorHAnsi"/>
          <w:iCs/>
        </w:rPr>
      </w:pPr>
      <w:r w:rsidRPr="006C3F80">
        <w:rPr>
          <w:rFonts w:ascii="Aptos" w:hAnsi="Aptos"/>
          <w:i/>
          <w:iCs/>
          <w:noProof/>
          <w:color w:val="156082" w:themeColor="accent1"/>
          <w:lang w:val="en-IN" w:eastAsia="en-IN"/>
        </w:rPr>
        <w:drawing>
          <wp:inline distT="0" distB="0" distL="0" distR="0" wp14:anchorId="42C7CC88" wp14:editId="05FE5C1F">
            <wp:extent cx="5291091" cy="3017200"/>
            <wp:effectExtent l="0" t="0" r="5080" b="5715"/>
            <wp:docPr id="1100124853" name="Picture 4" descr="A group of images of different sizes of enso and enso&#10;&#10;AI-generated content may be incorrect.">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007953-BE47-DC9E-FB6A-1166810A05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images of different sizes of enso and enso&#10;&#10;AI-generated content may be incorrect.">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007953-BE47-DC9E-FB6A-1166810A05E2}"/>
                        </a:ext>
                      </a:extLst>
                    </pic:cNvPr>
                    <pic:cNvPicPr>
                      <a:picLocks noChangeAspect="1"/>
                    </pic:cNvPicPr>
                  </pic:nvPicPr>
                  <pic:blipFill>
                    <a:blip r:embed="rId32"/>
                    <a:stretch>
                      <a:fillRect/>
                    </a:stretch>
                  </pic:blipFill>
                  <pic:spPr>
                    <a:xfrm>
                      <a:off x="0" y="0"/>
                      <a:ext cx="5302931" cy="3023952"/>
                    </a:xfrm>
                    <a:prstGeom prst="rect">
                      <a:avLst/>
                    </a:prstGeom>
                  </pic:spPr>
                </pic:pic>
              </a:graphicData>
            </a:graphic>
          </wp:inline>
        </w:drawing>
      </w:r>
    </w:p>
    <w:p w14:paraId="48CD9C3B" w14:textId="56254795" w:rsidR="00013C12" w:rsidRDefault="00D918B8" w:rsidP="00D918B8">
      <w:pPr>
        <w:spacing w:before="160" w:after="80" w:line="279" w:lineRule="auto"/>
        <w:rPr>
          <w:rFonts w:asciiTheme="minorHAnsi" w:hAnsiTheme="minorHAnsi"/>
          <w:i/>
        </w:rPr>
      </w:pPr>
      <w:r w:rsidRPr="00207935">
        <w:rPr>
          <w:rFonts w:asciiTheme="minorHAnsi" w:hAnsiTheme="minorHAnsi"/>
          <w:i/>
        </w:rPr>
        <w:t xml:space="preserve">Supplementary Figure </w:t>
      </w:r>
      <w:r>
        <w:rPr>
          <w:rFonts w:asciiTheme="minorHAnsi" w:hAnsiTheme="minorHAnsi"/>
          <w:i/>
        </w:rPr>
        <w:t>6</w:t>
      </w:r>
      <w:r w:rsidRPr="00207935">
        <w:rPr>
          <w:rFonts w:asciiTheme="minorHAnsi" w:hAnsiTheme="minorHAnsi"/>
          <w:i/>
        </w:rPr>
        <w:t>.1: Scatterplots showing relationship between ENSO, IOD and TNA. Each datapoint is one annual value.</w:t>
      </w:r>
      <w:r>
        <w:rPr>
          <w:rFonts w:asciiTheme="minorHAnsi" w:hAnsiTheme="minorHAnsi"/>
          <w:i/>
        </w:rPr>
        <w:t xml:space="preserve"> </w:t>
      </w:r>
      <w:r w:rsidRPr="00A43493">
        <w:rPr>
          <w:rFonts w:asciiTheme="minorHAnsi" w:hAnsiTheme="minorHAnsi"/>
          <w:i/>
        </w:rPr>
        <w:t>Reanalysis data overlaid with crosses.</w:t>
      </w:r>
    </w:p>
    <w:p w14:paraId="6F37FCA3" w14:textId="77777777" w:rsidR="00013C12" w:rsidRDefault="00013C12">
      <w:pPr>
        <w:spacing w:after="160" w:line="279" w:lineRule="auto"/>
        <w:rPr>
          <w:rFonts w:asciiTheme="minorHAnsi" w:hAnsiTheme="minorHAnsi"/>
          <w:i/>
        </w:rPr>
      </w:pPr>
      <w:r>
        <w:rPr>
          <w:rFonts w:asciiTheme="minorHAnsi" w:hAnsiTheme="minorHAnsi"/>
          <w:i/>
        </w:rPr>
        <w:br w:type="page"/>
      </w:r>
    </w:p>
    <w:p w14:paraId="66FEC054" w14:textId="77777777" w:rsidR="00D918B8" w:rsidRDefault="00D918B8" w:rsidP="00D918B8">
      <w:pPr>
        <w:spacing w:before="160" w:after="80" w:line="279" w:lineRule="auto"/>
        <w:rPr>
          <w:rFonts w:asciiTheme="minorHAnsi" w:hAnsiTheme="minorHAnsi"/>
          <w:i/>
        </w:rPr>
      </w:pPr>
    </w:p>
    <w:p w14:paraId="12EF56D5" w14:textId="77777777" w:rsidR="00D918B8" w:rsidRDefault="00D918B8" w:rsidP="00D918B8">
      <w:pPr>
        <w:spacing w:before="160" w:after="80"/>
        <w:jc w:val="center"/>
        <w:rPr>
          <w:i/>
        </w:rPr>
      </w:pPr>
      <w:r w:rsidRPr="000E173D">
        <w:rPr>
          <w:rFonts w:ascii="Aptos" w:hAnsi="Aptos"/>
          <w:i/>
          <w:iCs/>
          <w:noProof/>
          <w:color w:val="156082" w:themeColor="accent1"/>
          <w:lang w:val="en-IN" w:eastAsia="en-IN"/>
        </w:rPr>
        <w:drawing>
          <wp:inline distT="0" distB="0" distL="0" distR="0" wp14:anchorId="0A20B528" wp14:editId="23D2733C">
            <wp:extent cx="5747769" cy="3062377"/>
            <wp:effectExtent l="0" t="0" r="5715" b="0"/>
            <wp:docPr id="272695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59923" name=""/>
                    <pic:cNvPicPr/>
                  </pic:nvPicPr>
                  <pic:blipFill>
                    <a:blip r:embed="rId33"/>
                    <a:stretch>
                      <a:fillRect/>
                    </a:stretch>
                  </pic:blipFill>
                  <pic:spPr>
                    <a:xfrm>
                      <a:off x="0" y="0"/>
                      <a:ext cx="5770516" cy="3074497"/>
                    </a:xfrm>
                    <a:prstGeom prst="rect">
                      <a:avLst/>
                    </a:prstGeom>
                  </pic:spPr>
                </pic:pic>
              </a:graphicData>
            </a:graphic>
          </wp:inline>
        </w:drawing>
      </w:r>
    </w:p>
    <w:p w14:paraId="02E2E33A" w14:textId="77777777" w:rsidR="00D918B8" w:rsidRDefault="00D918B8" w:rsidP="00D918B8">
      <w:pPr>
        <w:spacing w:before="160" w:after="80"/>
        <w:jc w:val="both"/>
        <w:rPr>
          <w:rFonts w:asciiTheme="minorHAnsi" w:hAnsiTheme="minorHAnsi"/>
          <w:iCs/>
        </w:rPr>
      </w:pPr>
      <w:r w:rsidRPr="002466DB">
        <w:rPr>
          <w:rFonts w:asciiTheme="minorHAnsi" w:hAnsiTheme="minorHAnsi"/>
          <w:i/>
        </w:rPr>
        <w:t xml:space="preserve">Supplementary Figure </w:t>
      </w:r>
      <w:r>
        <w:rPr>
          <w:rFonts w:asciiTheme="minorHAnsi" w:hAnsiTheme="minorHAnsi"/>
          <w:i/>
        </w:rPr>
        <w:t>6.2</w:t>
      </w:r>
      <w:r w:rsidRPr="002466DB">
        <w:rPr>
          <w:rFonts w:asciiTheme="minorHAnsi" w:hAnsiTheme="minorHAnsi"/>
          <w:i/>
        </w:rPr>
        <w:t>: Scatterplots of annual temperature and precipitation averaged over CONUS against climate mode values for the ensemble 2000-2009 climate. Each datapoint is one annual value. Reanalysis values are overlayed as crosses for the period 1990-2019</w:t>
      </w:r>
      <w:r>
        <w:rPr>
          <w:rFonts w:asciiTheme="minorHAnsi" w:hAnsiTheme="minorHAnsi"/>
          <w:i/>
        </w:rPr>
        <w:t>.</w:t>
      </w:r>
    </w:p>
    <w:p w14:paraId="4ACBD010" w14:textId="21AEE1FC" w:rsidR="00D918B8" w:rsidRDefault="00D918B8">
      <w:pPr>
        <w:spacing w:after="160" w:line="279" w:lineRule="auto"/>
        <w:rPr>
          <w:rFonts w:asciiTheme="minorHAnsi" w:hAnsiTheme="minorHAnsi"/>
          <w:bCs/>
          <w:i/>
          <w:color w:val="000000" w:themeColor="text1"/>
        </w:rPr>
      </w:pPr>
      <w:r>
        <w:rPr>
          <w:rFonts w:asciiTheme="minorHAnsi" w:hAnsiTheme="minorHAnsi"/>
          <w:bCs/>
          <w:i/>
          <w:color w:val="000000" w:themeColor="text1"/>
        </w:rPr>
        <w:br w:type="page"/>
      </w:r>
    </w:p>
    <w:p w14:paraId="5ADA07DA" w14:textId="00775ECA" w:rsidR="009E0AA0" w:rsidRPr="006412B1" w:rsidRDefault="0037152B" w:rsidP="006412B1">
      <w:pPr>
        <w:pStyle w:val="Heading3"/>
        <w:rPr>
          <w:rFonts w:asciiTheme="minorHAnsi" w:hAnsiTheme="minorHAnsi"/>
          <w:b/>
          <w:iCs/>
          <w:color w:val="000000" w:themeColor="text1"/>
        </w:rPr>
      </w:pPr>
      <w:r>
        <w:rPr>
          <w:rFonts w:asciiTheme="minorHAnsi" w:hAnsiTheme="minorHAnsi"/>
          <w:b/>
          <w:iCs/>
          <w:color w:val="000000" w:themeColor="text1"/>
        </w:rPr>
        <w:t xml:space="preserve">Supplementary Section </w:t>
      </w:r>
      <w:r w:rsidR="009104E7">
        <w:rPr>
          <w:rFonts w:asciiTheme="minorHAnsi" w:hAnsiTheme="minorHAnsi"/>
          <w:b/>
          <w:iCs/>
          <w:color w:val="000000" w:themeColor="text1"/>
        </w:rPr>
        <w:t>7</w:t>
      </w:r>
      <w:r>
        <w:rPr>
          <w:rFonts w:asciiTheme="minorHAnsi" w:hAnsiTheme="minorHAnsi"/>
          <w:b/>
          <w:iCs/>
          <w:color w:val="000000" w:themeColor="text1"/>
        </w:rPr>
        <w:t xml:space="preserve">: </w:t>
      </w:r>
      <w:r w:rsidR="002C0FB8">
        <w:rPr>
          <w:rFonts w:asciiTheme="minorHAnsi" w:hAnsiTheme="minorHAnsi"/>
          <w:b/>
          <w:iCs/>
          <w:color w:val="000000" w:themeColor="text1"/>
        </w:rPr>
        <w:t>Areal Effect of Climate Modes</w:t>
      </w:r>
      <w:r>
        <w:rPr>
          <w:rFonts w:asciiTheme="minorHAnsi" w:hAnsiTheme="minorHAnsi"/>
          <w:b/>
          <w:iCs/>
          <w:color w:val="000000" w:themeColor="text1"/>
        </w:rPr>
        <w:t xml:space="preserve"> in Recent Climate</w:t>
      </w:r>
    </w:p>
    <w:p w14:paraId="34A949A4" w14:textId="14F5A2DF" w:rsidR="00FE37EA" w:rsidRPr="004B4306" w:rsidRDefault="00064338" w:rsidP="00192F9B">
      <w:pPr>
        <w:spacing w:before="160" w:after="80"/>
        <w:rPr>
          <w:rFonts w:asciiTheme="minorHAnsi" w:hAnsiTheme="minorHAnsi"/>
          <w:color w:val="000000" w:themeColor="text1"/>
        </w:rPr>
      </w:pPr>
      <w:r w:rsidRPr="004B4306">
        <w:rPr>
          <w:rFonts w:asciiTheme="minorHAnsi" w:hAnsiTheme="minorHAnsi"/>
          <w:color w:val="000000" w:themeColor="text1"/>
        </w:rPr>
        <w:t>This section shows</w:t>
      </w:r>
      <w:r w:rsidR="002E51D3" w:rsidRPr="004B4306">
        <w:rPr>
          <w:rFonts w:asciiTheme="minorHAnsi" w:hAnsiTheme="minorHAnsi"/>
          <w:color w:val="000000" w:themeColor="text1"/>
        </w:rPr>
        <w:t xml:space="preserve"> (Supplementary Figure </w:t>
      </w:r>
      <w:r w:rsidR="009104E7">
        <w:rPr>
          <w:rFonts w:asciiTheme="minorHAnsi" w:hAnsiTheme="minorHAnsi"/>
          <w:color w:val="000000" w:themeColor="text1"/>
        </w:rPr>
        <w:t>7</w:t>
      </w:r>
      <w:r w:rsidR="002E51D3" w:rsidRPr="004B4306">
        <w:rPr>
          <w:rFonts w:asciiTheme="minorHAnsi" w:hAnsiTheme="minorHAnsi"/>
          <w:color w:val="000000" w:themeColor="text1"/>
        </w:rPr>
        <w:t>.1)</w:t>
      </w:r>
      <w:r w:rsidRPr="004B4306">
        <w:rPr>
          <w:rFonts w:asciiTheme="minorHAnsi" w:hAnsiTheme="minorHAnsi"/>
          <w:color w:val="000000" w:themeColor="text1"/>
        </w:rPr>
        <w:t xml:space="preserve"> the area of positive, negative and insignificant effect of each mode to a much high threshold of significance – finding that La Niña, the negative Indian Ocean Dipole (IOD), and positive 1-year lagged Tropical North Atlantic all persist as strongly associated with wildfire occurrence. </w:t>
      </w:r>
      <w:r w:rsidR="000B24CA" w:rsidRPr="004B4306">
        <w:rPr>
          <w:rFonts w:asciiTheme="minorHAnsi" w:hAnsiTheme="minorHAnsi"/>
          <w:color w:val="000000" w:themeColor="text1"/>
        </w:rPr>
        <w:t xml:space="preserve">The </w:t>
      </w:r>
      <w:r w:rsidR="00075EB0" w:rsidRPr="004B4306">
        <w:rPr>
          <w:rFonts w:asciiTheme="minorHAnsi" w:hAnsiTheme="minorHAnsi"/>
          <w:color w:val="000000" w:themeColor="text1"/>
        </w:rPr>
        <w:t>areal effect of each mode</w:t>
      </w:r>
      <w:r w:rsidR="000B24CA" w:rsidRPr="004B4306">
        <w:rPr>
          <w:rFonts w:asciiTheme="minorHAnsi" w:hAnsiTheme="minorHAnsi"/>
          <w:color w:val="000000" w:themeColor="text1"/>
        </w:rPr>
        <w:t xml:space="preserve"> is also broken down </w:t>
      </w:r>
      <w:r w:rsidR="005F53CA" w:rsidRPr="004B4306">
        <w:rPr>
          <w:rFonts w:asciiTheme="minorHAnsi" w:hAnsiTheme="minorHAnsi"/>
          <w:color w:val="000000" w:themeColor="text1"/>
        </w:rPr>
        <w:t>by meteorological season</w:t>
      </w:r>
      <w:r w:rsidR="002E51D3" w:rsidRPr="004B4306">
        <w:rPr>
          <w:rFonts w:asciiTheme="minorHAnsi" w:hAnsiTheme="minorHAnsi"/>
          <w:color w:val="000000" w:themeColor="text1"/>
        </w:rPr>
        <w:t xml:space="preserve"> (Supplementary Figure </w:t>
      </w:r>
      <w:r w:rsidR="009104E7">
        <w:rPr>
          <w:rFonts w:asciiTheme="minorHAnsi" w:hAnsiTheme="minorHAnsi"/>
          <w:color w:val="000000" w:themeColor="text1"/>
        </w:rPr>
        <w:t>7</w:t>
      </w:r>
      <w:r w:rsidR="002E51D3" w:rsidRPr="004B4306">
        <w:rPr>
          <w:rFonts w:asciiTheme="minorHAnsi" w:hAnsiTheme="minorHAnsi"/>
          <w:color w:val="000000" w:themeColor="text1"/>
        </w:rPr>
        <w:t>.2)</w:t>
      </w:r>
      <w:r w:rsidR="005F53CA" w:rsidRPr="004B4306">
        <w:rPr>
          <w:rFonts w:asciiTheme="minorHAnsi" w:hAnsiTheme="minorHAnsi"/>
          <w:color w:val="000000" w:themeColor="text1"/>
        </w:rPr>
        <w:t xml:space="preserve">, with modes having the greatest area of significant effect on </w:t>
      </w:r>
      <w:r w:rsidR="00E665F5" w:rsidRPr="004B4306">
        <w:rPr>
          <w:rFonts w:asciiTheme="minorHAnsi" w:hAnsiTheme="minorHAnsi"/>
          <w:color w:val="000000" w:themeColor="text1"/>
        </w:rPr>
        <w:t>relative</w:t>
      </w:r>
      <w:r w:rsidR="002E51D3" w:rsidRPr="004B4306">
        <w:rPr>
          <w:rFonts w:asciiTheme="minorHAnsi" w:hAnsiTheme="minorHAnsi"/>
          <w:color w:val="000000" w:themeColor="text1"/>
        </w:rPr>
        <w:t xml:space="preserve"> change in</w:t>
      </w:r>
      <w:r w:rsidR="00E665F5" w:rsidRPr="004B4306">
        <w:rPr>
          <w:rFonts w:asciiTheme="minorHAnsi" w:hAnsiTheme="minorHAnsi"/>
          <w:color w:val="000000" w:themeColor="text1"/>
        </w:rPr>
        <w:t xml:space="preserve"> </w:t>
      </w:r>
      <w:r w:rsidR="005F53CA" w:rsidRPr="004B4306">
        <w:rPr>
          <w:rFonts w:asciiTheme="minorHAnsi" w:hAnsiTheme="minorHAnsi"/>
          <w:color w:val="000000" w:themeColor="text1"/>
        </w:rPr>
        <w:t xml:space="preserve">wildfire occurrence </w:t>
      </w:r>
      <w:r w:rsidR="00E665F5" w:rsidRPr="004B4306">
        <w:rPr>
          <w:rFonts w:asciiTheme="minorHAnsi" w:hAnsiTheme="minorHAnsi"/>
          <w:color w:val="000000" w:themeColor="text1"/>
        </w:rPr>
        <w:t>during summer</w:t>
      </w:r>
      <w:r w:rsidR="005F53CA" w:rsidRPr="004B4306">
        <w:rPr>
          <w:rFonts w:asciiTheme="minorHAnsi" w:hAnsiTheme="minorHAnsi"/>
          <w:color w:val="000000" w:themeColor="text1"/>
        </w:rPr>
        <w:t xml:space="preserve"> </w:t>
      </w:r>
      <w:r w:rsidR="00E665F5" w:rsidRPr="004B4306">
        <w:rPr>
          <w:rFonts w:asciiTheme="minorHAnsi" w:hAnsiTheme="minorHAnsi"/>
          <w:color w:val="000000" w:themeColor="text1"/>
        </w:rPr>
        <w:t>(</w:t>
      </w:r>
      <w:r w:rsidR="005F53CA" w:rsidRPr="004B4306">
        <w:rPr>
          <w:rFonts w:asciiTheme="minorHAnsi" w:hAnsiTheme="minorHAnsi"/>
          <w:color w:val="000000" w:themeColor="text1"/>
        </w:rPr>
        <w:t>June to August</w:t>
      </w:r>
      <w:r w:rsidR="00E665F5" w:rsidRPr="004B4306">
        <w:rPr>
          <w:rFonts w:asciiTheme="minorHAnsi" w:hAnsiTheme="minorHAnsi"/>
          <w:color w:val="000000" w:themeColor="text1"/>
        </w:rPr>
        <w:t xml:space="preserve">, </w:t>
      </w:r>
      <w:r w:rsidR="005F53CA" w:rsidRPr="004B4306">
        <w:rPr>
          <w:rFonts w:asciiTheme="minorHAnsi" w:hAnsiTheme="minorHAnsi"/>
          <w:color w:val="000000" w:themeColor="text1"/>
        </w:rPr>
        <w:t xml:space="preserve">JJA) </w:t>
      </w:r>
      <w:r w:rsidR="00E665F5" w:rsidRPr="004B4306">
        <w:rPr>
          <w:rFonts w:asciiTheme="minorHAnsi" w:hAnsiTheme="minorHAnsi"/>
          <w:color w:val="000000" w:themeColor="text1"/>
        </w:rPr>
        <w:t xml:space="preserve">except for the </w:t>
      </w:r>
      <w:r w:rsidR="00E86B4F" w:rsidRPr="004B4306">
        <w:rPr>
          <w:rFonts w:asciiTheme="minorHAnsi" w:hAnsiTheme="minorHAnsi"/>
          <w:color w:val="000000" w:themeColor="text1"/>
        </w:rPr>
        <w:t>Pacific Decadal Oscillation</w:t>
      </w:r>
      <w:r w:rsidR="00E665F5" w:rsidRPr="004B4306">
        <w:rPr>
          <w:rFonts w:asciiTheme="minorHAnsi" w:hAnsiTheme="minorHAnsi"/>
          <w:color w:val="000000" w:themeColor="text1"/>
        </w:rPr>
        <w:t xml:space="preserve"> (December to February, DJF) and </w:t>
      </w:r>
      <w:r w:rsidR="00E86B4F" w:rsidRPr="004B4306">
        <w:rPr>
          <w:rFonts w:asciiTheme="minorHAnsi" w:hAnsiTheme="minorHAnsi"/>
          <w:color w:val="000000" w:themeColor="text1"/>
        </w:rPr>
        <w:t>Tropical South Atlantic</w:t>
      </w:r>
      <w:r w:rsidR="00A64D49" w:rsidRPr="004B4306">
        <w:rPr>
          <w:rFonts w:asciiTheme="minorHAnsi" w:hAnsiTheme="minorHAnsi"/>
          <w:color w:val="000000" w:themeColor="text1"/>
        </w:rPr>
        <w:t xml:space="preserve"> oscillation</w:t>
      </w:r>
      <w:r w:rsidR="00E665F5" w:rsidRPr="004B4306">
        <w:rPr>
          <w:rFonts w:asciiTheme="minorHAnsi" w:hAnsiTheme="minorHAnsi"/>
          <w:color w:val="000000" w:themeColor="text1"/>
        </w:rPr>
        <w:t xml:space="preserve"> (March to May, MAM)</w:t>
      </w:r>
      <w:r w:rsidR="00B17572" w:rsidRPr="004B4306">
        <w:rPr>
          <w:rFonts w:asciiTheme="minorHAnsi" w:hAnsiTheme="minorHAnsi"/>
          <w:color w:val="000000" w:themeColor="text1"/>
        </w:rPr>
        <w:t>.</w:t>
      </w:r>
      <w:r w:rsidR="002E51D3" w:rsidRPr="004B4306">
        <w:rPr>
          <w:rFonts w:asciiTheme="minorHAnsi" w:hAnsiTheme="minorHAnsi"/>
          <w:color w:val="000000" w:themeColor="text1"/>
        </w:rPr>
        <w:t xml:space="preserve"> Maps showing the area and magnitude of the effect </w:t>
      </w:r>
      <w:r w:rsidR="004B4306" w:rsidRPr="004B4306">
        <w:rPr>
          <w:rFonts w:asciiTheme="minorHAnsi" w:hAnsiTheme="minorHAnsi"/>
          <w:color w:val="000000" w:themeColor="text1"/>
        </w:rPr>
        <w:t>for</w:t>
      </w:r>
      <w:r w:rsidR="002E51D3" w:rsidRPr="004B4306">
        <w:rPr>
          <w:rFonts w:asciiTheme="minorHAnsi" w:hAnsiTheme="minorHAnsi"/>
          <w:color w:val="000000" w:themeColor="text1"/>
        </w:rPr>
        <w:t xml:space="preserve"> each mode not shown in the main text (Figure </w:t>
      </w:r>
      <w:r w:rsidR="00C9483E">
        <w:rPr>
          <w:rFonts w:asciiTheme="minorHAnsi" w:hAnsiTheme="minorHAnsi"/>
          <w:color w:val="000000" w:themeColor="text1"/>
        </w:rPr>
        <w:t>4</w:t>
      </w:r>
      <w:r w:rsidR="002E51D3" w:rsidRPr="004B4306">
        <w:rPr>
          <w:rFonts w:asciiTheme="minorHAnsi" w:hAnsiTheme="minorHAnsi"/>
          <w:color w:val="000000" w:themeColor="text1"/>
        </w:rPr>
        <w:t xml:space="preserve">) are presented in Supplementary Figure </w:t>
      </w:r>
      <w:r w:rsidR="009104E7">
        <w:rPr>
          <w:rFonts w:asciiTheme="minorHAnsi" w:hAnsiTheme="minorHAnsi"/>
          <w:color w:val="000000" w:themeColor="text1"/>
        </w:rPr>
        <w:t>7</w:t>
      </w:r>
      <w:r w:rsidR="002E51D3" w:rsidRPr="004B4306">
        <w:rPr>
          <w:rFonts w:asciiTheme="minorHAnsi" w:hAnsiTheme="minorHAnsi"/>
          <w:color w:val="000000" w:themeColor="text1"/>
        </w:rPr>
        <w:t>.3</w:t>
      </w:r>
      <w:r w:rsidR="004B4306" w:rsidRPr="004B4306">
        <w:rPr>
          <w:rFonts w:asciiTheme="minorHAnsi" w:hAnsiTheme="minorHAnsi"/>
          <w:color w:val="000000" w:themeColor="text1"/>
        </w:rPr>
        <w:t>, the major effects are the Pacific Decadal Oscillation, Tropical North Atlantic, and 1-year lagged El Niño Southern Oscillation.</w:t>
      </w:r>
    </w:p>
    <w:p w14:paraId="0A862B71" w14:textId="2E75F4D1" w:rsidR="006449E2" w:rsidRPr="00A410DB" w:rsidRDefault="00C71C2D" w:rsidP="00192F9B">
      <w:pPr>
        <w:spacing w:before="160" w:after="80"/>
        <w:jc w:val="center"/>
        <w:rPr>
          <w:rFonts w:asciiTheme="minorHAnsi" w:hAnsiTheme="minorHAnsi"/>
          <w:iCs/>
        </w:rPr>
      </w:pPr>
      <w:r>
        <w:rPr>
          <w:rFonts w:asciiTheme="minorHAnsi" w:hAnsiTheme="minorHAnsi"/>
          <w:iCs/>
          <w:noProof/>
          <w:lang w:val="en-IN" w:eastAsia="en-IN"/>
          <w14:ligatures w14:val="standardContextual"/>
        </w:rPr>
        <w:drawing>
          <wp:inline distT="0" distB="0" distL="0" distR="0" wp14:anchorId="6A8A23CC" wp14:editId="508C4544">
            <wp:extent cx="4935557" cy="2633345"/>
            <wp:effectExtent l="0" t="0" r="5080" b="0"/>
            <wp:docPr id="904049426" name="Picture 4" descr="A graph showing the climate ch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049426" name="Picture 4" descr="A graph showing the climate change&#10;&#10;AI-generated content may be incorrect."/>
                    <pic:cNvPicPr/>
                  </pic:nvPicPr>
                  <pic:blipFill rotWithShape="1">
                    <a:blip r:embed="rId34" cstate="print">
                      <a:extLst>
                        <a:ext uri="{28A0092B-C50C-407E-A947-70E740481C1C}">
                          <a14:useLocalDpi xmlns:a14="http://schemas.microsoft.com/office/drawing/2010/main" val="0"/>
                        </a:ext>
                      </a:extLst>
                    </a:blip>
                    <a:srcRect r="13887"/>
                    <a:stretch>
                      <a:fillRect/>
                    </a:stretch>
                  </pic:blipFill>
                  <pic:spPr bwMode="auto">
                    <a:xfrm>
                      <a:off x="0" y="0"/>
                      <a:ext cx="4935557" cy="2633345"/>
                    </a:xfrm>
                    <a:prstGeom prst="rect">
                      <a:avLst/>
                    </a:prstGeom>
                    <a:ln>
                      <a:noFill/>
                    </a:ln>
                    <a:extLst>
                      <a:ext uri="{53640926-AAD7-44D8-BBD7-CCE9431645EC}">
                        <a14:shadowObscured xmlns:a14="http://schemas.microsoft.com/office/drawing/2010/main"/>
                      </a:ext>
                    </a:extLst>
                  </pic:spPr>
                </pic:pic>
              </a:graphicData>
            </a:graphic>
          </wp:inline>
        </w:drawing>
      </w:r>
    </w:p>
    <w:p w14:paraId="564DA6C2" w14:textId="63F0CD68" w:rsidR="006449E2" w:rsidRPr="00207935" w:rsidRDefault="006449E2" w:rsidP="002E3254">
      <w:pPr>
        <w:spacing w:before="160" w:after="80"/>
        <w:jc w:val="both"/>
        <w:rPr>
          <w:rFonts w:asciiTheme="minorHAnsi" w:hAnsiTheme="minorHAnsi"/>
          <w:i/>
        </w:rPr>
      </w:pPr>
      <w:r w:rsidRPr="00207935">
        <w:rPr>
          <w:rFonts w:asciiTheme="minorHAnsi" w:hAnsiTheme="minorHAnsi"/>
          <w:bCs/>
          <w:i/>
        </w:rPr>
        <w:t xml:space="preserve">Supplementary Figure </w:t>
      </w:r>
      <w:r w:rsidR="009104E7">
        <w:rPr>
          <w:rFonts w:asciiTheme="minorHAnsi" w:hAnsiTheme="minorHAnsi"/>
          <w:bCs/>
          <w:i/>
        </w:rPr>
        <w:t>7</w:t>
      </w:r>
      <w:r w:rsidR="004027C6" w:rsidRPr="00207935">
        <w:rPr>
          <w:rFonts w:asciiTheme="minorHAnsi" w:hAnsiTheme="minorHAnsi"/>
          <w:bCs/>
          <w:i/>
        </w:rPr>
        <w:t>.1</w:t>
      </w:r>
      <w:r w:rsidRPr="00207935">
        <w:rPr>
          <w:rFonts w:asciiTheme="minorHAnsi" w:hAnsiTheme="minorHAnsi"/>
          <w:i/>
        </w:rPr>
        <w:t xml:space="preserve">: The area of significant effect for each climate mode over the contiguous US, to an extremely strict </w:t>
      </w:r>
      <w:r w:rsidR="00C71C2D" w:rsidRPr="00C71C2D">
        <w:rPr>
          <w:rFonts w:asciiTheme="minorHAnsi" w:hAnsiTheme="minorHAnsi"/>
          <w:i/>
        </w:rPr>
        <w:t xml:space="preserve">FDR-corrected significance threshold </w:t>
      </w:r>
      <w:r w:rsidRPr="00207935">
        <w:rPr>
          <w:rFonts w:asciiTheme="minorHAnsi" w:hAnsiTheme="minorHAnsi"/>
          <w:i/>
        </w:rPr>
        <w:t>of 5.7 x 10</w:t>
      </w:r>
      <w:r w:rsidRPr="00207935">
        <w:rPr>
          <w:rFonts w:asciiTheme="minorHAnsi" w:hAnsiTheme="minorHAnsi"/>
          <w:i/>
          <w:vertAlign w:val="superscript"/>
        </w:rPr>
        <w:t>-7</w:t>
      </w:r>
      <w:r w:rsidRPr="00207935">
        <w:rPr>
          <w:rFonts w:asciiTheme="minorHAnsi" w:hAnsiTheme="minorHAnsi"/>
          <w:i/>
        </w:rPr>
        <w:t xml:space="preserve"> (equivalent to 5-sigma)</w:t>
      </w:r>
      <w:r w:rsidR="007918E9" w:rsidRPr="00207935">
        <w:rPr>
          <w:i/>
        </w:rPr>
        <w:br w:type="page"/>
      </w:r>
    </w:p>
    <w:p w14:paraId="5A2E371A" w14:textId="2805028C" w:rsidR="00D04587" w:rsidRPr="00A410DB" w:rsidRDefault="00C71C2D" w:rsidP="00192F9B">
      <w:pPr>
        <w:spacing w:before="160" w:after="80"/>
        <w:jc w:val="center"/>
        <w:rPr>
          <w:rFonts w:asciiTheme="minorHAnsi" w:hAnsiTheme="minorHAnsi"/>
          <w:bCs/>
          <w:iCs/>
        </w:rPr>
      </w:pPr>
      <w:r>
        <w:rPr>
          <w:rFonts w:asciiTheme="minorHAnsi" w:hAnsiTheme="minorHAnsi"/>
          <w:bCs/>
          <w:i/>
          <w:noProof/>
          <w:lang w:val="en-IN" w:eastAsia="en-IN"/>
          <w14:ligatures w14:val="standardContextual"/>
        </w:rPr>
        <w:drawing>
          <wp:inline distT="0" distB="0" distL="0" distR="0" wp14:anchorId="3B471DA7" wp14:editId="324963F7">
            <wp:extent cx="4737253" cy="2969049"/>
            <wp:effectExtent l="0" t="0" r="0" b="3175"/>
            <wp:docPr id="430278488" name="Picture 5" descr="A graph of different types of clim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78488" name="Picture 5" descr="A graph of different types of climate&#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750496" cy="2977349"/>
                    </a:xfrm>
                    <a:prstGeom prst="rect">
                      <a:avLst/>
                    </a:prstGeom>
                  </pic:spPr>
                </pic:pic>
              </a:graphicData>
            </a:graphic>
          </wp:inline>
        </w:drawing>
      </w:r>
    </w:p>
    <w:p w14:paraId="0A117B62" w14:textId="4EC09468" w:rsidR="00B95580" w:rsidRPr="00207935" w:rsidRDefault="00D04587" w:rsidP="00192F9B">
      <w:pPr>
        <w:spacing w:before="160" w:after="80"/>
        <w:jc w:val="both"/>
        <w:rPr>
          <w:rFonts w:asciiTheme="minorHAnsi" w:hAnsiTheme="minorHAnsi"/>
          <w:i/>
        </w:rPr>
      </w:pPr>
      <w:r w:rsidRPr="00207935">
        <w:rPr>
          <w:rFonts w:asciiTheme="minorHAnsi" w:hAnsiTheme="minorHAnsi"/>
          <w:bCs/>
          <w:i/>
        </w:rPr>
        <w:t xml:space="preserve">Supplementary Figure </w:t>
      </w:r>
      <w:r w:rsidR="009104E7">
        <w:rPr>
          <w:rFonts w:asciiTheme="minorHAnsi" w:hAnsiTheme="minorHAnsi"/>
          <w:bCs/>
          <w:i/>
        </w:rPr>
        <w:t>7</w:t>
      </w:r>
      <w:r w:rsidR="004027C6" w:rsidRPr="00207935">
        <w:rPr>
          <w:rFonts w:asciiTheme="minorHAnsi" w:hAnsiTheme="minorHAnsi"/>
          <w:bCs/>
          <w:i/>
        </w:rPr>
        <w:t>.2</w:t>
      </w:r>
      <w:r w:rsidRPr="00207935">
        <w:rPr>
          <w:rFonts w:asciiTheme="minorHAnsi" w:hAnsiTheme="minorHAnsi"/>
          <w:i/>
        </w:rPr>
        <w:t xml:space="preserve">: The seasonal (DJF, MAM, JJA, SON) areas of significant effect for each climate mode over the contiguous US. Significance was determined by the p-value of the linear regression between the climate mode’s index value and the seasonal number of fires in each 0.1° grid-cell, to </w:t>
      </w:r>
      <w:r w:rsidR="00C71C2D" w:rsidRPr="00C71C2D">
        <w:rPr>
          <w:rFonts w:asciiTheme="minorHAnsi" w:hAnsiTheme="minorHAnsi"/>
          <w:i/>
        </w:rPr>
        <w:t xml:space="preserve">an FDR-corrected significance threshold </w:t>
      </w:r>
      <w:r w:rsidRPr="00207935">
        <w:rPr>
          <w:rFonts w:asciiTheme="minorHAnsi" w:hAnsiTheme="minorHAnsi"/>
          <w:i/>
        </w:rPr>
        <w:t>of 0.01. The slope of the regression determined the sign of the relationship between annual fires and the index.</w:t>
      </w:r>
      <w:r w:rsidR="00C030D2" w:rsidRPr="00207935">
        <w:rPr>
          <w:rFonts w:asciiTheme="minorHAnsi" w:hAnsiTheme="minorHAnsi"/>
          <w:i/>
        </w:rPr>
        <w:br w:type="page"/>
      </w:r>
    </w:p>
    <w:p w14:paraId="4A2067CB" w14:textId="4D0A26F5" w:rsidR="00085E8A" w:rsidRPr="00A410DB" w:rsidRDefault="00C71C2D" w:rsidP="00192F9B">
      <w:pPr>
        <w:spacing w:before="160" w:after="80"/>
        <w:jc w:val="center"/>
        <w:rPr>
          <w:rFonts w:asciiTheme="minorHAnsi" w:hAnsiTheme="minorHAnsi"/>
          <w:bCs/>
          <w:iCs/>
        </w:rPr>
      </w:pPr>
      <w:r>
        <w:rPr>
          <w:noProof/>
          <w:lang w:val="en-IN" w:eastAsia="en-IN"/>
        </w:rPr>
        <w:drawing>
          <wp:inline distT="0" distB="0" distL="0" distR="0" wp14:anchorId="604DF939" wp14:editId="2A5EECF4">
            <wp:extent cx="5731510" cy="3201670"/>
            <wp:effectExtent l="0" t="0" r="0" b="0"/>
            <wp:docPr id="1618427287" name="Picture 7"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27287" name="Picture 7" descr="A screenshot of a graph&#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3201670"/>
                    </a:xfrm>
                    <a:prstGeom prst="rect">
                      <a:avLst/>
                    </a:prstGeom>
                    <a:noFill/>
                    <a:ln>
                      <a:noFill/>
                    </a:ln>
                  </pic:spPr>
                </pic:pic>
              </a:graphicData>
            </a:graphic>
          </wp:inline>
        </w:drawing>
      </w:r>
    </w:p>
    <w:p w14:paraId="75C2EA59" w14:textId="621FE169" w:rsidR="00C408D9" w:rsidRDefault="00085E8A" w:rsidP="002E3254">
      <w:pPr>
        <w:spacing w:before="160" w:after="80"/>
        <w:jc w:val="both"/>
        <w:rPr>
          <w:rFonts w:asciiTheme="minorHAnsi" w:hAnsiTheme="minorHAnsi"/>
          <w:i/>
        </w:rPr>
      </w:pPr>
      <w:r w:rsidRPr="00207935">
        <w:rPr>
          <w:rFonts w:asciiTheme="minorHAnsi" w:hAnsiTheme="minorHAnsi"/>
          <w:bCs/>
          <w:i/>
        </w:rPr>
        <w:t xml:space="preserve">Supplementary Figure </w:t>
      </w:r>
      <w:r w:rsidR="009104E7">
        <w:rPr>
          <w:rFonts w:asciiTheme="minorHAnsi" w:hAnsiTheme="minorHAnsi"/>
          <w:bCs/>
          <w:i/>
        </w:rPr>
        <w:t>7</w:t>
      </w:r>
      <w:r w:rsidR="004027C6" w:rsidRPr="00207935">
        <w:rPr>
          <w:rFonts w:asciiTheme="minorHAnsi" w:hAnsiTheme="minorHAnsi"/>
          <w:bCs/>
          <w:i/>
        </w:rPr>
        <w:t>.3</w:t>
      </w:r>
      <w:r w:rsidRPr="00207935">
        <w:rPr>
          <w:rFonts w:asciiTheme="minorHAnsi" w:hAnsiTheme="minorHAnsi"/>
          <w:i/>
        </w:rPr>
        <w:t xml:space="preserve">: For all modes not shown in figure </w:t>
      </w:r>
      <w:r w:rsidR="003C28D6">
        <w:rPr>
          <w:rFonts w:asciiTheme="minorHAnsi" w:hAnsiTheme="minorHAnsi"/>
          <w:i/>
        </w:rPr>
        <w:t>4</w:t>
      </w:r>
      <w:r w:rsidRPr="00207935">
        <w:rPr>
          <w:rFonts w:asciiTheme="minorHAnsi" w:hAnsiTheme="minorHAnsi"/>
          <w:i/>
        </w:rPr>
        <w:t>, showing locations for which linear regression determined a significant relationship between the annual number of fires and the climate mode’s index; the ratio between the annual number of fires in the positive and negative phases of each mode relative to the mean annual number of fires.</w:t>
      </w:r>
    </w:p>
    <w:p w14:paraId="3875379D" w14:textId="77777777" w:rsidR="00013C12" w:rsidRPr="008801F3" w:rsidRDefault="007918E9" w:rsidP="00013C12">
      <w:pPr>
        <w:pStyle w:val="Heading3"/>
        <w:rPr>
          <w:rFonts w:asciiTheme="minorHAnsi" w:hAnsiTheme="minorHAnsi"/>
          <w:b/>
          <w:iCs/>
          <w:color w:val="000000" w:themeColor="text1"/>
        </w:rPr>
      </w:pPr>
      <w:r w:rsidRPr="00FD434A">
        <w:rPr>
          <w:rFonts w:asciiTheme="minorHAnsi" w:hAnsiTheme="minorHAnsi"/>
          <w:i/>
        </w:rPr>
        <w:br w:type="page"/>
      </w:r>
      <w:r w:rsidR="00013C12">
        <w:rPr>
          <w:rFonts w:asciiTheme="minorHAnsi" w:hAnsiTheme="minorHAnsi"/>
          <w:b/>
          <w:iCs/>
          <w:color w:val="000000" w:themeColor="text1"/>
        </w:rPr>
        <w:t>Supplementary Section 8: Effect of Climate Modes on Wildfire Drivers</w:t>
      </w:r>
    </w:p>
    <w:p w14:paraId="03E35343" w14:textId="77777777" w:rsidR="00013C12" w:rsidRDefault="00013C12" w:rsidP="00013C12">
      <w:pPr>
        <w:spacing w:after="160" w:line="279" w:lineRule="auto"/>
        <w:jc w:val="center"/>
      </w:pPr>
      <w:r>
        <w:fldChar w:fldCharType="begin"/>
      </w:r>
      <w:r>
        <w:instrText xml:space="preserve"> INCLUDEPICTURE "/Users/tkeeping/Library/Group Containers/UBF8T346G9.ms/WebArchiveCopyPasteTempFiles/com.microsoft.Word/asWMBAAAAgEH+1pPYWRgBAAAAA9kKAAAAADCQrQAAAAAAgwDhswUB5KQlHQAAAABJRU5ErkJggg==" \* MERGEFORMATINET </w:instrText>
      </w:r>
      <w:r>
        <w:fldChar w:fldCharType="separate"/>
      </w:r>
      <w:r>
        <w:rPr>
          <w:noProof/>
          <w:lang w:val="en-IN" w:eastAsia="en-IN"/>
        </w:rPr>
        <w:drawing>
          <wp:inline distT="0" distB="0" distL="0" distR="0" wp14:anchorId="6E7328AD" wp14:editId="17700C37">
            <wp:extent cx="5104660" cy="2275210"/>
            <wp:effectExtent l="0" t="0" r="1270" b="0"/>
            <wp:docPr id="1601580726"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17725" name="Picture 1" descr="A map of the united states&#10;&#10;AI-generated content may be incorre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41001" cy="2291408"/>
                    </a:xfrm>
                    <a:prstGeom prst="rect">
                      <a:avLst/>
                    </a:prstGeom>
                    <a:noFill/>
                    <a:ln>
                      <a:noFill/>
                    </a:ln>
                  </pic:spPr>
                </pic:pic>
              </a:graphicData>
            </a:graphic>
          </wp:inline>
        </w:drawing>
      </w:r>
      <w:r>
        <w:fldChar w:fldCharType="end"/>
      </w:r>
    </w:p>
    <w:p w14:paraId="42FDE0EB" w14:textId="77777777" w:rsidR="00013C12" w:rsidRPr="002466DB" w:rsidRDefault="00013C12" w:rsidP="00013C12">
      <w:pPr>
        <w:spacing w:after="160" w:line="279" w:lineRule="auto"/>
        <w:jc w:val="both"/>
        <w:rPr>
          <w:rFonts w:asciiTheme="minorHAnsi" w:hAnsiTheme="minorHAnsi"/>
          <w:bCs/>
          <w:i/>
          <w:color w:val="000000" w:themeColor="text1"/>
        </w:rPr>
      </w:pPr>
      <w:r w:rsidRPr="002466DB">
        <w:rPr>
          <w:rFonts w:asciiTheme="minorHAnsi" w:hAnsiTheme="minorHAnsi"/>
          <w:bCs/>
          <w:i/>
          <w:color w:val="000000" w:themeColor="text1"/>
        </w:rPr>
        <w:t xml:space="preserve">Supplementary Figure </w:t>
      </w:r>
      <w:r>
        <w:rPr>
          <w:rFonts w:asciiTheme="minorHAnsi" w:hAnsiTheme="minorHAnsi"/>
          <w:bCs/>
          <w:i/>
          <w:color w:val="000000" w:themeColor="text1"/>
        </w:rPr>
        <w:t>8.1</w:t>
      </w:r>
      <w:r w:rsidRPr="002466DB">
        <w:rPr>
          <w:rFonts w:asciiTheme="minorHAnsi" w:hAnsiTheme="minorHAnsi"/>
          <w:bCs/>
          <w:i/>
          <w:color w:val="000000" w:themeColor="text1"/>
        </w:rPr>
        <w:t>: the relative influence of climate modes on annual precipitation in the recent climate for the large ensemble.</w:t>
      </w:r>
    </w:p>
    <w:p w14:paraId="20AA7E53" w14:textId="77777777" w:rsidR="00013C12" w:rsidRDefault="00013C12" w:rsidP="00013C12">
      <w:pPr>
        <w:spacing w:after="160" w:line="279" w:lineRule="auto"/>
        <w:jc w:val="center"/>
        <w:rPr>
          <w:rFonts w:asciiTheme="minorHAnsi" w:hAnsiTheme="minorHAnsi"/>
          <w:bCs/>
          <w:iCs/>
          <w:color w:val="000000" w:themeColor="text1"/>
        </w:rPr>
      </w:pPr>
      <w:r>
        <w:rPr>
          <w:noProof/>
          <w:lang w:val="en-IN" w:eastAsia="en-IN"/>
        </w:rPr>
        <w:drawing>
          <wp:inline distT="0" distB="0" distL="0" distR="0" wp14:anchorId="50DB0D5B" wp14:editId="7E9C3CDD">
            <wp:extent cx="5104130" cy="2273277"/>
            <wp:effectExtent l="0" t="0" r="1270" b="635"/>
            <wp:docPr id="212671984" name="Picture 4"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161423" name="Picture 4" descr="A map of the united states&#10;&#10;AI-generated content may be incorre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25547" cy="2282816"/>
                    </a:xfrm>
                    <a:prstGeom prst="rect">
                      <a:avLst/>
                    </a:prstGeom>
                    <a:noFill/>
                    <a:ln>
                      <a:noFill/>
                    </a:ln>
                  </pic:spPr>
                </pic:pic>
              </a:graphicData>
            </a:graphic>
          </wp:inline>
        </w:drawing>
      </w:r>
    </w:p>
    <w:p w14:paraId="47BCFFA8" w14:textId="3A835B4F" w:rsidR="00013C12" w:rsidRDefault="00013C12" w:rsidP="00013C12">
      <w:pPr>
        <w:spacing w:after="160" w:line="279" w:lineRule="auto"/>
        <w:jc w:val="both"/>
        <w:rPr>
          <w:rFonts w:asciiTheme="minorHAnsi" w:hAnsiTheme="minorHAnsi"/>
          <w:bCs/>
          <w:i/>
          <w:color w:val="000000" w:themeColor="text1"/>
        </w:rPr>
      </w:pPr>
      <w:r w:rsidRPr="002466DB">
        <w:rPr>
          <w:rFonts w:asciiTheme="minorHAnsi" w:hAnsiTheme="minorHAnsi"/>
          <w:bCs/>
          <w:i/>
          <w:color w:val="000000" w:themeColor="text1"/>
        </w:rPr>
        <w:t xml:space="preserve">Supplementary Figure </w:t>
      </w:r>
      <w:r>
        <w:rPr>
          <w:rFonts w:asciiTheme="minorHAnsi" w:hAnsiTheme="minorHAnsi"/>
          <w:bCs/>
          <w:i/>
          <w:color w:val="000000" w:themeColor="text1"/>
        </w:rPr>
        <w:t>8.2</w:t>
      </w:r>
      <w:r w:rsidRPr="002466DB">
        <w:rPr>
          <w:rFonts w:asciiTheme="minorHAnsi" w:hAnsiTheme="minorHAnsi"/>
          <w:bCs/>
          <w:i/>
          <w:color w:val="000000" w:themeColor="text1"/>
        </w:rPr>
        <w:t>: the relative influence of climate modes on annual VPD in the recent climate for the large ensemble.</w:t>
      </w:r>
    </w:p>
    <w:p w14:paraId="5C52B592" w14:textId="77777777" w:rsidR="00013C12" w:rsidRDefault="00013C12">
      <w:pPr>
        <w:spacing w:after="160" w:line="279" w:lineRule="auto"/>
        <w:rPr>
          <w:rFonts w:asciiTheme="minorHAnsi" w:hAnsiTheme="minorHAnsi"/>
          <w:bCs/>
          <w:i/>
          <w:color w:val="000000" w:themeColor="text1"/>
        </w:rPr>
      </w:pPr>
      <w:r>
        <w:rPr>
          <w:rFonts w:asciiTheme="minorHAnsi" w:hAnsiTheme="minorHAnsi"/>
          <w:bCs/>
          <w:i/>
          <w:color w:val="000000" w:themeColor="text1"/>
        </w:rPr>
        <w:br w:type="page"/>
      </w:r>
    </w:p>
    <w:p w14:paraId="38A8B124" w14:textId="77777777" w:rsidR="00013C12" w:rsidRDefault="00013C12" w:rsidP="00013C12">
      <w:pPr>
        <w:spacing w:after="160" w:line="279" w:lineRule="auto"/>
        <w:jc w:val="center"/>
        <w:rPr>
          <w:rFonts w:asciiTheme="minorHAnsi" w:hAnsiTheme="minorHAnsi"/>
          <w:bCs/>
          <w:iCs/>
          <w:color w:val="000000" w:themeColor="text1"/>
        </w:rPr>
      </w:pPr>
      <w:r>
        <w:rPr>
          <w:noProof/>
          <w:lang w:val="en-IN" w:eastAsia="en-IN"/>
        </w:rPr>
        <w:drawing>
          <wp:inline distT="0" distB="0" distL="0" distR="0" wp14:anchorId="4AD7DE33" wp14:editId="5674245E">
            <wp:extent cx="5104130" cy="2273277"/>
            <wp:effectExtent l="0" t="0" r="1270" b="635"/>
            <wp:docPr id="1317677587" name="Picture 5"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33488" name="Picture 5" descr="A map of the united states&#10;&#10;AI-generated content may be incorrec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52643" cy="2294884"/>
                    </a:xfrm>
                    <a:prstGeom prst="rect">
                      <a:avLst/>
                    </a:prstGeom>
                    <a:noFill/>
                    <a:ln>
                      <a:noFill/>
                    </a:ln>
                  </pic:spPr>
                </pic:pic>
              </a:graphicData>
            </a:graphic>
          </wp:inline>
        </w:drawing>
      </w:r>
    </w:p>
    <w:p w14:paraId="3AA07524" w14:textId="77777777" w:rsidR="00013C12" w:rsidRPr="002466DB" w:rsidRDefault="00013C12" w:rsidP="00013C12">
      <w:pPr>
        <w:spacing w:after="160" w:line="279" w:lineRule="auto"/>
        <w:jc w:val="both"/>
        <w:rPr>
          <w:rFonts w:asciiTheme="minorHAnsi" w:hAnsiTheme="minorHAnsi"/>
          <w:bCs/>
          <w:i/>
          <w:color w:val="000000" w:themeColor="text1"/>
        </w:rPr>
      </w:pPr>
      <w:r w:rsidRPr="002466DB">
        <w:rPr>
          <w:rFonts w:asciiTheme="minorHAnsi" w:hAnsiTheme="minorHAnsi"/>
          <w:bCs/>
          <w:i/>
          <w:color w:val="000000" w:themeColor="text1"/>
        </w:rPr>
        <w:t xml:space="preserve">Supplementary Figure </w:t>
      </w:r>
      <w:r>
        <w:rPr>
          <w:rFonts w:asciiTheme="minorHAnsi" w:hAnsiTheme="minorHAnsi"/>
          <w:bCs/>
          <w:i/>
          <w:color w:val="000000" w:themeColor="text1"/>
        </w:rPr>
        <w:t>8.3</w:t>
      </w:r>
      <w:r w:rsidRPr="002466DB">
        <w:rPr>
          <w:rFonts w:asciiTheme="minorHAnsi" w:hAnsiTheme="minorHAnsi"/>
          <w:bCs/>
          <w:i/>
          <w:color w:val="000000" w:themeColor="text1"/>
        </w:rPr>
        <w:t>: the relative influence of climate modes on annual GPP in the recent climate for the large ensemble.</w:t>
      </w:r>
    </w:p>
    <w:p w14:paraId="38BAAF5C" w14:textId="77777777" w:rsidR="00013C12" w:rsidRDefault="00013C12" w:rsidP="00013C12">
      <w:pPr>
        <w:spacing w:after="160" w:line="279" w:lineRule="auto"/>
        <w:jc w:val="center"/>
        <w:rPr>
          <w:rFonts w:asciiTheme="minorHAnsi" w:hAnsiTheme="minorHAnsi"/>
          <w:bCs/>
          <w:iCs/>
          <w:color w:val="000000" w:themeColor="text1"/>
        </w:rPr>
      </w:pPr>
      <w:r>
        <w:rPr>
          <w:rFonts w:ascii="Aptos" w:hAnsi="Aptos"/>
          <w:i/>
          <w:iCs/>
          <w:noProof/>
          <w:color w:val="C00000"/>
          <w:lang w:val="en-IN" w:eastAsia="en-IN"/>
          <w14:ligatures w14:val="standardContextual"/>
        </w:rPr>
        <w:drawing>
          <wp:inline distT="0" distB="0" distL="0" distR="0" wp14:anchorId="40A3FBD2" wp14:editId="6E0080AD">
            <wp:extent cx="5149049" cy="2293284"/>
            <wp:effectExtent l="0" t="0" r="0" b="5715"/>
            <wp:docPr id="563095391" name="Picture 6"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062336" name="Picture 6" descr="A map of the united states&#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161705" cy="2298921"/>
                    </a:xfrm>
                    <a:prstGeom prst="rect">
                      <a:avLst/>
                    </a:prstGeom>
                  </pic:spPr>
                </pic:pic>
              </a:graphicData>
            </a:graphic>
          </wp:inline>
        </w:drawing>
      </w:r>
    </w:p>
    <w:p w14:paraId="6CE6289F" w14:textId="2100BEDB" w:rsidR="00013C12" w:rsidRDefault="00013C12" w:rsidP="00013C12">
      <w:pPr>
        <w:spacing w:after="160" w:line="279" w:lineRule="auto"/>
        <w:jc w:val="both"/>
        <w:rPr>
          <w:rFonts w:asciiTheme="minorHAnsi" w:hAnsiTheme="minorHAnsi"/>
          <w:bCs/>
          <w:i/>
          <w:color w:val="000000" w:themeColor="text1"/>
        </w:rPr>
      </w:pPr>
      <w:r w:rsidRPr="002466DB">
        <w:rPr>
          <w:rFonts w:asciiTheme="minorHAnsi" w:hAnsiTheme="minorHAnsi"/>
          <w:bCs/>
          <w:i/>
          <w:color w:val="000000" w:themeColor="text1"/>
        </w:rPr>
        <w:t xml:space="preserve">Supplementary Figure </w:t>
      </w:r>
      <w:r>
        <w:rPr>
          <w:rFonts w:asciiTheme="minorHAnsi" w:hAnsiTheme="minorHAnsi"/>
          <w:bCs/>
          <w:i/>
          <w:color w:val="000000" w:themeColor="text1"/>
        </w:rPr>
        <w:t>8.4</w:t>
      </w:r>
      <w:r w:rsidRPr="002466DB">
        <w:rPr>
          <w:rFonts w:asciiTheme="minorHAnsi" w:hAnsiTheme="minorHAnsi"/>
          <w:bCs/>
          <w:i/>
          <w:color w:val="000000" w:themeColor="text1"/>
        </w:rPr>
        <w:t>: the relative influence of climate modes on annual precipitation in the +2°C climate for the large ensemble.</w:t>
      </w:r>
    </w:p>
    <w:p w14:paraId="34A68BEF" w14:textId="77777777" w:rsidR="00013C12" w:rsidRDefault="00013C12">
      <w:pPr>
        <w:spacing w:after="160" w:line="279" w:lineRule="auto"/>
        <w:rPr>
          <w:rFonts w:asciiTheme="minorHAnsi" w:hAnsiTheme="minorHAnsi"/>
          <w:bCs/>
          <w:i/>
          <w:color w:val="000000" w:themeColor="text1"/>
        </w:rPr>
      </w:pPr>
      <w:r>
        <w:rPr>
          <w:rFonts w:asciiTheme="minorHAnsi" w:hAnsiTheme="minorHAnsi"/>
          <w:bCs/>
          <w:i/>
          <w:color w:val="000000" w:themeColor="text1"/>
        </w:rPr>
        <w:br w:type="page"/>
      </w:r>
    </w:p>
    <w:p w14:paraId="7B69B2E4" w14:textId="77777777" w:rsidR="00013C12" w:rsidRPr="002466DB" w:rsidRDefault="00013C12" w:rsidP="00013C12">
      <w:pPr>
        <w:spacing w:after="160" w:line="279" w:lineRule="auto"/>
        <w:jc w:val="both"/>
        <w:rPr>
          <w:rFonts w:asciiTheme="minorHAnsi" w:hAnsiTheme="minorHAnsi"/>
          <w:bCs/>
          <w:i/>
          <w:color w:val="000000" w:themeColor="text1"/>
        </w:rPr>
      </w:pPr>
    </w:p>
    <w:p w14:paraId="54B1518C" w14:textId="77777777" w:rsidR="00013C12" w:rsidRDefault="00013C12" w:rsidP="00013C12">
      <w:pPr>
        <w:spacing w:after="160" w:line="279" w:lineRule="auto"/>
        <w:jc w:val="center"/>
        <w:rPr>
          <w:rFonts w:asciiTheme="minorHAnsi" w:hAnsiTheme="minorHAnsi"/>
          <w:bCs/>
          <w:iCs/>
          <w:color w:val="000000" w:themeColor="text1"/>
        </w:rPr>
      </w:pPr>
      <w:r>
        <w:rPr>
          <w:rFonts w:ascii="Aptos" w:hAnsi="Aptos"/>
          <w:i/>
          <w:iCs/>
          <w:noProof/>
          <w:color w:val="C00000"/>
          <w:lang w:val="en-IN" w:eastAsia="en-IN"/>
          <w14:ligatures w14:val="standardContextual"/>
        </w:rPr>
        <w:drawing>
          <wp:inline distT="0" distB="0" distL="0" distR="0" wp14:anchorId="24556170" wp14:editId="7A87D170">
            <wp:extent cx="5015883" cy="2233974"/>
            <wp:effectExtent l="0" t="0" r="635" b="1270"/>
            <wp:docPr id="525856004" name="Picture 7"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511" name="Picture 7" descr="A map of the united states&#10;&#10;AI-generated content may be incorrec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037750" cy="2243713"/>
                    </a:xfrm>
                    <a:prstGeom prst="rect">
                      <a:avLst/>
                    </a:prstGeom>
                  </pic:spPr>
                </pic:pic>
              </a:graphicData>
            </a:graphic>
          </wp:inline>
        </w:drawing>
      </w:r>
    </w:p>
    <w:p w14:paraId="31925661" w14:textId="77777777" w:rsidR="00013C12" w:rsidRPr="002466DB" w:rsidRDefault="00013C12" w:rsidP="00013C12">
      <w:pPr>
        <w:spacing w:after="160" w:line="279" w:lineRule="auto"/>
        <w:jc w:val="both"/>
        <w:rPr>
          <w:rFonts w:asciiTheme="minorHAnsi" w:hAnsiTheme="minorHAnsi"/>
          <w:bCs/>
          <w:i/>
          <w:color w:val="000000" w:themeColor="text1"/>
        </w:rPr>
      </w:pPr>
      <w:r w:rsidRPr="002466DB">
        <w:rPr>
          <w:rFonts w:asciiTheme="minorHAnsi" w:hAnsiTheme="minorHAnsi"/>
          <w:bCs/>
          <w:i/>
          <w:color w:val="000000" w:themeColor="text1"/>
        </w:rPr>
        <w:t xml:space="preserve">Supplementary Figure </w:t>
      </w:r>
      <w:r>
        <w:rPr>
          <w:rFonts w:asciiTheme="minorHAnsi" w:hAnsiTheme="minorHAnsi"/>
          <w:bCs/>
          <w:i/>
          <w:color w:val="000000" w:themeColor="text1"/>
        </w:rPr>
        <w:t>8.5</w:t>
      </w:r>
      <w:r w:rsidRPr="002466DB">
        <w:rPr>
          <w:rFonts w:asciiTheme="minorHAnsi" w:hAnsiTheme="minorHAnsi"/>
          <w:bCs/>
          <w:i/>
          <w:color w:val="000000" w:themeColor="text1"/>
        </w:rPr>
        <w:t>: the relative influence of climate modes on annual VPD in the +2°C climate for the large ensemble.</w:t>
      </w:r>
    </w:p>
    <w:p w14:paraId="56089E01" w14:textId="77777777" w:rsidR="00013C12" w:rsidRDefault="00013C12" w:rsidP="00013C12">
      <w:pPr>
        <w:spacing w:after="160" w:line="279" w:lineRule="auto"/>
        <w:jc w:val="center"/>
        <w:rPr>
          <w:rFonts w:asciiTheme="minorHAnsi" w:hAnsiTheme="minorHAnsi"/>
          <w:bCs/>
          <w:iCs/>
          <w:color w:val="000000" w:themeColor="text1"/>
        </w:rPr>
      </w:pPr>
      <w:r>
        <w:rPr>
          <w:rFonts w:ascii="Aptos" w:hAnsi="Aptos"/>
          <w:i/>
          <w:iCs/>
          <w:noProof/>
          <w:color w:val="C00000"/>
          <w:lang w:val="en-IN" w:eastAsia="en-IN"/>
          <w14:ligatures w14:val="standardContextual"/>
        </w:rPr>
        <w:drawing>
          <wp:inline distT="0" distB="0" distL="0" distR="0" wp14:anchorId="477AA807" wp14:editId="478CF56D">
            <wp:extent cx="5015865" cy="2233966"/>
            <wp:effectExtent l="0" t="0" r="635" b="1270"/>
            <wp:docPr id="253809197" name="Picture 8"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565625" name="Picture 8" descr="A map of the united states&#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030446" cy="2240460"/>
                    </a:xfrm>
                    <a:prstGeom prst="rect">
                      <a:avLst/>
                    </a:prstGeom>
                  </pic:spPr>
                </pic:pic>
              </a:graphicData>
            </a:graphic>
          </wp:inline>
        </w:drawing>
      </w:r>
    </w:p>
    <w:p w14:paraId="23A2733E" w14:textId="77777777" w:rsidR="00013C12" w:rsidRPr="00207935" w:rsidRDefault="00013C12" w:rsidP="00013C12">
      <w:pPr>
        <w:spacing w:before="160" w:after="80"/>
        <w:jc w:val="both"/>
        <w:rPr>
          <w:rFonts w:asciiTheme="minorHAnsi" w:hAnsiTheme="minorHAnsi"/>
          <w:i/>
        </w:rPr>
      </w:pPr>
      <w:r w:rsidRPr="002466DB">
        <w:rPr>
          <w:rFonts w:asciiTheme="minorHAnsi" w:hAnsiTheme="minorHAnsi"/>
          <w:bCs/>
          <w:i/>
          <w:color w:val="000000" w:themeColor="text1"/>
        </w:rPr>
        <w:t xml:space="preserve">Supplementary Figure </w:t>
      </w:r>
      <w:r>
        <w:rPr>
          <w:rFonts w:asciiTheme="minorHAnsi" w:hAnsiTheme="minorHAnsi"/>
          <w:bCs/>
          <w:i/>
          <w:color w:val="000000" w:themeColor="text1"/>
        </w:rPr>
        <w:t>8.6</w:t>
      </w:r>
      <w:r w:rsidRPr="002466DB">
        <w:rPr>
          <w:rFonts w:asciiTheme="minorHAnsi" w:hAnsiTheme="minorHAnsi"/>
          <w:bCs/>
          <w:i/>
          <w:color w:val="000000" w:themeColor="text1"/>
        </w:rPr>
        <w:t>: the relative influence of climate modes on annual GPP in the +2°C climate for the large ensemble.</w:t>
      </w:r>
      <w:r w:rsidRPr="00207935">
        <w:rPr>
          <w:rFonts w:asciiTheme="minorHAnsi" w:hAnsiTheme="minorHAnsi"/>
          <w:i/>
        </w:rPr>
        <w:br w:type="page"/>
      </w:r>
    </w:p>
    <w:p w14:paraId="14E2C59B" w14:textId="1E336B7E" w:rsidR="009E0AA0" w:rsidRPr="002E3254" w:rsidRDefault="00B524B3" w:rsidP="002E3254">
      <w:pPr>
        <w:pStyle w:val="Heading3"/>
        <w:rPr>
          <w:rFonts w:asciiTheme="minorHAnsi" w:hAnsiTheme="minorHAnsi"/>
          <w:b/>
          <w:iCs/>
          <w:color w:val="000000" w:themeColor="text1"/>
        </w:rPr>
      </w:pPr>
      <w:r>
        <w:rPr>
          <w:rFonts w:asciiTheme="minorHAnsi" w:hAnsiTheme="minorHAnsi"/>
          <w:b/>
          <w:iCs/>
          <w:color w:val="000000" w:themeColor="text1"/>
        </w:rPr>
        <w:t xml:space="preserve">Supplementary Section </w:t>
      </w:r>
      <w:r w:rsidR="00857302">
        <w:rPr>
          <w:rFonts w:asciiTheme="minorHAnsi" w:hAnsiTheme="minorHAnsi"/>
          <w:b/>
          <w:iCs/>
          <w:color w:val="000000" w:themeColor="text1"/>
        </w:rPr>
        <w:t>9</w:t>
      </w:r>
      <w:r>
        <w:rPr>
          <w:rFonts w:asciiTheme="minorHAnsi" w:hAnsiTheme="minorHAnsi"/>
          <w:b/>
          <w:iCs/>
          <w:color w:val="000000" w:themeColor="text1"/>
        </w:rPr>
        <w:t xml:space="preserve">: </w:t>
      </w:r>
      <w:r w:rsidR="00991703">
        <w:rPr>
          <w:rFonts w:asciiTheme="minorHAnsi" w:hAnsiTheme="minorHAnsi"/>
          <w:b/>
          <w:iCs/>
          <w:color w:val="000000" w:themeColor="text1"/>
        </w:rPr>
        <w:t xml:space="preserve">Regional </w:t>
      </w:r>
      <w:r w:rsidR="002E3254">
        <w:rPr>
          <w:rFonts w:asciiTheme="minorHAnsi" w:hAnsiTheme="minorHAnsi"/>
          <w:b/>
          <w:iCs/>
          <w:color w:val="000000" w:themeColor="text1"/>
        </w:rPr>
        <w:t xml:space="preserve">probability distribution functions </w:t>
      </w:r>
      <w:r>
        <w:rPr>
          <w:rFonts w:asciiTheme="minorHAnsi" w:hAnsiTheme="minorHAnsi"/>
          <w:b/>
          <w:iCs/>
          <w:color w:val="000000" w:themeColor="text1"/>
        </w:rPr>
        <w:t xml:space="preserve">of </w:t>
      </w:r>
      <w:r w:rsidR="00991703">
        <w:rPr>
          <w:rFonts w:asciiTheme="minorHAnsi" w:hAnsiTheme="minorHAnsi"/>
          <w:b/>
          <w:iCs/>
          <w:color w:val="000000" w:themeColor="text1"/>
        </w:rPr>
        <w:t>Annual Wildfire</w:t>
      </w:r>
      <w:r>
        <w:rPr>
          <w:rFonts w:asciiTheme="minorHAnsi" w:hAnsiTheme="minorHAnsi"/>
          <w:b/>
          <w:iCs/>
          <w:color w:val="000000" w:themeColor="text1"/>
        </w:rPr>
        <w:t>s</w:t>
      </w:r>
      <w:r w:rsidR="00991703">
        <w:rPr>
          <w:rFonts w:asciiTheme="minorHAnsi" w:hAnsiTheme="minorHAnsi"/>
          <w:b/>
          <w:iCs/>
          <w:color w:val="000000" w:themeColor="text1"/>
        </w:rPr>
        <w:t xml:space="preserve"> Given Climate Mode</w:t>
      </w:r>
      <w:r>
        <w:rPr>
          <w:rFonts w:asciiTheme="minorHAnsi" w:hAnsiTheme="minorHAnsi"/>
          <w:b/>
          <w:iCs/>
          <w:color w:val="000000" w:themeColor="text1"/>
        </w:rPr>
        <w:t xml:space="preserve"> Phase</w:t>
      </w:r>
    </w:p>
    <w:p w14:paraId="7539B35A" w14:textId="38BA8667" w:rsidR="00B95580" w:rsidRPr="00FB6B70" w:rsidRDefault="008E29D4" w:rsidP="00FB6B70">
      <w:pPr>
        <w:spacing w:before="360" w:after="80"/>
        <w:rPr>
          <w:rFonts w:asciiTheme="minorHAnsi" w:hAnsiTheme="minorHAnsi"/>
          <w:color w:val="000000" w:themeColor="text1"/>
        </w:rPr>
      </w:pPr>
      <w:r w:rsidRPr="00D40E8A">
        <w:rPr>
          <w:rFonts w:asciiTheme="minorHAnsi" w:hAnsiTheme="minorHAnsi"/>
          <w:color w:val="000000" w:themeColor="text1"/>
        </w:rPr>
        <w:t>This section shows the</w:t>
      </w:r>
      <w:r w:rsidR="0055649A">
        <w:rPr>
          <w:rFonts w:asciiTheme="minorHAnsi" w:hAnsiTheme="minorHAnsi"/>
          <w:color w:val="000000" w:themeColor="text1"/>
        </w:rPr>
        <w:t xml:space="preserve"> difference in the positive and negative phase</w:t>
      </w:r>
      <w:r w:rsidRPr="00D40E8A">
        <w:rPr>
          <w:rFonts w:asciiTheme="minorHAnsi" w:hAnsiTheme="minorHAnsi"/>
          <w:color w:val="000000" w:themeColor="text1"/>
        </w:rPr>
        <w:t xml:space="preserve"> distributions for all wildfire administrative fire regions in the US (Geographic Area Coordination Centres) </w:t>
      </w:r>
      <w:r w:rsidR="0055649A">
        <w:rPr>
          <w:rFonts w:asciiTheme="minorHAnsi" w:hAnsiTheme="minorHAnsi"/>
          <w:color w:val="000000" w:themeColor="text1"/>
        </w:rPr>
        <w:t xml:space="preserve">– for </w:t>
      </w:r>
      <w:r>
        <w:rPr>
          <w:rFonts w:asciiTheme="minorHAnsi" w:hAnsiTheme="minorHAnsi"/>
          <w:color w:val="000000" w:themeColor="text1"/>
        </w:rPr>
        <w:t>the AMO+1, TSA, TNA+1, PNA, PDO+1, NAO, IOD, and ENSO.</w:t>
      </w:r>
      <w:r w:rsidR="0055649A">
        <w:rPr>
          <w:rFonts w:asciiTheme="minorHAnsi" w:hAnsiTheme="minorHAnsi"/>
          <w:color w:val="000000" w:themeColor="text1"/>
        </w:rPr>
        <w:t xml:space="preserve"> </w:t>
      </w:r>
      <w:r w:rsidR="00FB6B70">
        <w:rPr>
          <w:rFonts w:asciiTheme="minorHAnsi" w:hAnsiTheme="minorHAnsi"/>
          <w:color w:val="000000" w:themeColor="text1"/>
        </w:rPr>
        <w:t>In some regions, the mode’s effect is to spread the distribution further in the wildfire prone phase, such as in Southern California or the Southwest, whilst in others the mode’s effect is solely on the distribution centre, such as in Northern California or the Great Basin. The strongest effects on the distribution are that of ENSO, the TNA+1 and IOD, whilst the AMO+1, PDO+1, and PNA also have significant regional effects. Western regions show a greater response in the distribution than ecoregions, although this could be partially explained by their small extent.</w:t>
      </w:r>
    </w:p>
    <w:p w14:paraId="5B3D0236" w14:textId="35AF9585" w:rsidR="00524F6A" w:rsidRPr="00207935" w:rsidRDefault="00524F6A" w:rsidP="00192F9B">
      <w:pPr>
        <w:spacing w:before="160" w:after="80"/>
        <w:jc w:val="both"/>
        <w:rPr>
          <w:rFonts w:asciiTheme="minorHAnsi" w:hAnsiTheme="minorHAnsi"/>
          <w:i/>
        </w:rPr>
      </w:pPr>
      <w:r w:rsidRPr="00207935">
        <w:rPr>
          <w:rFonts w:asciiTheme="minorHAnsi" w:hAnsiTheme="minorHAnsi"/>
          <w:bCs/>
          <w:i/>
          <w:noProof/>
          <w:lang w:val="en-IN" w:eastAsia="en-IN"/>
        </w:rPr>
        <w:drawing>
          <wp:inline distT="0" distB="0" distL="0" distR="0" wp14:anchorId="21C8E473" wp14:editId="32F0DDDB">
            <wp:extent cx="5943600" cy="4180205"/>
            <wp:effectExtent l="0" t="0" r="0" b="0"/>
            <wp:docPr id="692902981" name="Picture 18" descr="A graph of different types of am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902981" name="Picture 18" descr="A graph of different types of amo&#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4180205"/>
                    </a:xfrm>
                    <a:prstGeom prst="rect">
                      <a:avLst/>
                    </a:prstGeom>
                  </pic:spPr>
                </pic:pic>
              </a:graphicData>
            </a:graphic>
          </wp:inline>
        </w:drawing>
      </w:r>
      <w:r w:rsidRPr="00207935">
        <w:rPr>
          <w:rFonts w:asciiTheme="minorHAnsi" w:hAnsiTheme="minorHAnsi"/>
          <w:bCs/>
          <w:i/>
        </w:rPr>
        <w:t xml:space="preserve"> Supplementary Figure </w:t>
      </w:r>
      <w:r w:rsidR="00857302">
        <w:rPr>
          <w:rFonts w:asciiTheme="minorHAnsi" w:hAnsiTheme="minorHAnsi"/>
          <w:bCs/>
          <w:i/>
        </w:rPr>
        <w:t>9</w:t>
      </w:r>
      <w:r w:rsidR="004027C6" w:rsidRPr="00207935">
        <w:rPr>
          <w:rFonts w:asciiTheme="minorHAnsi" w:hAnsiTheme="minorHAnsi"/>
          <w:bCs/>
          <w:i/>
        </w:rPr>
        <w:t>.1</w:t>
      </w:r>
      <w:r w:rsidRPr="00207935">
        <w:rPr>
          <w:rFonts w:asciiTheme="minorHAnsi" w:hAnsiTheme="minorHAnsi"/>
          <w:i/>
        </w:rPr>
        <w:t xml:space="preserve">: the effect of </w:t>
      </w:r>
      <w:r w:rsidR="00797B0B" w:rsidRPr="00207935">
        <w:rPr>
          <w:rFonts w:asciiTheme="minorHAnsi" w:hAnsiTheme="minorHAnsi"/>
          <w:i/>
        </w:rPr>
        <w:t>Atlantic Multidecadal Oscillation (</w:t>
      </w:r>
      <w:r w:rsidRPr="00207935">
        <w:rPr>
          <w:rFonts w:asciiTheme="minorHAnsi" w:hAnsiTheme="minorHAnsi"/>
          <w:i/>
        </w:rPr>
        <w:t>AMO</w:t>
      </w:r>
      <w:r w:rsidR="00797B0B" w:rsidRPr="00207935">
        <w:rPr>
          <w:rFonts w:asciiTheme="minorHAnsi" w:hAnsiTheme="minorHAnsi"/>
          <w:i/>
        </w:rPr>
        <w:t>)</w:t>
      </w:r>
      <w:r w:rsidRPr="00207935">
        <w:rPr>
          <w:rFonts w:asciiTheme="minorHAnsi" w:hAnsiTheme="minorHAnsi"/>
          <w:i/>
        </w:rPr>
        <w:t xml:space="preserve"> on US wildfire distributions regionally.</w:t>
      </w:r>
    </w:p>
    <w:p w14:paraId="170663B6" w14:textId="77777777" w:rsidR="00524F6A" w:rsidRDefault="00524F6A" w:rsidP="00192F9B">
      <w:pPr>
        <w:spacing w:before="160" w:after="80"/>
        <w:jc w:val="center"/>
        <w:rPr>
          <w:rFonts w:asciiTheme="minorHAnsi" w:hAnsiTheme="minorHAnsi"/>
          <w:bCs/>
          <w:iCs/>
        </w:rPr>
      </w:pPr>
      <w:r>
        <w:rPr>
          <w:rFonts w:asciiTheme="minorHAnsi" w:hAnsiTheme="minorHAnsi"/>
          <w:bCs/>
          <w:iCs/>
          <w:noProof/>
          <w:lang w:val="en-IN" w:eastAsia="en-IN"/>
        </w:rPr>
        <w:drawing>
          <wp:inline distT="0" distB="0" distL="0" distR="0" wp14:anchorId="5D7BD85F" wp14:editId="7328AF17">
            <wp:extent cx="5943600" cy="4180205"/>
            <wp:effectExtent l="0" t="0" r="0" b="0"/>
            <wp:docPr id="1396785283" name="Picture 19" descr="A diagram of a reg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785283" name="Picture 19" descr="A diagram of a region&#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4180205"/>
                    </a:xfrm>
                    <a:prstGeom prst="rect">
                      <a:avLst/>
                    </a:prstGeom>
                  </pic:spPr>
                </pic:pic>
              </a:graphicData>
            </a:graphic>
          </wp:inline>
        </w:drawing>
      </w:r>
      <w:r w:rsidRPr="00A410DB">
        <w:rPr>
          <w:rFonts w:asciiTheme="minorHAnsi" w:hAnsiTheme="minorHAnsi"/>
          <w:bCs/>
          <w:iCs/>
        </w:rPr>
        <w:t xml:space="preserve"> </w:t>
      </w:r>
    </w:p>
    <w:p w14:paraId="4E8ABD83" w14:textId="2C07D381" w:rsidR="00524F6A" w:rsidRPr="00207935" w:rsidRDefault="00524F6A" w:rsidP="00192F9B">
      <w:pPr>
        <w:spacing w:before="160" w:after="80"/>
        <w:jc w:val="both"/>
        <w:rPr>
          <w:rFonts w:asciiTheme="minorHAnsi" w:hAnsiTheme="minorHAnsi"/>
          <w:i/>
        </w:rPr>
      </w:pPr>
      <w:r w:rsidRPr="00207935">
        <w:rPr>
          <w:rFonts w:asciiTheme="minorHAnsi" w:hAnsiTheme="minorHAnsi"/>
          <w:bCs/>
          <w:i/>
        </w:rPr>
        <w:t xml:space="preserve">Supplementary Figure </w:t>
      </w:r>
      <w:r w:rsidR="00857302">
        <w:rPr>
          <w:rFonts w:asciiTheme="minorHAnsi" w:hAnsiTheme="minorHAnsi"/>
          <w:bCs/>
          <w:i/>
        </w:rPr>
        <w:t>9</w:t>
      </w:r>
      <w:r w:rsidR="004027C6" w:rsidRPr="00207935">
        <w:rPr>
          <w:rFonts w:asciiTheme="minorHAnsi" w:hAnsiTheme="minorHAnsi"/>
          <w:bCs/>
          <w:i/>
        </w:rPr>
        <w:t>.2</w:t>
      </w:r>
      <w:r w:rsidRPr="00207935">
        <w:rPr>
          <w:rFonts w:asciiTheme="minorHAnsi" w:hAnsiTheme="minorHAnsi"/>
          <w:i/>
        </w:rPr>
        <w:t xml:space="preserve">: the effect of </w:t>
      </w:r>
      <w:r w:rsidR="00797B0B" w:rsidRPr="00207935">
        <w:rPr>
          <w:rFonts w:asciiTheme="minorHAnsi" w:hAnsiTheme="minorHAnsi"/>
          <w:i/>
        </w:rPr>
        <w:t>Tropical South Atlantic (</w:t>
      </w:r>
      <w:r w:rsidRPr="00207935">
        <w:rPr>
          <w:rFonts w:asciiTheme="minorHAnsi" w:hAnsiTheme="minorHAnsi"/>
          <w:i/>
        </w:rPr>
        <w:t>TSA</w:t>
      </w:r>
      <w:r w:rsidR="00797B0B" w:rsidRPr="00207935">
        <w:rPr>
          <w:rFonts w:asciiTheme="minorHAnsi" w:hAnsiTheme="minorHAnsi"/>
          <w:i/>
        </w:rPr>
        <w:t>)</w:t>
      </w:r>
      <w:r w:rsidRPr="00207935">
        <w:rPr>
          <w:rFonts w:asciiTheme="minorHAnsi" w:hAnsiTheme="minorHAnsi"/>
          <w:i/>
        </w:rPr>
        <w:t xml:space="preserve"> on US wildfire distributions regionally.</w:t>
      </w:r>
    </w:p>
    <w:p w14:paraId="3B953A02" w14:textId="77777777" w:rsidR="00524F6A" w:rsidRPr="00A410DB" w:rsidRDefault="00524F6A" w:rsidP="00192F9B">
      <w:pPr>
        <w:spacing w:before="160" w:after="80"/>
        <w:jc w:val="center"/>
        <w:rPr>
          <w:rFonts w:asciiTheme="minorHAnsi" w:hAnsiTheme="minorHAnsi"/>
          <w:iCs/>
        </w:rPr>
      </w:pPr>
    </w:p>
    <w:p w14:paraId="10664122" w14:textId="77777777" w:rsidR="00524F6A" w:rsidRDefault="00524F6A" w:rsidP="00192F9B">
      <w:pPr>
        <w:spacing w:before="160" w:after="80"/>
        <w:jc w:val="center"/>
        <w:rPr>
          <w:rFonts w:asciiTheme="minorHAnsi" w:hAnsiTheme="minorHAnsi"/>
          <w:bCs/>
          <w:iCs/>
        </w:rPr>
      </w:pPr>
      <w:r>
        <w:rPr>
          <w:rFonts w:asciiTheme="minorHAnsi" w:hAnsiTheme="minorHAnsi"/>
          <w:bCs/>
          <w:iCs/>
          <w:noProof/>
          <w:lang w:val="en-IN" w:eastAsia="en-IN"/>
        </w:rPr>
        <w:drawing>
          <wp:inline distT="0" distB="0" distL="0" distR="0" wp14:anchorId="7AD20BD9" wp14:editId="671D85D5">
            <wp:extent cx="5943600" cy="4180205"/>
            <wp:effectExtent l="0" t="0" r="0" b="0"/>
            <wp:docPr id="1638038762" name="Picture 20" descr="A graph of a number of f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38762" name="Picture 20" descr="A graph of a number of fires&#10;&#10;AI-generated content may be incorrec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4180205"/>
                    </a:xfrm>
                    <a:prstGeom prst="rect">
                      <a:avLst/>
                    </a:prstGeom>
                  </pic:spPr>
                </pic:pic>
              </a:graphicData>
            </a:graphic>
          </wp:inline>
        </w:drawing>
      </w:r>
      <w:r w:rsidRPr="00A410DB">
        <w:rPr>
          <w:rFonts w:asciiTheme="minorHAnsi" w:hAnsiTheme="minorHAnsi"/>
          <w:bCs/>
          <w:iCs/>
        </w:rPr>
        <w:t xml:space="preserve"> </w:t>
      </w:r>
    </w:p>
    <w:p w14:paraId="66DF3C63" w14:textId="4349BA94" w:rsidR="00524F6A" w:rsidRPr="00207935" w:rsidRDefault="00524F6A" w:rsidP="00192F9B">
      <w:pPr>
        <w:spacing w:before="160" w:after="80"/>
        <w:jc w:val="both"/>
        <w:rPr>
          <w:rFonts w:asciiTheme="minorHAnsi" w:hAnsiTheme="minorHAnsi"/>
          <w:i/>
        </w:rPr>
      </w:pPr>
      <w:r w:rsidRPr="00207935">
        <w:rPr>
          <w:rFonts w:asciiTheme="minorHAnsi" w:hAnsiTheme="minorHAnsi"/>
          <w:bCs/>
          <w:i/>
        </w:rPr>
        <w:t xml:space="preserve">Supplementary Figure </w:t>
      </w:r>
      <w:r w:rsidR="00857302">
        <w:rPr>
          <w:rFonts w:asciiTheme="minorHAnsi" w:hAnsiTheme="minorHAnsi"/>
          <w:bCs/>
          <w:i/>
        </w:rPr>
        <w:t>9</w:t>
      </w:r>
      <w:r w:rsidR="004027C6" w:rsidRPr="00207935">
        <w:rPr>
          <w:rFonts w:asciiTheme="minorHAnsi" w:hAnsiTheme="minorHAnsi"/>
          <w:bCs/>
          <w:i/>
        </w:rPr>
        <w:t>.3</w:t>
      </w:r>
      <w:r w:rsidRPr="00207935">
        <w:rPr>
          <w:rFonts w:asciiTheme="minorHAnsi" w:hAnsiTheme="minorHAnsi"/>
          <w:i/>
        </w:rPr>
        <w:t xml:space="preserve">: the effect of </w:t>
      </w:r>
      <w:r w:rsidR="00797B0B" w:rsidRPr="00207935">
        <w:rPr>
          <w:rFonts w:asciiTheme="minorHAnsi" w:hAnsiTheme="minorHAnsi"/>
          <w:i/>
        </w:rPr>
        <w:t>1-year lagged Tropical North Atlantic (</w:t>
      </w:r>
      <w:r w:rsidRPr="00207935">
        <w:rPr>
          <w:rFonts w:asciiTheme="minorHAnsi" w:hAnsiTheme="minorHAnsi"/>
          <w:i/>
        </w:rPr>
        <w:t>TNA+1</w:t>
      </w:r>
      <w:r w:rsidR="00797B0B" w:rsidRPr="00207935">
        <w:rPr>
          <w:rFonts w:asciiTheme="minorHAnsi" w:hAnsiTheme="minorHAnsi"/>
          <w:i/>
        </w:rPr>
        <w:t>)</w:t>
      </w:r>
      <w:r w:rsidRPr="00207935">
        <w:rPr>
          <w:rFonts w:asciiTheme="minorHAnsi" w:hAnsiTheme="minorHAnsi"/>
          <w:i/>
        </w:rPr>
        <w:t xml:space="preserve"> on US wildfire distributions regionally.</w:t>
      </w:r>
    </w:p>
    <w:p w14:paraId="1D1C7DC1" w14:textId="77777777" w:rsidR="00524F6A" w:rsidRPr="00A410DB" w:rsidRDefault="00524F6A" w:rsidP="002E3254">
      <w:pPr>
        <w:spacing w:before="160" w:after="80"/>
        <w:rPr>
          <w:rFonts w:asciiTheme="minorHAnsi" w:hAnsiTheme="minorHAnsi"/>
          <w:iCs/>
        </w:rPr>
      </w:pPr>
    </w:p>
    <w:p w14:paraId="69111C25" w14:textId="7E879AE0" w:rsidR="00524F6A" w:rsidRPr="00207935" w:rsidRDefault="00524F6A" w:rsidP="00192F9B">
      <w:pPr>
        <w:spacing w:before="160" w:after="80"/>
        <w:jc w:val="both"/>
        <w:rPr>
          <w:rFonts w:asciiTheme="minorHAnsi" w:hAnsiTheme="minorHAnsi"/>
          <w:i/>
        </w:rPr>
      </w:pPr>
      <w:r w:rsidRPr="00207935">
        <w:rPr>
          <w:rFonts w:asciiTheme="minorHAnsi" w:hAnsiTheme="minorHAnsi"/>
          <w:bCs/>
          <w:i/>
          <w:noProof/>
          <w:lang w:val="en-IN" w:eastAsia="en-IN"/>
        </w:rPr>
        <w:drawing>
          <wp:inline distT="0" distB="0" distL="0" distR="0" wp14:anchorId="72A41BE9" wp14:editId="1CCFAA30">
            <wp:extent cx="5943600" cy="4180205"/>
            <wp:effectExtent l="0" t="0" r="0" b="0"/>
            <wp:docPr id="1350932467" name="Picture 21" descr="A graph of different types of vege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932467" name="Picture 21" descr="A graph of different types of vegetation&#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4180205"/>
                    </a:xfrm>
                    <a:prstGeom prst="rect">
                      <a:avLst/>
                    </a:prstGeom>
                  </pic:spPr>
                </pic:pic>
              </a:graphicData>
            </a:graphic>
          </wp:inline>
        </w:drawing>
      </w:r>
      <w:r w:rsidRPr="00207935">
        <w:rPr>
          <w:rFonts w:asciiTheme="minorHAnsi" w:hAnsiTheme="minorHAnsi"/>
          <w:bCs/>
          <w:i/>
        </w:rPr>
        <w:t xml:space="preserve"> Supplementary Figure </w:t>
      </w:r>
      <w:r w:rsidR="00857302">
        <w:rPr>
          <w:rFonts w:asciiTheme="minorHAnsi" w:hAnsiTheme="minorHAnsi"/>
          <w:bCs/>
          <w:i/>
        </w:rPr>
        <w:t>9</w:t>
      </w:r>
      <w:r w:rsidR="004027C6" w:rsidRPr="00207935">
        <w:rPr>
          <w:rFonts w:asciiTheme="minorHAnsi" w:hAnsiTheme="minorHAnsi"/>
          <w:bCs/>
          <w:i/>
        </w:rPr>
        <w:t>.4</w:t>
      </w:r>
      <w:r w:rsidRPr="00207935">
        <w:rPr>
          <w:rFonts w:asciiTheme="minorHAnsi" w:hAnsiTheme="minorHAnsi"/>
          <w:i/>
        </w:rPr>
        <w:t xml:space="preserve">: the effect of </w:t>
      </w:r>
      <w:r w:rsidR="00EC3040" w:rsidRPr="00207935">
        <w:rPr>
          <w:rFonts w:asciiTheme="minorHAnsi" w:hAnsiTheme="minorHAnsi"/>
          <w:i/>
        </w:rPr>
        <w:t>Pacific/North American (</w:t>
      </w:r>
      <w:r w:rsidRPr="00207935">
        <w:rPr>
          <w:rFonts w:asciiTheme="minorHAnsi" w:hAnsiTheme="minorHAnsi"/>
          <w:i/>
        </w:rPr>
        <w:t>PNA</w:t>
      </w:r>
      <w:r w:rsidR="00EC3040" w:rsidRPr="00207935">
        <w:rPr>
          <w:rFonts w:asciiTheme="minorHAnsi" w:hAnsiTheme="minorHAnsi"/>
          <w:i/>
        </w:rPr>
        <w:t>)</w:t>
      </w:r>
      <w:r w:rsidRPr="00207935">
        <w:rPr>
          <w:rFonts w:asciiTheme="minorHAnsi" w:hAnsiTheme="minorHAnsi"/>
          <w:i/>
        </w:rPr>
        <w:t xml:space="preserve"> on US wildfire distributions regionally.</w:t>
      </w:r>
    </w:p>
    <w:p w14:paraId="507198C6" w14:textId="77777777" w:rsidR="00524F6A" w:rsidRPr="00A410DB" w:rsidRDefault="00524F6A" w:rsidP="00192F9B">
      <w:pPr>
        <w:spacing w:before="160" w:after="80"/>
        <w:jc w:val="center"/>
        <w:rPr>
          <w:rFonts w:asciiTheme="minorHAnsi" w:hAnsiTheme="minorHAnsi"/>
          <w:iCs/>
        </w:rPr>
      </w:pPr>
    </w:p>
    <w:p w14:paraId="30FEBBE6" w14:textId="77777777" w:rsidR="00524F6A" w:rsidRPr="00A410DB" w:rsidRDefault="00524F6A" w:rsidP="00192F9B">
      <w:pPr>
        <w:spacing w:before="160" w:after="80"/>
        <w:jc w:val="center"/>
        <w:rPr>
          <w:rFonts w:asciiTheme="minorHAnsi" w:hAnsiTheme="minorHAnsi"/>
          <w:iCs/>
        </w:rPr>
      </w:pPr>
      <w:r>
        <w:rPr>
          <w:rFonts w:asciiTheme="minorHAnsi" w:hAnsiTheme="minorHAnsi"/>
          <w:iCs/>
          <w:noProof/>
          <w:lang w:val="en-IN" w:eastAsia="en-IN"/>
        </w:rPr>
        <w:drawing>
          <wp:inline distT="0" distB="0" distL="0" distR="0" wp14:anchorId="65C0C688" wp14:editId="2F8D3A1B">
            <wp:extent cx="5943600" cy="4180205"/>
            <wp:effectExtent l="0" t="0" r="0" b="0"/>
            <wp:docPr id="1781498422" name="Picture 22" descr="A graph of different types of f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98422" name="Picture 22" descr="A graph of different types of fires&#10;&#10;AI-generated content may be incorrec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4180205"/>
                    </a:xfrm>
                    <a:prstGeom prst="rect">
                      <a:avLst/>
                    </a:prstGeom>
                  </pic:spPr>
                </pic:pic>
              </a:graphicData>
            </a:graphic>
          </wp:inline>
        </w:drawing>
      </w:r>
    </w:p>
    <w:p w14:paraId="377B2379" w14:textId="334D7EC8" w:rsidR="00524F6A" w:rsidRPr="00207935" w:rsidRDefault="00524F6A" w:rsidP="00192F9B">
      <w:pPr>
        <w:spacing w:before="160" w:after="80"/>
        <w:jc w:val="both"/>
        <w:rPr>
          <w:rFonts w:asciiTheme="minorHAnsi" w:hAnsiTheme="minorHAnsi"/>
          <w:i/>
        </w:rPr>
      </w:pPr>
      <w:r w:rsidRPr="00207935">
        <w:rPr>
          <w:rFonts w:asciiTheme="minorHAnsi" w:hAnsiTheme="minorHAnsi"/>
          <w:bCs/>
          <w:i/>
        </w:rPr>
        <w:t xml:space="preserve">Supplementary Figure </w:t>
      </w:r>
      <w:r w:rsidR="00857302">
        <w:rPr>
          <w:rFonts w:asciiTheme="minorHAnsi" w:hAnsiTheme="minorHAnsi"/>
          <w:bCs/>
          <w:i/>
        </w:rPr>
        <w:t>9</w:t>
      </w:r>
      <w:r w:rsidR="004027C6" w:rsidRPr="00207935">
        <w:rPr>
          <w:rFonts w:asciiTheme="minorHAnsi" w:hAnsiTheme="minorHAnsi"/>
          <w:bCs/>
          <w:i/>
        </w:rPr>
        <w:t>.5</w:t>
      </w:r>
      <w:r w:rsidRPr="00207935">
        <w:rPr>
          <w:rFonts w:asciiTheme="minorHAnsi" w:hAnsiTheme="minorHAnsi"/>
          <w:i/>
        </w:rPr>
        <w:t xml:space="preserve">: the effect of </w:t>
      </w:r>
      <w:r w:rsidR="00EC3040" w:rsidRPr="00207935">
        <w:rPr>
          <w:rFonts w:asciiTheme="minorHAnsi" w:hAnsiTheme="minorHAnsi"/>
          <w:i/>
        </w:rPr>
        <w:t>1-year lagged Pacific Decadal Oscillation (</w:t>
      </w:r>
      <w:r w:rsidRPr="00207935">
        <w:rPr>
          <w:rFonts w:asciiTheme="minorHAnsi" w:hAnsiTheme="minorHAnsi"/>
          <w:i/>
        </w:rPr>
        <w:t>PDO+1</w:t>
      </w:r>
      <w:r w:rsidR="00EC3040" w:rsidRPr="00207935">
        <w:rPr>
          <w:rFonts w:asciiTheme="minorHAnsi" w:hAnsiTheme="minorHAnsi"/>
          <w:i/>
        </w:rPr>
        <w:t>)</w:t>
      </w:r>
      <w:r w:rsidRPr="00207935">
        <w:rPr>
          <w:rFonts w:asciiTheme="minorHAnsi" w:hAnsiTheme="minorHAnsi"/>
          <w:i/>
        </w:rPr>
        <w:t xml:space="preserve"> on US wildfire distributions regionally.</w:t>
      </w:r>
    </w:p>
    <w:p w14:paraId="0A0CA649" w14:textId="77777777" w:rsidR="00524F6A" w:rsidRPr="00A410DB" w:rsidRDefault="00524F6A" w:rsidP="00192F9B">
      <w:pPr>
        <w:spacing w:before="160" w:after="80"/>
        <w:jc w:val="center"/>
        <w:rPr>
          <w:rFonts w:asciiTheme="minorHAnsi" w:hAnsiTheme="minorHAnsi"/>
          <w:iCs/>
        </w:rPr>
      </w:pPr>
    </w:p>
    <w:p w14:paraId="22540361" w14:textId="3F059ECA" w:rsidR="00524F6A" w:rsidRPr="00207935" w:rsidRDefault="00524F6A" w:rsidP="00192F9B">
      <w:pPr>
        <w:spacing w:before="160" w:after="80"/>
        <w:jc w:val="both"/>
        <w:rPr>
          <w:rFonts w:asciiTheme="minorHAnsi" w:hAnsiTheme="minorHAnsi"/>
          <w:i/>
        </w:rPr>
      </w:pPr>
      <w:r w:rsidRPr="00207935">
        <w:rPr>
          <w:rFonts w:asciiTheme="minorHAnsi" w:hAnsiTheme="minorHAnsi"/>
          <w:bCs/>
          <w:i/>
          <w:noProof/>
          <w:lang w:val="en-IN" w:eastAsia="en-IN"/>
        </w:rPr>
        <w:drawing>
          <wp:inline distT="0" distB="0" distL="0" distR="0" wp14:anchorId="57FAEA76" wp14:editId="500183BD">
            <wp:extent cx="5943600" cy="4180205"/>
            <wp:effectExtent l="0" t="0" r="0" b="0"/>
            <wp:docPr id="1672879704" name="Picture 23" descr="A diagram of a reg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79704" name="Picture 23" descr="A diagram of a region&#10;&#10;AI-generated content may be incorrec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4180205"/>
                    </a:xfrm>
                    <a:prstGeom prst="rect">
                      <a:avLst/>
                    </a:prstGeom>
                  </pic:spPr>
                </pic:pic>
              </a:graphicData>
            </a:graphic>
          </wp:inline>
        </w:drawing>
      </w:r>
      <w:r w:rsidRPr="00207935">
        <w:rPr>
          <w:rFonts w:asciiTheme="minorHAnsi" w:hAnsiTheme="minorHAnsi"/>
          <w:bCs/>
          <w:i/>
        </w:rPr>
        <w:t xml:space="preserve"> Supplementary Figure </w:t>
      </w:r>
      <w:r w:rsidR="00857302">
        <w:rPr>
          <w:rFonts w:asciiTheme="minorHAnsi" w:hAnsiTheme="minorHAnsi"/>
          <w:bCs/>
          <w:i/>
        </w:rPr>
        <w:t>9</w:t>
      </w:r>
      <w:r w:rsidR="004027C6" w:rsidRPr="00207935">
        <w:rPr>
          <w:rFonts w:asciiTheme="minorHAnsi" w:hAnsiTheme="minorHAnsi"/>
          <w:bCs/>
          <w:i/>
        </w:rPr>
        <w:t>.6</w:t>
      </w:r>
      <w:r w:rsidRPr="00207935">
        <w:rPr>
          <w:rFonts w:asciiTheme="minorHAnsi" w:hAnsiTheme="minorHAnsi"/>
          <w:bCs/>
          <w:i/>
        </w:rPr>
        <w:t>:</w:t>
      </w:r>
      <w:r w:rsidRPr="00207935">
        <w:rPr>
          <w:rFonts w:asciiTheme="minorHAnsi" w:hAnsiTheme="minorHAnsi"/>
          <w:i/>
        </w:rPr>
        <w:t xml:space="preserve"> the effect of </w:t>
      </w:r>
      <w:r w:rsidR="00EC3040" w:rsidRPr="00207935">
        <w:rPr>
          <w:rFonts w:asciiTheme="minorHAnsi" w:hAnsiTheme="minorHAnsi"/>
          <w:i/>
        </w:rPr>
        <w:t>North Atlantic Oscillation (</w:t>
      </w:r>
      <w:r w:rsidRPr="00207935">
        <w:rPr>
          <w:rFonts w:asciiTheme="minorHAnsi" w:hAnsiTheme="minorHAnsi"/>
          <w:i/>
        </w:rPr>
        <w:t>NAO</w:t>
      </w:r>
      <w:r w:rsidR="00EC3040" w:rsidRPr="00207935">
        <w:rPr>
          <w:rFonts w:asciiTheme="minorHAnsi" w:hAnsiTheme="minorHAnsi"/>
          <w:i/>
        </w:rPr>
        <w:t>)</w:t>
      </w:r>
      <w:r w:rsidRPr="00207935">
        <w:rPr>
          <w:rFonts w:asciiTheme="minorHAnsi" w:hAnsiTheme="minorHAnsi"/>
          <w:i/>
        </w:rPr>
        <w:t xml:space="preserve"> on US wildfire distributions regionally.</w:t>
      </w:r>
    </w:p>
    <w:p w14:paraId="0C12774F" w14:textId="77777777" w:rsidR="00524F6A" w:rsidRPr="00A410DB" w:rsidRDefault="00524F6A" w:rsidP="00192F9B">
      <w:pPr>
        <w:spacing w:before="160" w:after="80"/>
        <w:jc w:val="center"/>
        <w:rPr>
          <w:rFonts w:asciiTheme="minorHAnsi" w:hAnsiTheme="minorHAnsi"/>
          <w:iCs/>
        </w:rPr>
      </w:pPr>
    </w:p>
    <w:p w14:paraId="3B77C7B9" w14:textId="55A986F2" w:rsidR="00524F6A" w:rsidRPr="00207935" w:rsidRDefault="00524F6A" w:rsidP="00192F9B">
      <w:pPr>
        <w:spacing w:before="160" w:after="80"/>
        <w:jc w:val="both"/>
        <w:rPr>
          <w:rFonts w:asciiTheme="minorHAnsi" w:hAnsiTheme="minorHAnsi"/>
          <w:i/>
        </w:rPr>
      </w:pPr>
      <w:r w:rsidRPr="00207935">
        <w:rPr>
          <w:rFonts w:asciiTheme="minorHAnsi" w:hAnsiTheme="minorHAnsi"/>
          <w:bCs/>
          <w:i/>
          <w:noProof/>
          <w:lang w:val="en-IN" w:eastAsia="en-IN"/>
        </w:rPr>
        <w:drawing>
          <wp:inline distT="0" distB="0" distL="0" distR="0" wp14:anchorId="6527BF73" wp14:editId="40E89E28">
            <wp:extent cx="5943600" cy="4180205"/>
            <wp:effectExtent l="0" t="0" r="0" b="0"/>
            <wp:docPr id="197581394" name="Picture 24" descr="A diagram of a reg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1394" name="Picture 24" descr="A diagram of a region&#10;&#10;AI-generated content may b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4180205"/>
                    </a:xfrm>
                    <a:prstGeom prst="rect">
                      <a:avLst/>
                    </a:prstGeom>
                  </pic:spPr>
                </pic:pic>
              </a:graphicData>
            </a:graphic>
          </wp:inline>
        </w:drawing>
      </w:r>
      <w:r w:rsidRPr="00207935">
        <w:rPr>
          <w:rFonts w:asciiTheme="minorHAnsi" w:hAnsiTheme="minorHAnsi"/>
          <w:bCs/>
          <w:i/>
        </w:rPr>
        <w:t xml:space="preserve"> Supplementary Figure </w:t>
      </w:r>
      <w:r w:rsidR="00857302">
        <w:rPr>
          <w:rFonts w:asciiTheme="minorHAnsi" w:hAnsiTheme="minorHAnsi"/>
          <w:bCs/>
          <w:i/>
        </w:rPr>
        <w:t>9</w:t>
      </w:r>
      <w:r w:rsidR="004027C6" w:rsidRPr="00207935">
        <w:rPr>
          <w:rFonts w:asciiTheme="minorHAnsi" w:hAnsiTheme="minorHAnsi"/>
          <w:bCs/>
          <w:i/>
        </w:rPr>
        <w:t>.7</w:t>
      </w:r>
      <w:r w:rsidRPr="00207935">
        <w:rPr>
          <w:rFonts w:asciiTheme="minorHAnsi" w:hAnsiTheme="minorHAnsi"/>
          <w:bCs/>
          <w:i/>
        </w:rPr>
        <w:t>:</w:t>
      </w:r>
      <w:r w:rsidRPr="00207935">
        <w:rPr>
          <w:rFonts w:asciiTheme="minorHAnsi" w:hAnsiTheme="minorHAnsi"/>
          <w:i/>
        </w:rPr>
        <w:t xml:space="preserve"> the effect of </w:t>
      </w:r>
      <w:r w:rsidR="00EC3040" w:rsidRPr="00207935">
        <w:rPr>
          <w:rFonts w:asciiTheme="minorHAnsi" w:hAnsiTheme="minorHAnsi"/>
          <w:i/>
        </w:rPr>
        <w:t>Indian Ocean Dipole (</w:t>
      </w:r>
      <w:r w:rsidRPr="00207935">
        <w:rPr>
          <w:rFonts w:asciiTheme="minorHAnsi" w:hAnsiTheme="minorHAnsi"/>
          <w:i/>
        </w:rPr>
        <w:t>IOD</w:t>
      </w:r>
      <w:r w:rsidR="00EC3040" w:rsidRPr="00207935">
        <w:rPr>
          <w:rFonts w:asciiTheme="minorHAnsi" w:hAnsiTheme="minorHAnsi"/>
          <w:i/>
        </w:rPr>
        <w:t>)</w:t>
      </w:r>
      <w:r w:rsidRPr="00207935">
        <w:rPr>
          <w:rFonts w:asciiTheme="minorHAnsi" w:hAnsiTheme="minorHAnsi"/>
          <w:i/>
        </w:rPr>
        <w:t xml:space="preserve"> on US wildfire distributions regionally.</w:t>
      </w:r>
    </w:p>
    <w:p w14:paraId="7D35DC9E" w14:textId="77777777" w:rsidR="00524F6A" w:rsidRPr="00A410DB" w:rsidRDefault="00524F6A" w:rsidP="00192F9B">
      <w:pPr>
        <w:spacing w:before="160" w:after="80"/>
        <w:jc w:val="center"/>
        <w:rPr>
          <w:rFonts w:asciiTheme="minorHAnsi" w:hAnsiTheme="minorHAnsi"/>
          <w:iCs/>
        </w:rPr>
      </w:pPr>
    </w:p>
    <w:p w14:paraId="1C3A5336" w14:textId="63AACA67" w:rsidR="006449E2" w:rsidRPr="00207935" w:rsidRDefault="00524F6A" w:rsidP="002E3254">
      <w:pPr>
        <w:spacing w:before="160" w:after="80"/>
        <w:jc w:val="both"/>
        <w:rPr>
          <w:rFonts w:asciiTheme="minorHAnsi" w:hAnsiTheme="minorHAnsi"/>
          <w:i/>
        </w:rPr>
      </w:pPr>
      <w:r w:rsidRPr="00207935">
        <w:rPr>
          <w:rFonts w:asciiTheme="minorHAnsi" w:hAnsiTheme="minorHAnsi"/>
          <w:bCs/>
          <w:i/>
          <w:noProof/>
          <w:lang w:val="en-IN" w:eastAsia="en-IN"/>
        </w:rPr>
        <w:drawing>
          <wp:inline distT="0" distB="0" distL="0" distR="0" wp14:anchorId="37083647" wp14:editId="51172226">
            <wp:extent cx="5943600" cy="4180205"/>
            <wp:effectExtent l="0" t="0" r="0" b="0"/>
            <wp:docPr id="269259657" name="Picture 25" descr="A graph of different types of wea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59657" name="Picture 25" descr="A graph of different types of weather&#10;&#10;AI-generated content may be incorrec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4180205"/>
                    </a:xfrm>
                    <a:prstGeom prst="rect">
                      <a:avLst/>
                    </a:prstGeom>
                  </pic:spPr>
                </pic:pic>
              </a:graphicData>
            </a:graphic>
          </wp:inline>
        </w:drawing>
      </w:r>
      <w:r w:rsidRPr="00207935">
        <w:rPr>
          <w:rFonts w:asciiTheme="minorHAnsi" w:hAnsiTheme="minorHAnsi"/>
          <w:bCs/>
          <w:i/>
        </w:rPr>
        <w:t xml:space="preserve"> Supplementary Figure </w:t>
      </w:r>
      <w:r w:rsidR="00857302">
        <w:rPr>
          <w:rFonts w:asciiTheme="minorHAnsi" w:hAnsiTheme="minorHAnsi"/>
          <w:bCs/>
          <w:i/>
        </w:rPr>
        <w:t>9</w:t>
      </w:r>
      <w:r w:rsidR="004027C6" w:rsidRPr="00207935">
        <w:rPr>
          <w:rFonts w:asciiTheme="minorHAnsi" w:hAnsiTheme="minorHAnsi"/>
          <w:bCs/>
          <w:i/>
        </w:rPr>
        <w:t>.8</w:t>
      </w:r>
      <w:r w:rsidRPr="00207935">
        <w:rPr>
          <w:rFonts w:asciiTheme="minorHAnsi" w:hAnsiTheme="minorHAnsi"/>
          <w:i/>
        </w:rPr>
        <w:t xml:space="preserve">: the effect of </w:t>
      </w:r>
      <w:r w:rsidR="00EC3040" w:rsidRPr="00207935">
        <w:rPr>
          <w:rFonts w:asciiTheme="minorHAnsi" w:hAnsiTheme="minorHAnsi"/>
          <w:i/>
        </w:rPr>
        <w:t>El Niño Southern Oscillation (</w:t>
      </w:r>
      <w:r w:rsidRPr="00207935">
        <w:rPr>
          <w:rFonts w:asciiTheme="minorHAnsi" w:hAnsiTheme="minorHAnsi"/>
          <w:i/>
        </w:rPr>
        <w:t>ENSO</w:t>
      </w:r>
      <w:r w:rsidR="00EC3040" w:rsidRPr="00207935">
        <w:rPr>
          <w:rFonts w:asciiTheme="minorHAnsi" w:hAnsiTheme="minorHAnsi"/>
          <w:i/>
        </w:rPr>
        <w:t>)</w:t>
      </w:r>
      <w:r w:rsidRPr="00207935">
        <w:rPr>
          <w:rFonts w:asciiTheme="minorHAnsi" w:hAnsiTheme="minorHAnsi"/>
          <w:i/>
        </w:rPr>
        <w:t xml:space="preserve"> on US wildfire distributions regionally.</w:t>
      </w:r>
    </w:p>
    <w:p w14:paraId="352CCEAC" w14:textId="77777777" w:rsidR="002E3254" w:rsidRDefault="002E3254">
      <w:pPr>
        <w:spacing w:after="160" w:line="279" w:lineRule="auto"/>
        <w:rPr>
          <w:rFonts w:asciiTheme="minorHAnsi" w:eastAsiaTheme="majorEastAsia" w:hAnsiTheme="minorHAnsi" w:cstheme="majorBidi"/>
          <w:b/>
          <w:iCs/>
          <w:color w:val="000000" w:themeColor="text1"/>
          <w:sz w:val="28"/>
          <w:szCs w:val="28"/>
        </w:rPr>
      </w:pPr>
      <w:r>
        <w:rPr>
          <w:rFonts w:asciiTheme="minorHAnsi" w:hAnsiTheme="minorHAnsi"/>
          <w:b/>
          <w:iCs/>
          <w:color w:val="000000" w:themeColor="text1"/>
        </w:rPr>
        <w:br w:type="page"/>
      </w:r>
    </w:p>
    <w:p w14:paraId="575BEC2D" w14:textId="2A23BF1D" w:rsidR="00144E71" w:rsidRPr="002E3254" w:rsidRDefault="00B524B3" w:rsidP="002E3254">
      <w:pPr>
        <w:pStyle w:val="Heading3"/>
        <w:rPr>
          <w:rFonts w:asciiTheme="minorHAnsi" w:hAnsiTheme="minorHAnsi"/>
          <w:b/>
          <w:iCs/>
          <w:color w:val="000000" w:themeColor="text1"/>
        </w:rPr>
      </w:pPr>
      <w:r>
        <w:rPr>
          <w:rFonts w:asciiTheme="minorHAnsi" w:hAnsiTheme="minorHAnsi"/>
          <w:b/>
          <w:iCs/>
          <w:color w:val="000000" w:themeColor="text1"/>
        </w:rPr>
        <w:t xml:space="preserve">Supplementary Section </w:t>
      </w:r>
      <w:r w:rsidR="000E6895">
        <w:rPr>
          <w:rFonts w:asciiTheme="minorHAnsi" w:hAnsiTheme="minorHAnsi"/>
          <w:b/>
          <w:iCs/>
          <w:color w:val="000000" w:themeColor="text1"/>
        </w:rPr>
        <w:t>10</w:t>
      </w:r>
      <w:r>
        <w:rPr>
          <w:rFonts w:asciiTheme="minorHAnsi" w:hAnsiTheme="minorHAnsi"/>
          <w:b/>
          <w:iCs/>
          <w:color w:val="000000" w:themeColor="text1"/>
        </w:rPr>
        <w:t>: Wildfire Season Length and Peak Timing Given Climate Mode Phase</w:t>
      </w:r>
    </w:p>
    <w:p w14:paraId="610B140A" w14:textId="38679261" w:rsidR="00144E71" w:rsidRDefault="003B425C" w:rsidP="00E60F29">
      <w:pPr>
        <w:spacing w:before="360" w:after="80"/>
        <w:rPr>
          <w:rFonts w:asciiTheme="minorHAnsi" w:hAnsiTheme="minorHAnsi"/>
          <w:color w:val="000000" w:themeColor="text1"/>
        </w:rPr>
      </w:pPr>
      <w:r>
        <w:rPr>
          <w:rFonts w:asciiTheme="minorHAnsi" w:hAnsiTheme="minorHAnsi"/>
          <w:color w:val="000000" w:themeColor="text1"/>
        </w:rPr>
        <w:t>El Niño shows a strong effect on the seasonal timing, resulting in an earlier fire season peak east of the Great Plains and a later fire season peak west of the Great Plains and in the southwestern US.</w:t>
      </w:r>
      <w:r w:rsidR="009B5203">
        <w:rPr>
          <w:rFonts w:asciiTheme="minorHAnsi" w:hAnsiTheme="minorHAnsi"/>
          <w:color w:val="000000" w:themeColor="text1"/>
        </w:rPr>
        <w:t xml:space="preserve"> The reverse of this effect is apparent in La Niña years, but is not as strong in its difference from the mean.</w:t>
      </w:r>
      <w:r w:rsidR="00FB25DA">
        <w:rPr>
          <w:rFonts w:asciiTheme="minorHAnsi" w:hAnsiTheme="minorHAnsi"/>
          <w:color w:val="000000" w:themeColor="text1"/>
        </w:rPr>
        <w:t xml:space="preserve"> This El Niño like effect on the fire season is also apparent in the negative 1-year lagged Tropical North Atlantic (TNA+1), the positive Indian Ocean Dipole (IOD), and the negative 1-year lagged Pacific Decadal Oscillation (PDO+1) in order of decreasing strength. The negative Pacific/North American and positive North Atlantic Oscillation are </w:t>
      </w:r>
      <w:r w:rsidR="00E60F29">
        <w:rPr>
          <w:rFonts w:asciiTheme="minorHAnsi" w:hAnsiTheme="minorHAnsi"/>
          <w:color w:val="000000" w:themeColor="text1"/>
        </w:rPr>
        <w:t xml:space="preserve">also </w:t>
      </w:r>
      <w:r w:rsidR="00FB25DA">
        <w:rPr>
          <w:rFonts w:asciiTheme="minorHAnsi" w:hAnsiTheme="minorHAnsi"/>
          <w:color w:val="000000" w:themeColor="text1"/>
        </w:rPr>
        <w:t xml:space="preserve">associated with a half-month earlier peak in the Californian fire season. </w:t>
      </w:r>
      <w:r w:rsidR="00E60F29" w:rsidRPr="00E60F29">
        <w:rPr>
          <w:rFonts w:asciiTheme="minorHAnsi" w:hAnsiTheme="minorHAnsi"/>
          <w:color w:val="000000" w:themeColor="text1"/>
        </w:rPr>
        <w:t xml:space="preserve">The effect on the length of the fire season corresponds to the areas where the modes are most associated with an increase in the number of wildfires (Figure </w:t>
      </w:r>
      <w:r w:rsidR="00C9483E">
        <w:rPr>
          <w:rFonts w:asciiTheme="minorHAnsi" w:hAnsiTheme="minorHAnsi"/>
          <w:color w:val="000000" w:themeColor="text1"/>
        </w:rPr>
        <w:t>4</w:t>
      </w:r>
      <w:r w:rsidR="00E60F29" w:rsidRPr="00E60F29">
        <w:rPr>
          <w:rFonts w:asciiTheme="minorHAnsi" w:hAnsiTheme="minorHAnsi"/>
          <w:color w:val="000000" w:themeColor="text1"/>
        </w:rPr>
        <w:t>)</w:t>
      </w:r>
      <w:r w:rsidR="00E60F29">
        <w:rPr>
          <w:rFonts w:asciiTheme="minorHAnsi" w:hAnsiTheme="minorHAnsi"/>
          <w:color w:val="000000" w:themeColor="text1"/>
        </w:rPr>
        <w:t>. This signal is strongest for the increasing effect under La Niña in the southwestern US, the Great Plains, and southern Florida, an effect also visible in the IOD and TNA+1.</w:t>
      </w:r>
    </w:p>
    <w:p w14:paraId="4880CC70" w14:textId="78675AB7" w:rsidR="007918E9" w:rsidRPr="00207935" w:rsidRDefault="007918E9" w:rsidP="00192F9B">
      <w:pPr>
        <w:spacing w:before="160" w:after="80"/>
        <w:jc w:val="both"/>
        <w:rPr>
          <w:rFonts w:asciiTheme="minorHAnsi" w:hAnsiTheme="minorHAnsi"/>
          <w:i/>
        </w:rPr>
      </w:pPr>
      <w:r w:rsidRPr="00207935">
        <w:rPr>
          <w:rFonts w:asciiTheme="minorHAnsi" w:hAnsiTheme="minorHAnsi"/>
          <w:bCs/>
          <w:i/>
          <w:noProof/>
          <w:lang w:val="en-IN" w:eastAsia="en-IN"/>
        </w:rPr>
        <w:drawing>
          <wp:inline distT="0" distB="0" distL="0" distR="0" wp14:anchorId="17050242" wp14:editId="36345A38">
            <wp:extent cx="5943600" cy="2763520"/>
            <wp:effectExtent l="0" t="0" r="0" b="5080"/>
            <wp:docPr id="1034192479" name="Picture 26"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92479" name="Picture 26" descr="A map of the united states&#10;&#10;AI-generated content may be incorrec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2763520"/>
                    </a:xfrm>
                    <a:prstGeom prst="rect">
                      <a:avLst/>
                    </a:prstGeom>
                  </pic:spPr>
                </pic:pic>
              </a:graphicData>
            </a:graphic>
          </wp:inline>
        </w:drawing>
      </w:r>
      <w:r w:rsidRPr="00207935">
        <w:rPr>
          <w:rFonts w:asciiTheme="minorHAnsi" w:hAnsiTheme="minorHAnsi"/>
          <w:bCs/>
          <w:i/>
        </w:rPr>
        <w:t xml:space="preserve"> Supplementary Figure </w:t>
      </w:r>
      <w:r w:rsidR="000921E4">
        <w:rPr>
          <w:rFonts w:asciiTheme="minorHAnsi" w:hAnsiTheme="minorHAnsi"/>
          <w:bCs/>
          <w:i/>
        </w:rPr>
        <w:t>10</w:t>
      </w:r>
      <w:r w:rsidR="004027C6" w:rsidRPr="00207935">
        <w:rPr>
          <w:rFonts w:asciiTheme="minorHAnsi" w:hAnsiTheme="minorHAnsi"/>
          <w:bCs/>
          <w:i/>
        </w:rPr>
        <w:t>.1</w:t>
      </w:r>
      <w:r w:rsidRPr="00207935">
        <w:rPr>
          <w:rFonts w:asciiTheme="minorHAnsi" w:hAnsiTheme="minorHAnsi"/>
          <w:i/>
        </w:rPr>
        <w:t xml:space="preserve">: top row; the average seasonal phase across all locations with sufficiently high seasonal concentration (over 0.15), and the effect of the phase of </w:t>
      </w:r>
      <w:r w:rsidR="00355FF5" w:rsidRPr="00207935">
        <w:rPr>
          <w:rFonts w:asciiTheme="minorHAnsi" w:hAnsiTheme="minorHAnsi"/>
          <w:i/>
        </w:rPr>
        <w:t>El Niño Southern Oscillation (</w:t>
      </w:r>
      <w:r w:rsidRPr="00207935">
        <w:rPr>
          <w:rFonts w:asciiTheme="minorHAnsi" w:hAnsiTheme="minorHAnsi"/>
          <w:i/>
        </w:rPr>
        <w:t>ENSO</w:t>
      </w:r>
      <w:r w:rsidR="00355FF5" w:rsidRPr="00207935">
        <w:rPr>
          <w:rFonts w:asciiTheme="minorHAnsi" w:hAnsiTheme="minorHAnsi"/>
          <w:i/>
        </w:rPr>
        <w:t>)</w:t>
      </w:r>
      <w:r w:rsidRPr="00207935">
        <w:rPr>
          <w:rFonts w:asciiTheme="minorHAnsi" w:hAnsiTheme="minorHAnsi"/>
          <w:i/>
        </w:rPr>
        <w:t xml:space="preserve"> on the timing of the seasonal peak in months. Bottom row; the length of the fire season in months (calculated as the number of months over the mean annual half-maximum) and the effect of the phase of ENSO on the season length in months.</w:t>
      </w:r>
    </w:p>
    <w:p w14:paraId="102FC31A" w14:textId="77777777" w:rsidR="007918E9" w:rsidRPr="00A410DB" w:rsidRDefault="007918E9" w:rsidP="00192F9B">
      <w:pPr>
        <w:spacing w:before="160" w:after="80"/>
        <w:rPr>
          <w:rFonts w:asciiTheme="minorHAnsi" w:hAnsiTheme="minorHAnsi"/>
          <w:iCs/>
        </w:rPr>
      </w:pPr>
    </w:p>
    <w:p w14:paraId="75F84C47" w14:textId="301029A0" w:rsidR="008519F0" w:rsidRPr="00207935" w:rsidRDefault="007918E9" w:rsidP="00192F9B">
      <w:pPr>
        <w:spacing w:before="160" w:after="80"/>
        <w:jc w:val="both"/>
        <w:rPr>
          <w:rFonts w:asciiTheme="minorHAnsi" w:hAnsiTheme="minorHAnsi"/>
          <w:i/>
        </w:rPr>
      </w:pPr>
      <w:r w:rsidRPr="00207935">
        <w:rPr>
          <w:rFonts w:asciiTheme="minorHAnsi" w:hAnsiTheme="minorHAnsi"/>
          <w:bCs/>
          <w:i/>
          <w:noProof/>
          <w:lang w:val="en-IN" w:eastAsia="en-IN"/>
        </w:rPr>
        <w:drawing>
          <wp:inline distT="0" distB="0" distL="0" distR="0" wp14:anchorId="1175F1AF" wp14:editId="74C58A28">
            <wp:extent cx="5943600" cy="2763520"/>
            <wp:effectExtent l="0" t="0" r="0" b="5080"/>
            <wp:docPr id="922526191" name="Picture 27"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526191" name="Picture 27" descr="A map of the united states&#10;&#10;AI-generated content may be incorrec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2763520"/>
                    </a:xfrm>
                    <a:prstGeom prst="rect">
                      <a:avLst/>
                    </a:prstGeom>
                  </pic:spPr>
                </pic:pic>
              </a:graphicData>
            </a:graphic>
          </wp:inline>
        </w:drawing>
      </w:r>
      <w:r w:rsidRPr="00207935">
        <w:rPr>
          <w:rFonts w:asciiTheme="minorHAnsi" w:hAnsiTheme="minorHAnsi"/>
          <w:bCs/>
          <w:i/>
        </w:rPr>
        <w:t xml:space="preserve"> Supplementary Figure </w:t>
      </w:r>
      <w:r w:rsidR="000921E4">
        <w:rPr>
          <w:rFonts w:asciiTheme="minorHAnsi" w:hAnsiTheme="minorHAnsi"/>
          <w:bCs/>
          <w:i/>
        </w:rPr>
        <w:t>10</w:t>
      </w:r>
      <w:r w:rsidR="004027C6" w:rsidRPr="00207935">
        <w:rPr>
          <w:rFonts w:asciiTheme="minorHAnsi" w:hAnsiTheme="minorHAnsi"/>
          <w:bCs/>
          <w:i/>
        </w:rPr>
        <w:t>.2</w:t>
      </w:r>
      <w:r w:rsidRPr="00207935">
        <w:rPr>
          <w:rFonts w:asciiTheme="minorHAnsi" w:hAnsiTheme="minorHAnsi"/>
          <w:i/>
        </w:rPr>
        <w:t xml:space="preserve">: </w:t>
      </w:r>
      <w:r w:rsidR="00355FF5" w:rsidRPr="00207935">
        <w:rPr>
          <w:rFonts w:asciiTheme="minorHAnsi" w:hAnsiTheme="minorHAnsi"/>
          <w:i/>
        </w:rPr>
        <w:t>top row; the average seasonal phase across all locations with sufficiently high seasonal concentration (over 0.15), and the effect of the phase of the Indian Ocean Dipole (IOD) on the timing of the seasonal peak in months. Bottom row; the length of the fire season in months (calculated as the number of months over the mean annual half-maximum) and the effect of the phase of IOD on the season length in months.</w:t>
      </w:r>
    </w:p>
    <w:p w14:paraId="5B7B0B33" w14:textId="6AFB17F2" w:rsidR="007918E9" w:rsidRDefault="007918E9" w:rsidP="00D40E8A">
      <w:pPr>
        <w:spacing w:before="160" w:after="80"/>
        <w:jc w:val="both"/>
        <w:rPr>
          <w:rFonts w:asciiTheme="minorHAnsi" w:hAnsiTheme="minorHAnsi"/>
          <w:iCs/>
        </w:rPr>
      </w:pPr>
    </w:p>
    <w:p w14:paraId="1A69889C" w14:textId="77199E70" w:rsidR="007918E9" w:rsidRPr="00207935" w:rsidRDefault="007918E9" w:rsidP="00192F9B">
      <w:pPr>
        <w:spacing w:before="160" w:after="80"/>
        <w:jc w:val="both"/>
        <w:rPr>
          <w:rFonts w:asciiTheme="minorHAnsi" w:hAnsiTheme="minorHAnsi"/>
          <w:i/>
        </w:rPr>
      </w:pPr>
      <w:r w:rsidRPr="00207935">
        <w:rPr>
          <w:rFonts w:asciiTheme="minorHAnsi" w:hAnsiTheme="minorHAnsi"/>
          <w:bCs/>
          <w:i/>
          <w:noProof/>
          <w:lang w:val="en-IN" w:eastAsia="en-IN"/>
        </w:rPr>
        <w:drawing>
          <wp:inline distT="0" distB="0" distL="0" distR="0" wp14:anchorId="59521A97" wp14:editId="3DD2E8A6">
            <wp:extent cx="5943600" cy="2763520"/>
            <wp:effectExtent l="0" t="0" r="0" b="5080"/>
            <wp:docPr id="1441497229" name="Picture 28"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497229" name="Picture 28" descr="A map of the united states&#10;&#10;AI-generated content may be incorrec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2763520"/>
                    </a:xfrm>
                    <a:prstGeom prst="rect">
                      <a:avLst/>
                    </a:prstGeom>
                  </pic:spPr>
                </pic:pic>
              </a:graphicData>
            </a:graphic>
          </wp:inline>
        </w:drawing>
      </w:r>
      <w:r w:rsidRPr="00207935">
        <w:rPr>
          <w:rFonts w:asciiTheme="minorHAnsi" w:hAnsiTheme="minorHAnsi"/>
          <w:bCs/>
          <w:i/>
        </w:rPr>
        <w:t xml:space="preserve"> Supplementary Figure </w:t>
      </w:r>
      <w:r w:rsidR="000921E4">
        <w:rPr>
          <w:rFonts w:asciiTheme="minorHAnsi" w:hAnsiTheme="minorHAnsi"/>
          <w:bCs/>
          <w:i/>
        </w:rPr>
        <w:t>10</w:t>
      </w:r>
      <w:r w:rsidR="004027C6" w:rsidRPr="00207935">
        <w:rPr>
          <w:rFonts w:asciiTheme="minorHAnsi" w:hAnsiTheme="minorHAnsi"/>
          <w:bCs/>
          <w:i/>
        </w:rPr>
        <w:t>.3</w:t>
      </w:r>
      <w:r w:rsidRPr="00207935">
        <w:rPr>
          <w:rFonts w:asciiTheme="minorHAnsi" w:hAnsiTheme="minorHAnsi"/>
          <w:i/>
        </w:rPr>
        <w:t xml:space="preserve">: </w:t>
      </w:r>
      <w:r w:rsidR="00982974" w:rsidRPr="00207935">
        <w:rPr>
          <w:rFonts w:asciiTheme="minorHAnsi" w:hAnsiTheme="minorHAnsi"/>
          <w:i/>
        </w:rPr>
        <w:t>top row; the average seasonal phase across all locations with sufficiently high seasonal concentration (over 0.15), and the effect of the phase of the 1-year lagged Tropical North Atlantic (TNA+1) on the timing of the seasonal peak in months. Bottom row; the length of the fire season in months (calculated as the number of months over the mean annual half-maximum) and the effect of the phase of TNA+1 on the season length in months.</w:t>
      </w:r>
    </w:p>
    <w:p w14:paraId="5DAA7D6B" w14:textId="77777777" w:rsidR="007918E9" w:rsidRPr="00A410DB" w:rsidRDefault="007918E9" w:rsidP="00192F9B">
      <w:pPr>
        <w:spacing w:before="160" w:after="80"/>
        <w:jc w:val="center"/>
        <w:rPr>
          <w:rFonts w:asciiTheme="minorHAnsi" w:hAnsiTheme="minorHAnsi"/>
          <w:iCs/>
        </w:rPr>
      </w:pPr>
      <w:r>
        <w:rPr>
          <w:rFonts w:asciiTheme="minorHAnsi" w:hAnsiTheme="minorHAnsi"/>
          <w:iCs/>
          <w:noProof/>
          <w:lang w:val="en-IN" w:eastAsia="en-IN"/>
        </w:rPr>
        <w:drawing>
          <wp:inline distT="0" distB="0" distL="0" distR="0" wp14:anchorId="5F340151" wp14:editId="69237889">
            <wp:extent cx="5943600" cy="2763520"/>
            <wp:effectExtent l="0" t="0" r="0" b="5080"/>
            <wp:docPr id="1878744492" name="Picture 29"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744492" name="Picture 29" descr="A map of the united states&#10;&#10;AI-generated content may be incorrec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2763520"/>
                    </a:xfrm>
                    <a:prstGeom prst="rect">
                      <a:avLst/>
                    </a:prstGeom>
                  </pic:spPr>
                </pic:pic>
              </a:graphicData>
            </a:graphic>
          </wp:inline>
        </w:drawing>
      </w:r>
    </w:p>
    <w:p w14:paraId="709A6D46" w14:textId="2CE01B2F" w:rsidR="007918E9" w:rsidRPr="00207935" w:rsidRDefault="007918E9" w:rsidP="00192F9B">
      <w:pPr>
        <w:spacing w:before="160" w:after="80"/>
        <w:jc w:val="both"/>
        <w:rPr>
          <w:rFonts w:asciiTheme="minorHAnsi" w:hAnsiTheme="minorHAnsi"/>
          <w:i/>
        </w:rPr>
      </w:pPr>
      <w:r w:rsidRPr="00207935">
        <w:rPr>
          <w:rFonts w:asciiTheme="minorHAnsi" w:hAnsiTheme="minorHAnsi"/>
          <w:bCs/>
          <w:i/>
        </w:rPr>
        <w:t xml:space="preserve">Supplementary Figure </w:t>
      </w:r>
      <w:r w:rsidR="000921E4">
        <w:rPr>
          <w:rFonts w:asciiTheme="minorHAnsi" w:hAnsiTheme="minorHAnsi"/>
          <w:bCs/>
          <w:i/>
        </w:rPr>
        <w:t>10</w:t>
      </w:r>
      <w:r w:rsidR="004027C6" w:rsidRPr="00207935">
        <w:rPr>
          <w:rFonts w:asciiTheme="minorHAnsi" w:hAnsiTheme="minorHAnsi"/>
          <w:bCs/>
          <w:i/>
        </w:rPr>
        <w:t>.4</w:t>
      </w:r>
      <w:r w:rsidRPr="00207935">
        <w:rPr>
          <w:rFonts w:asciiTheme="minorHAnsi" w:hAnsiTheme="minorHAnsi"/>
          <w:i/>
        </w:rPr>
        <w:t xml:space="preserve">: </w:t>
      </w:r>
      <w:r w:rsidR="00C72CF0" w:rsidRPr="00207935">
        <w:rPr>
          <w:rFonts w:asciiTheme="minorHAnsi" w:hAnsiTheme="minorHAnsi"/>
          <w:i/>
        </w:rPr>
        <w:t>top row; the average seasonal phase across all locations with sufficiently high seasonal concentration (over 0.15), and the effect of the phase of the 1-year lagged Pacific Decadal Oscillation (PDO+1) on the timing of the seasonal peak in months. Bottom row; the length of the fire season in months (calculated as the number of months over the mean annual half-maximum) and the effect of the phase of PDO+1 on the season length in months.</w:t>
      </w:r>
    </w:p>
    <w:p w14:paraId="6F5F1CD9" w14:textId="52397296" w:rsidR="007918E9" w:rsidRDefault="007918E9" w:rsidP="00192F9B">
      <w:pPr>
        <w:spacing w:before="160" w:after="80" w:line="279" w:lineRule="auto"/>
        <w:rPr>
          <w:rFonts w:asciiTheme="minorHAnsi" w:hAnsiTheme="minorHAnsi"/>
          <w:iCs/>
        </w:rPr>
      </w:pPr>
    </w:p>
    <w:p w14:paraId="2EE2ABCA" w14:textId="2C7FB484" w:rsidR="007918E9" w:rsidRPr="00207935" w:rsidRDefault="007918E9" w:rsidP="00192F9B">
      <w:pPr>
        <w:spacing w:before="160" w:after="80"/>
        <w:jc w:val="both"/>
        <w:rPr>
          <w:rFonts w:asciiTheme="minorHAnsi" w:hAnsiTheme="minorHAnsi"/>
          <w:i/>
        </w:rPr>
      </w:pPr>
      <w:r w:rsidRPr="00207935">
        <w:rPr>
          <w:rFonts w:asciiTheme="minorHAnsi" w:hAnsiTheme="minorHAnsi"/>
          <w:bCs/>
          <w:i/>
          <w:noProof/>
          <w:lang w:val="en-IN" w:eastAsia="en-IN"/>
        </w:rPr>
        <w:drawing>
          <wp:inline distT="0" distB="0" distL="0" distR="0" wp14:anchorId="10D40021" wp14:editId="3015BC18">
            <wp:extent cx="5943600" cy="2763520"/>
            <wp:effectExtent l="0" t="0" r="0" b="5080"/>
            <wp:docPr id="1197494725" name="Picture 30"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494725" name="Picture 30" descr="A map of the united states&#10;&#10;AI-generated content may be incorrec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2763520"/>
                    </a:xfrm>
                    <a:prstGeom prst="rect">
                      <a:avLst/>
                    </a:prstGeom>
                  </pic:spPr>
                </pic:pic>
              </a:graphicData>
            </a:graphic>
          </wp:inline>
        </w:drawing>
      </w:r>
      <w:r w:rsidRPr="00207935">
        <w:rPr>
          <w:rFonts w:asciiTheme="minorHAnsi" w:hAnsiTheme="minorHAnsi"/>
          <w:bCs/>
          <w:i/>
        </w:rPr>
        <w:t xml:space="preserve"> Supplementary Figure </w:t>
      </w:r>
      <w:r w:rsidR="000921E4">
        <w:rPr>
          <w:rFonts w:asciiTheme="minorHAnsi" w:hAnsiTheme="minorHAnsi"/>
          <w:bCs/>
          <w:i/>
        </w:rPr>
        <w:t>10</w:t>
      </w:r>
      <w:r w:rsidR="004027C6" w:rsidRPr="00207935">
        <w:rPr>
          <w:rFonts w:asciiTheme="minorHAnsi" w:hAnsiTheme="minorHAnsi"/>
          <w:bCs/>
          <w:i/>
        </w:rPr>
        <w:t>.5</w:t>
      </w:r>
      <w:r w:rsidRPr="00207935">
        <w:rPr>
          <w:rFonts w:asciiTheme="minorHAnsi" w:hAnsiTheme="minorHAnsi"/>
          <w:i/>
        </w:rPr>
        <w:t xml:space="preserve">: </w:t>
      </w:r>
      <w:r w:rsidR="00C72CF0" w:rsidRPr="00207935">
        <w:rPr>
          <w:rFonts w:asciiTheme="minorHAnsi" w:hAnsiTheme="minorHAnsi"/>
          <w:i/>
        </w:rPr>
        <w:t>top row; the average seasonal phase across all locations with sufficiently high seasonal concentration (over 0.15), and the effect of the phase of the Tropical South Atlantic (TSA) on the timing of the seasonal peak in months. Bottom row; the length of the fire season in months (calculated as the number of months over the mean annual half-maximum) and the effect of the phase of TSA on the season length in months.</w:t>
      </w:r>
    </w:p>
    <w:p w14:paraId="48E54112" w14:textId="3A3CE8A5" w:rsidR="007918E9" w:rsidRPr="00207935" w:rsidRDefault="007918E9" w:rsidP="00192F9B">
      <w:pPr>
        <w:spacing w:before="160" w:after="80"/>
        <w:jc w:val="both"/>
        <w:rPr>
          <w:rFonts w:asciiTheme="minorHAnsi" w:hAnsiTheme="minorHAnsi"/>
          <w:i/>
        </w:rPr>
      </w:pPr>
      <w:r w:rsidRPr="00207935">
        <w:rPr>
          <w:rFonts w:asciiTheme="minorHAnsi" w:hAnsiTheme="minorHAnsi"/>
          <w:bCs/>
          <w:i/>
          <w:noProof/>
          <w:lang w:val="en-IN" w:eastAsia="en-IN"/>
        </w:rPr>
        <w:drawing>
          <wp:inline distT="0" distB="0" distL="0" distR="0" wp14:anchorId="4CDDB0D8" wp14:editId="6FD63D49">
            <wp:extent cx="5943600" cy="2763520"/>
            <wp:effectExtent l="0" t="0" r="0" b="5080"/>
            <wp:docPr id="1254776274" name="Picture 3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76274" name="Picture 31" descr="A map of the united states&#10;&#10;AI-generated content may be incorrec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2763520"/>
                    </a:xfrm>
                    <a:prstGeom prst="rect">
                      <a:avLst/>
                    </a:prstGeom>
                  </pic:spPr>
                </pic:pic>
              </a:graphicData>
            </a:graphic>
          </wp:inline>
        </w:drawing>
      </w:r>
      <w:r w:rsidRPr="00207935">
        <w:rPr>
          <w:rFonts w:asciiTheme="minorHAnsi" w:hAnsiTheme="minorHAnsi"/>
          <w:bCs/>
          <w:i/>
        </w:rPr>
        <w:t xml:space="preserve"> Supplementary Figure </w:t>
      </w:r>
      <w:r w:rsidR="000921E4">
        <w:rPr>
          <w:rFonts w:asciiTheme="minorHAnsi" w:hAnsiTheme="minorHAnsi"/>
          <w:bCs/>
          <w:i/>
        </w:rPr>
        <w:t>10</w:t>
      </w:r>
      <w:r w:rsidR="004027C6" w:rsidRPr="00207935">
        <w:rPr>
          <w:rFonts w:asciiTheme="minorHAnsi" w:hAnsiTheme="minorHAnsi"/>
          <w:bCs/>
          <w:i/>
        </w:rPr>
        <w:t>.6</w:t>
      </w:r>
      <w:r w:rsidRPr="00207935">
        <w:rPr>
          <w:rFonts w:asciiTheme="minorHAnsi" w:hAnsiTheme="minorHAnsi"/>
          <w:i/>
        </w:rPr>
        <w:t xml:space="preserve">: </w:t>
      </w:r>
      <w:r w:rsidR="00FF44C2" w:rsidRPr="00207935">
        <w:rPr>
          <w:rFonts w:asciiTheme="minorHAnsi" w:hAnsiTheme="minorHAnsi"/>
          <w:i/>
        </w:rPr>
        <w:t>top row; the average seasonal phase across all locations with sufficiently high seasonal concentration (over 0.15), and the effect of the phase of the North Atlantic Oscillation (NAO) on the timing of the seasonal peak in months. Bottom row; the length of the fire season in months (calculated as the number of months over the mean annual half-maximum) and the effect of the phase of NAO on the season length in months.</w:t>
      </w:r>
    </w:p>
    <w:p w14:paraId="1DFE1D78" w14:textId="28202BB2" w:rsidR="007918E9" w:rsidRDefault="007918E9" w:rsidP="00192F9B">
      <w:pPr>
        <w:spacing w:before="160" w:after="80" w:line="279" w:lineRule="auto"/>
        <w:rPr>
          <w:rFonts w:asciiTheme="minorHAnsi" w:hAnsiTheme="minorHAnsi"/>
          <w:iCs/>
        </w:rPr>
      </w:pPr>
    </w:p>
    <w:p w14:paraId="38BD3479" w14:textId="4DB5E0BA" w:rsidR="007918E9" w:rsidRPr="00207935" w:rsidRDefault="007918E9" w:rsidP="00192F9B">
      <w:pPr>
        <w:spacing w:before="160" w:after="80"/>
        <w:jc w:val="both"/>
        <w:rPr>
          <w:rFonts w:asciiTheme="minorHAnsi" w:hAnsiTheme="minorHAnsi"/>
          <w:i/>
        </w:rPr>
      </w:pPr>
      <w:r w:rsidRPr="00207935">
        <w:rPr>
          <w:rFonts w:asciiTheme="minorHAnsi" w:hAnsiTheme="minorHAnsi"/>
          <w:bCs/>
          <w:i/>
          <w:noProof/>
          <w:lang w:val="en-IN" w:eastAsia="en-IN"/>
        </w:rPr>
        <w:drawing>
          <wp:inline distT="0" distB="0" distL="0" distR="0" wp14:anchorId="08FA0C2A" wp14:editId="7BB15749">
            <wp:extent cx="5943600" cy="2763520"/>
            <wp:effectExtent l="0" t="0" r="0" b="5080"/>
            <wp:docPr id="1152761130" name="Picture 32"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761130" name="Picture 32" descr="A map of the united states&#10;&#10;AI-generated content may be incorrect."/>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2763520"/>
                    </a:xfrm>
                    <a:prstGeom prst="rect">
                      <a:avLst/>
                    </a:prstGeom>
                  </pic:spPr>
                </pic:pic>
              </a:graphicData>
            </a:graphic>
          </wp:inline>
        </w:drawing>
      </w:r>
      <w:r w:rsidRPr="00207935">
        <w:rPr>
          <w:rFonts w:asciiTheme="minorHAnsi" w:hAnsiTheme="minorHAnsi"/>
          <w:bCs/>
          <w:i/>
        </w:rPr>
        <w:t xml:space="preserve"> Supplementary Figure </w:t>
      </w:r>
      <w:r w:rsidR="000921E4">
        <w:rPr>
          <w:rFonts w:asciiTheme="minorHAnsi" w:hAnsiTheme="minorHAnsi"/>
          <w:bCs/>
          <w:i/>
        </w:rPr>
        <w:t>10</w:t>
      </w:r>
      <w:r w:rsidR="004027C6" w:rsidRPr="00207935">
        <w:rPr>
          <w:rFonts w:asciiTheme="minorHAnsi" w:hAnsiTheme="minorHAnsi"/>
          <w:bCs/>
          <w:i/>
        </w:rPr>
        <w:t>.7</w:t>
      </w:r>
      <w:r w:rsidRPr="00207935">
        <w:rPr>
          <w:rFonts w:asciiTheme="minorHAnsi" w:hAnsiTheme="minorHAnsi"/>
          <w:i/>
        </w:rPr>
        <w:t xml:space="preserve">: </w:t>
      </w:r>
      <w:r w:rsidR="00AD6433" w:rsidRPr="00207935">
        <w:rPr>
          <w:rFonts w:asciiTheme="minorHAnsi" w:hAnsiTheme="minorHAnsi"/>
          <w:i/>
        </w:rPr>
        <w:t>top row; the average seasonal phase across all locations with sufficiently high seasonal concentration (over 0.15), and the effect of the phase of the 1-year lagged Atlantic Multidecadal Oscillation (AMO+1) on the timing of the seasonal peak in months. Bottom row; the length of the fire season in months (calculated as the number of months over the mean annual half-maximum) and the effect of the phase of AMO+1 on the season length in months.</w:t>
      </w:r>
    </w:p>
    <w:p w14:paraId="59DECE74" w14:textId="557B10CB" w:rsidR="006449E2" w:rsidRPr="00207935" w:rsidRDefault="007918E9" w:rsidP="002E3254">
      <w:pPr>
        <w:spacing w:before="160" w:after="80"/>
        <w:jc w:val="both"/>
        <w:rPr>
          <w:rFonts w:asciiTheme="minorHAnsi" w:hAnsiTheme="minorHAnsi"/>
          <w:i/>
        </w:rPr>
      </w:pPr>
      <w:r w:rsidRPr="00207935">
        <w:rPr>
          <w:rFonts w:asciiTheme="minorHAnsi" w:hAnsiTheme="minorHAnsi"/>
          <w:bCs/>
          <w:i/>
          <w:noProof/>
          <w:lang w:val="en-IN" w:eastAsia="en-IN"/>
        </w:rPr>
        <w:drawing>
          <wp:inline distT="0" distB="0" distL="0" distR="0" wp14:anchorId="5D6E75EB" wp14:editId="71AE8F83">
            <wp:extent cx="5943600" cy="2763520"/>
            <wp:effectExtent l="0" t="0" r="0" b="5080"/>
            <wp:docPr id="381933335" name="Picture 33"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933335" name="Picture 33" descr="A map of the united states&#10;&#10;AI-generated content may be incorrect."/>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2763520"/>
                    </a:xfrm>
                    <a:prstGeom prst="rect">
                      <a:avLst/>
                    </a:prstGeom>
                  </pic:spPr>
                </pic:pic>
              </a:graphicData>
            </a:graphic>
          </wp:inline>
        </w:drawing>
      </w:r>
      <w:r w:rsidRPr="00207935">
        <w:rPr>
          <w:rFonts w:asciiTheme="minorHAnsi" w:hAnsiTheme="minorHAnsi"/>
          <w:bCs/>
          <w:i/>
        </w:rPr>
        <w:t xml:space="preserve"> Supplementary Figure </w:t>
      </w:r>
      <w:r w:rsidR="000921E4">
        <w:rPr>
          <w:rFonts w:asciiTheme="minorHAnsi" w:hAnsiTheme="minorHAnsi"/>
          <w:bCs/>
          <w:i/>
        </w:rPr>
        <w:t>10</w:t>
      </w:r>
      <w:r w:rsidR="004027C6" w:rsidRPr="00207935">
        <w:rPr>
          <w:rFonts w:asciiTheme="minorHAnsi" w:hAnsiTheme="minorHAnsi"/>
          <w:bCs/>
          <w:i/>
        </w:rPr>
        <w:t>.8</w:t>
      </w:r>
      <w:r w:rsidRPr="00207935">
        <w:rPr>
          <w:rFonts w:asciiTheme="minorHAnsi" w:hAnsiTheme="minorHAnsi"/>
          <w:i/>
        </w:rPr>
        <w:t xml:space="preserve">: </w:t>
      </w:r>
      <w:r w:rsidR="00462163" w:rsidRPr="00207935">
        <w:rPr>
          <w:rFonts w:asciiTheme="minorHAnsi" w:hAnsiTheme="minorHAnsi"/>
          <w:i/>
        </w:rPr>
        <w:t>top row; the average seasonal phase across all locations with sufficiently high seasonal concentration (over 0.15), and the effect of the phase of the Pacific/North American (PNA) on the timing of the seasonal peak in months. Bottom row; the length of the fire season in months (calculated as the number of months over the mean annual half-maximum) and the effect of the phase of PNA on the season length in months.</w:t>
      </w:r>
      <w:r w:rsidRPr="00207935">
        <w:rPr>
          <w:i/>
        </w:rPr>
        <w:br w:type="page"/>
      </w:r>
    </w:p>
    <w:p w14:paraId="0532C832" w14:textId="6D4011B0" w:rsidR="005118AD" w:rsidRPr="002E3254" w:rsidRDefault="00B524B3" w:rsidP="002E3254">
      <w:pPr>
        <w:pStyle w:val="Heading3"/>
        <w:rPr>
          <w:rFonts w:asciiTheme="minorHAnsi" w:hAnsiTheme="minorHAnsi"/>
          <w:b/>
          <w:iCs/>
          <w:color w:val="000000" w:themeColor="text1"/>
        </w:rPr>
      </w:pPr>
      <w:r>
        <w:rPr>
          <w:rFonts w:asciiTheme="minorHAnsi" w:hAnsiTheme="minorHAnsi"/>
          <w:b/>
          <w:iCs/>
          <w:color w:val="000000" w:themeColor="text1"/>
        </w:rPr>
        <w:t xml:space="preserve">Supplementary Section </w:t>
      </w:r>
      <w:r w:rsidR="000921E4">
        <w:rPr>
          <w:rFonts w:asciiTheme="minorHAnsi" w:hAnsiTheme="minorHAnsi"/>
          <w:b/>
          <w:iCs/>
          <w:color w:val="000000" w:themeColor="text1"/>
        </w:rPr>
        <w:t>11</w:t>
      </w:r>
      <w:r>
        <w:rPr>
          <w:rFonts w:asciiTheme="minorHAnsi" w:hAnsiTheme="minorHAnsi"/>
          <w:b/>
          <w:iCs/>
          <w:color w:val="000000" w:themeColor="text1"/>
        </w:rPr>
        <w:t xml:space="preserve">: </w:t>
      </w:r>
      <w:r w:rsidR="00991703">
        <w:rPr>
          <w:rFonts w:asciiTheme="minorHAnsi" w:hAnsiTheme="minorHAnsi"/>
          <w:b/>
          <w:iCs/>
          <w:color w:val="000000" w:themeColor="text1"/>
        </w:rPr>
        <w:t xml:space="preserve">Effect of </w:t>
      </w:r>
      <w:r>
        <w:rPr>
          <w:rFonts w:asciiTheme="minorHAnsi" w:hAnsiTheme="minorHAnsi"/>
          <w:b/>
          <w:iCs/>
          <w:color w:val="000000" w:themeColor="text1"/>
        </w:rPr>
        <w:t>Future Climate Change</w:t>
      </w:r>
      <w:r w:rsidR="00991703">
        <w:rPr>
          <w:rFonts w:asciiTheme="minorHAnsi" w:hAnsiTheme="minorHAnsi"/>
          <w:b/>
          <w:iCs/>
          <w:color w:val="000000" w:themeColor="text1"/>
        </w:rPr>
        <w:t xml:space="preserve"> on </w:t>
      </w:r>
      <w:r>
        <w:rPr>
          <w:rFonts w:asciiTheme="minorHAnsi" w:hAnsiTheme="minorHAnsi"/>
          <w:b/>
          <w:iCs/>
          <w:color w:val="000000" w:themeColor="text1"/>
        </w:rPr>
        <w:t>Wildfire’s Relationship with Global Climate Modes</w:t>
      </w:r>
    </w:p>
    <w:p w14:paraId="7EAB0E42" w14:textId="0FB1BB56" w:rsidR="00144E71" w:rsidRDefault="00E27CBA" w:rsidP="00192F9B">
      <w:pPr>
        <w:spacing w:before="160" w:after="80" w:line="279" w:lineRule="auto"/>
        <w:rPr>
          <w:rFonts w:asciiTheme="minorHAnsi" w:hAnsiTheme="minorHAnsi"/>
          <w:bCs/>
          <w:iCs/>
        </w:rPr>
      </w:pPr>
      <w:r>
        <w:rPr>
          <w:rFonts w:asciiTheme="minorHAnsi" w:hAnsiTheme="minorHAnsi"/>
          <w:bCs/>
          <w:iCs/>
        </w:rPr>
        <w:t xml:space="preserve">Supplementary Table </w:t>
      </w:r>
      <w:r w:rsidR="008D477F">
        <w:rPr>
          <w:rFonts w:asciiTheme="minorHAnsi" w:hAnsiTheme="minorHAnsi"/>
          <w:bCs/>
          <w:iCs/>
        </w:rPr>
        <w:t>11</w:t>
      </w:r>
      <w:r>
        <w:rPr>
          <w:rFonts w:asciiTheme="minorHAnsi" w:hAnsiTheme="minorHAnsi"/>
          <w:bCs/>
          <w:iCs/>
        </w:rPr>
        <w:t xml:space="preserve">.1 gives the numerical values corresponding the Figure </w:t>
      </w:r>
      <w:r w:rsidR="00C9483E">
        <w:rPr>
          <w:rFonts w:asciiTheme="minorHAnsi" w:hAnsiTheme="minorHAnsi"/>
          <w:bCs/>
          <w:iCs/>
        </w:rPr>
        <w:t>9</w:t>
      </w:r>
      <w:r>
        <w:rPr>
          <w:rFonts w:asciiTheme="minorHAnsi" w:hAnsiTheme="minorHAnsi"/>
          <w:bCs/>
          <w:iCs/>
        </w:rPr>
        <w:t xml:space="preserve"> in the main text, showing the change in the areal effect of modes from the recent to +2°C climates.</w:t>
      </w:r>
    </w:p>
    <w:p w14:paraId="14389A46" w14:textId="22698BD4" w:rsidR="001701B5" w:rsidRDefault="00CC16AD" w:rsidP="001701B5">
      <w:pPr>
        <w:spacing w:before="160" w:after="80" w:line="279" w:lineRule="auto"/>
        <w:rPr>
          <w:rFonts w:asciiTheme="minorHAnsi" w:hAnsiTheme="minorHAnsi"/>
          <w:bCs/>
          <w:iCs/>
        </w:rPr>
      </w:pPr>
      <w:r>
        <w:rPr>
          <w:rFonts w:asciiTheme="minorHAnsi" w:hAnsiTheme="minorHAnsi"/>
          <w:bCs/>
          <w:iCs/>
        </w:rPr>
        <w:t xml:space="preserve">Maps are then shown for the relative change in the number of wildfires </w:t>
      </w:r>
      <w:r w:rsidR="00D1131C">
        <w:rPr>
          <w:rFonts w:asciiTheme="minorHAnsi" w:hAnsiTheme="minorHAnsi"/>
          <w:bCs/>
          <w:iCs/>
        </w:rPr>
        <w:t>for the recent and +2°C ensemble climates</w:t>
      </w:r>
      <w:r w:rsidR="00285DF8">
        <w:rPr>
          <w:rFonts w:asciiTheme="minorHAnsi" w:hAnsiTheme="minorHAnsi"/>
          <w:bCs/>
          <w:iCs/>
        </w:rPr>
        <w:t xml:space="preserve"> where the effect is significant to p&lt;0.001</w:t>
      </w:r>
      <w:r w:rsidR="0027177B">
        <w:rPr>
          <w:rFonts w:asciiTheme="minorHAnsi" w:hAnsiTheme="minorHAnsi"/>
          <w:bCs/>
          <w:iCs/>
        </w:rPr>
        <w:t xml:space="preserve">; the strengthening of the effect in the regions where the relationships is significant in both climates (as shown in Figure </w:t>
      </w:r>
      <w:r w:rsidR="009531BC">
        <w:rPr>
          <w:rFonts w:asciiTheme="minorHAnsi" w:hAnsiTheme="minorHAnsi"/>
          <w:bCs/>
          <w:iCs/>
        </w:rPr>
        <w:t>10</w:t>
      </w:r>
      <w:r w:rsidR="0027177B">
        <w:rPr>
          <w:rFonts w:asciiTheme="minorHAnsi" w:hAnsiTheme="minorHAnsi"/>
          <w:bCs/>
          <w:iCs/>
        </w:rPr>
        <w:t xml:space="preserve">) is also shown for context. </w:t>
      </w:r>
      <w:r w:rsidR="00C63B28">
        <w:rPr>
          <w:rFonts w:asciiTheme="minorHAnsi" w:hAnsiTheme="minorHAnsi"/>
          <w:bCs/>
          <w:iCs/>
        </w:rPr>
        <w:t xml:space="preserve">In addition to the strengthening effects described in Section 3.3 of the main text, these maps show significant changes in the patterns of influence of some modes. The 1-year lagged Atlantic Multidecadal Oscillation (AMO+1) </w:t>
      </w:r>
      <w:r w:rsidR="00D012A8">
        <w:rPr>
          <w:rFonts w:asciiTheme="minorHAnsi" w:hAnsiTheme="minorHAnsi"/>
          <w:bCs/>
          <w:iCs/>
        </w:rPr>
        <w:t>shows a very strong increase in its area and strength of effect on wildfire occurrence, covering much of the eastern US in the +2°C scenario.</w:t>
      </w:r>
      <w:r w:rsidR="00C02C03">
        <w:rPr>
          <w:rFonts w:asciiTheme="minorHAnsi" w:hAnsiTheme="minorHAnsi"/>
          <w:bCs/>
          <w:iCs/>
        </w:rPr>
        <w:t xml:space="preserve"> The </w:t>
      </w:r>
      <w:r w:rsidR="00B26458">
        <w:rPr>
          <w:rFonts w:asciiTheme="minorHAnsi" w:hAnsiTheme="minorHAnsi"/>
          <w:bCs/>
          <w:iCs/>
        </w:rPr>
        <w:t>Pacific/North American (PNA)</w:t>
      </w:r>
      <w:r w:rsidR="00C02C03">
        <w:rPr>
          <w:rFonts w:asciiTheme="minorHAnsi" w:hAnsiTheme="minorHAnsi"/>
          <w:bCs/>
          <w:iCs/>
        </w:rPr>
        <w:t xml:space="preserve"> and </w:t>
      </w:r>
      <w:r w:rsidR="00B26458">
        <w:rPr>
          <w:rFonts w:asciiTheme="minorHAnsi" w:hAnsiTheme="minorHAnsi"/>
          <w:bCs/>
          <w:iCs/>
        </w:rPr>
        <w:t>Arctic Oscillation (AO)</w:t>
      </w:r>
      <w:r w:rsidR="00C02C03">
        <w:rPr>
          <w:rFonts w:asciiTheme="minorHAnsi" w:hAnsiTheme="minorHAnsi"/>
          <w:bCs/>
          <w:iCs/>
        </w:rPr>
        <w:t xml:space="preserve"> also increase significantly in their area of effect</w:t>
      </w:r>
      <w:r w:rsidR="002B5CF1">
        <w:rPr>
          <w:rFonts w:asciiTheme="minorHAnsi" w:hAnsiTheme="minorHAnsi"/>
          <w:bCs/>
          <w:iCs/>
        </w:rPr>
        <w:t>, covering much of the central US in the +2°C climat</w:t>
      </w:r>
      <w:r w:rsidR="00B26458">
        <w:rPr>
          <w:rFonts w:asciiTheme="minorHAnsi" w:hAnsiTheme="minorHAnsi"/>
          <w:bCs/>
          <w:iCs/>
        </w:rPr>
        <w:t>e; whilst the Tropical South Atlantic (TSA) declines to having almost no influential area.</w:t>
      </w:r>
      <w:r w:rsidR="001701B5">
        <w:rPr>
          <w:rFonts w:asciiTheme="minorHAnsi" w:hAnsiTheme="minorHAnsi"/>
          <w:bCs/>
          <w:iCs/>
        </w:rPr>
        <w:br w:type="page"/>
      </w:r>
    </w:p>
    <w:p w14:paraId="6A5E5742" w14:textId="1EB881BD" w:rsidR="002B1CB9" w:rsidRPr="00207935" w:rsidRDefault="002B1CB9" w:rsidP="00FD434A">
      <w:pPr>
        <w:spacing w:before="160" w:after="80" w:line="279" w:lineRule="auto"/>
        <w:rPr>
          <w:rFonts w:asciiTheme="minorHAnsi" w:hAnsiTheme="minorHAnsi"/>
          <w:bCs/>
          <w:i/>
        </w:rPr>
      </w:pPr>
      <w:r w:rsidRPr="00207935">
        <w:rPr>
          <w:rFonts w:asciiTheme="minorHAnsi" w:hAnsiTheme="minorHAnsi"/>
          <w:bCs/>
          <w:i/>
        </w:rPr>
        <w:t xml:space="preserve">Supplementary Table </w:t>
      </w:r>
      <w:r w:rsidR="000921E4">
        <w:rPr>
          <w:rFonts w:asciiTheme="minorHAnsi" w:hAnsiTheme="minorHAnsi"/>
          <w:bCs/>
          <w:i/>
        </w:rPr>
        <w:t>11</w:t>
      </w:r>
      <w:r w:rsidR="004027C6" w:rsidRPr="00207935">
        <w:rPr>
          <w:rFonts w:asciiTheme="minorHAnsi" w:hAnsiTheme="minorHAnsi"/>
          <w:bCs/>
          <w:i/>
        </w:rPr>
        <w:t>.1</w:t>
      </w:r>
      <w:r w:rsidRPr="00207935">
        <w:rPr>
          <w:rFonts w:asciiTheme="minorHAnsi" w:hAnsiTheme="minorHAnsi"/>
          <w:i/>
        </w:rPr>
        <w:t>: Percentage of contiguous US area significantly affected by each mode in the +2°C period.  Three asterisks indicate a changed area over 30%, two asterisks indicate a changed area over 10%, one asterisk indicates a changed area over 5%.</w:t>
      </w:r>
    </w:p>
    <w:tbl>
      <w:tblPr>
        <w:tblStyle w:val="TableGridLight"/>
        <w:tblW w:w="11624"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855"/>
        <w:gridCol w:w="8"/>
        <w:gridCol w:w="1122"/>
        <w:gridCol w:w="1134"/>
        <w:gridCol w:w="1134"/>
        <w:gridCol w:w="1134"/>
        <w:gridCol w:w="964"/>
        <w:gridCol w:w="1021"/>
        <w:gridCol w:w="1134"/>
        <w:gridCol w:w="992"/>
        <w:gridCol w:w="1134"/>
      </w:tblGrid>
      <w:tr w:rsidR="002B1CB9" w:rsidRPr="00A410DB" w14:paraId="669112AF" w14:textId="77777777" w:rsidTr="00514585">
        <w:tc>
          <w:tcPr>
            <w:tcW w:w="1855" w:type="dxa"/>
            <w:gridSpan w:val="3"/>
            <w:vMerge w:val="restart"/>
          </w:tcPr>
          <w:p w14:paraId="404679C9" w14:textId="77777777" w:rsidR="002B1CB9" w:rsidRPr="00A410DB" w:rsidRDefault="002B1CB9" w:rsidP="00D40E8A">
            <w:pPr>
              <w:autoSpaceDE w:val="0"/>
              <w:autoSpaceDN w:val="0"/>
              <w:adjustRightInd w:val="0"/>
              <w:jc w:val="right"/>
              <w:rPr>
                <w:rFonts w:asciiTheme="minorHAnsi" w:hAnsiTheme="minorHAnsi" w:cs="Helvetica Neue"/>
                <w:bCs/>
                <w:iCs/>
                <w:color w:val="000000" w:themeColor="text1"/>
              </w:rPr>
            </w:pPr>
          </w:p>
        </w:tc>
        <w:tc>
          <w:tcPr>
            <w:tcW w:w="3390" w:type="dxa"/>
            <w:gridSpan w:val="3"/>
          </w:tcPr>
          <w:p w14:paraId="6ABAE2B1" w14:textId="77777777" w:rsidR="002B1CB9" w:rsidRPr="00A410DB" w:rsidRDefault="002B1CB9" w:rsidP="00D40E8A">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Was Insignificant</w:t>
            </w:r>
          </w:p>
        </w:tc>
        <w:tc>
          <w:tcPr>
            <w:tcW w:w="3119" w:type="dxa"/>
            <w:gridSpan w:val="3"/>
          </w:tcPr>
          <w:p w14:paraId="1E9795DE" w14:textId="77777777" w:rsidR="002B1CB9" w:rsidRPr="00A410DB" w:rsidRDefault="002B1CB9" w:rsidP="00D40E8A">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Was Positive</w:t>
            </w:r>
          </w:p>
        </w:tc>
        <w:tc>
          <w:tcPr>
            <w:tcW w:w="3260" w:type="dxa"/>
            <w:gridSpan w:val="3"/>
          </w:tcPr>
          <w:p w14:paraId="385D18E6" w14:textId="77777777" w:rsidR="002B1CB9" w:rsidRPr="00A410DB" w:rsidRDefault="002B1CB9" w:rsidP="00D40E8A">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Was Negative</w:t>
            </w:r>
          </w:p>
        </w:tc>
      </w:tr>
      <w:tr w:rsidR="002B1CB9" w:rsidRPr="00A410DB" w14:paraId="0C2B9518" w14:textId="77777777" w:rsidTr="00514585">
        <w:tc>
          <w:tcPr>
            <w:tcW w:w="1855" w:type="dxa"/>
            <w:gridSpan w:val="3"/>
            <w:vMerge/>
          </w:tcPr>
          <w:p w14:paraId="6686A953" w14:textId="77777777" w:rsidR="002B1CB9" w:rsidRPr="00A410DB" w:rsidRDefault="002B1CB9" w:rsidP="00D40E8A">
            <w:pPr>
              <w:autoSpaceDE w:val="0"/>
              <w:autoSpaceDN w:val="0"/>
              <w:adjustRightInd w:val="0"/>
              <w:jc w:val="right"/>
              <w:rPr>
                <w:rFonts w:asciiTheme="minorHAnsi" w:hAnsiTheme="minorHAnsi" w:cs="Helvetica Neue"/>
                <w:bCs/>
                <w:iCs/>
                <w:color w:val="000000" w:themeColor="text1"/>
              </w:rPr>
            </w:pPr>
          </w:p>
        </w:tc>
        <w:tc>
          <w:tcPr>
            <w:tcW w:w="1122" w:type="dxa"/>
            <w:tcBorders>
              <w:bottom w:val="single" w:sz="4" w:space="0" w:color="auto"/>
            </w:tcBorders>
          </w:tcPr>
          <w:p w14:paraId="571AC89E" w14:textId="77777777" w:rsidR="002B1CB9" w:rsidRPr="00A410DB" w:rsidRDefault="002B1CB9" w:rsidP="00D40E8A">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N/A</w:t>
            </w:r>
          </w:p>
        </w:tc>
        <w:tc>
          <w:tcPr>
            <w:tcW w:w="1134" w:type="dxa"/>
            <w:tcBorders>
              <w:bottom w:val="single" w:sz="4" w:space="0" w:color="auto"/>
            </w:tcBorders>
          </w:tcPr>
          <w:p w14:paraId="398F2BB7" w14:textId="77777777" w:rsidR="002B1CB9" w:rsidRPr="00A410DB" w:rsidRDefault="002B1CB9" w:rsidP="00D40E8A">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w:t>
            </w:r>
          </w:p>
        </w:tc>
        <w:tc>
          <w:tcPr>
            <w:tcW w:w="1134" w:type="dxa"/>
            <w:tcBorders>
              <w:bottom w:val="single" w:sz="4" w:space="0" w:color="auto"/>
            </w:tcBorders>
          </w:tcPr>
          <w:p w14:paraId="448CEEE9" w14:textId="77777777" w:rsidR="002B1CB9" w:rsidRPr="00A410DB" w:rsidRDefault="002B1CB9" w:rsidP="00D40E8A">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w:t>
            </w:r>
          </w:p>
        </w:tc>
        <w:tc>
          <w:tcPr>
            <w:tcW w:w="1134" w:type="dxa"/>
            <w:tcBorders>
              <w:bottom w:val="single" w:sz="4" w:space="0" w:color="auto"/>
            </w:tcBorders>
          </w:tcPr>
          <w:p w14:paraId="6DB63BE8" w14:textId="77777777" w:rsidR="002B1CB9" w:rsidRPr="00A410DB" w:rsidRDefault="002B1CB9" w:rsidP="00D40E8A">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N/A</w:t>
            </w:r>
          </w:p>
        </w:tc>
        <w:tc>
          <w:tcPr>
            <w:tcW w:w="964" w:type="dxa"/>
            <w:tcBorders>
              <w:bottom w:val="single" w:sz="4" w:space="0" w:color="auto"/>
            </w:tcBorders>
          </w:tcPr>
          <w:p w14:paraId="03251644" w14:textId="77777777" w:rsidR="002B1CB9" w:rsidRPr="00A410DB" w:rsidRDefault="002B1CB9" w:rsidP="00D40E8A">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w:t>
            </w:r>
          </w:p>
        </w:tc>
        <w:tc>
          <w:tcPr>
            <w:tcW w:w="1021" w:type="dxa"/>
            <w:tcBorders>
              <w:bottom w:val="single" w:sz="4" w:space="0" w:color="auto"/>
            </w:tcBorders>
          </w:tcPr>
          <w:p w14:paraId="40D3E03B" w14:textId="77777777" w:rsidR="002B1CB9" w:rsidRPr="00A410DB" w:rsidRDefault="002B1CB9" w:rsidP="00D40E8A">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w:t>
            </w:r>
          </w:p>
        </w:tc>
        <w:tc>
          <w:tcPr>
            <w:tcW w:w="1134" w:type="dxa"/>
            <w:tcBorders>
              <w:bottom w:val="single" w:sz="4" w:space="0" w:color="auto"/>
            </w:tcBorders>
          </w:tcPr>
          <w:p w14:paraId="1B4E13C0" w14:textId="77777777" w:rsidR="002B1CB9" w:rsidRPr="00A410DB" w:rsidRDefault="002B1CB9" w:rsidP="00D40E8A">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N/A</w:t>
            </w:r>
          </w:p>
        </w:tc>
        <w:tc>
          <w:tcPr>
            <w:tcW w:w="992" w:type="dxa"/>
            <w:tcBorders>
              <w:bottom w:val="single" w:sz="4" w:space="0" w:color="auto"/>
            </w:tcBorders>
          </w:tcPr>
          <w:p w14:paraId="1D586ED7" w14:textId="77777777" w:rsidR="002B1CB9" w:rsidRPr="00A410DB" w:rsidRDefault="002B1CB9" w:rsidP="00D40E8A">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w:t>
            </w:r>
          </w:p>
        </w:tc>
        <w:tc>
          <w:tcPr>
            <w:tcW w:w="1134" w:type="dxa"/>
            <w:tcBorders>
              <w:bottom w:val="single" w:sz="4" w:space="0" w:color="auto"/>
            </w:tcBorders>
          </w:tcPr>
          <w:p w14:paraId="64A0E986" w14:textId="77777777" w:rsidR="002B1CB9" w:rsidRPr="00A410DB" w:rsidRDefault="002B1CB9" w:rsidP="00D40E8A">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w:t>
            </w:r>
          </w:p>
        </w:tc>
      </w:tr>
      <w:tr w:rsidR="00C71C2D" w:rsidRPr="00A410DB" w14:paraId="7F38DEA9" w14:textId="77777777" w:rsidTr="00FD434A">
        <w:tc>
          <w:tcPr>
            <w:tcW w:w="992" w:type="dxa"/>
            <w:vMerge w:val="restart"/>
          </w:tcPr>
          <w:p w14:paraId="7F038445"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cs="Helvetica Neue"/>
                <w:bCs/>
                <w:iCs/>
                <w:color w:val="000000" w:themeColor="text1"/>
              </w:rPr>
              <w:t>Same Year</w:t>
            </w:r>
          </w:p>
        </w:tc>
        <w:tc>
          <w:tcPr>
            <w:tcW w:w="855" w:type="dxa"/>
            <w:tcBorders>
              <w:right w:val="single" w:sz="4" w:space="0" w:color="auto"/>
            </w:tcBorders>
          </w:tcPr>
          <w:p w14:paraId="44F64101"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ENSO</w:t>
            </w:r>
          </w:p>
        </w:tc>
        <w:tc>
          <w:tcPr>
            <w:tcW w:w="1130" w:type="dxa"/>
            <w:gridSpan w:val="2"/>
            <w:tcBorders>
              <w:top w:val="single" w:sz="4" w:space="0" w:color="auto"/>
              <w:left w:val="single" w:sz="4" w:space="0" w:color="auto"/>
              <w:bottom w:val="nil"/>
              <w:right w:val="nil"/>
            </w:tcBorders>
            <w:vAlign w:val="center"/>
          </w:tcPr>
          <w:p w14:paraId="36289975" w14:textId="2755FBDD"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3.6</w:t>
            </w:r>
          </w:p>
        </w:tc>
        <w:tc>
          <w:tcPr>
            <w:tcW w:w="1134" w:type="dxa"/>
            <w:tcBorders>
              <w:top w:val="single" w:sz="4" w:space="0" w:color="auto"/>
              <w:left w:val="nil"/>
              <w:bottom w:val="nil"/>
              <w:right w:val="nil"/>
            </w:tcBorders>
            <w:vAlign w:val="center"/>
          </w:tcPr>
          <w:p w14:paraId="4E93EC07" w14:textId="28AC1CB6" w:rsidR="00C71C2D" w:rsidRPr="00C71C2D" w:rsidRDefault="00C71C2D" w:rsidP="00C71C2D">
            <w:pPr>
              <w:autoSpaceDE w:val="0"/>
              <w:autoSpaceDN w:val="0"/>
              <w:adjustRightInd w:val="0"/>
              <w:jc w:val="center"/>
              <w:rPr>
                <w:rFonts w:asciiTheme="minorHAnsi" w:hAnsiTheme="minorHAnsi" w:cs="Helvetica Neue"/>
                <w:bCs/>
                <w:iCs/>
                <w:color w:val="000000" w:themeColor="text1"/>
              </w:rPr>
            </w:pPr>
            <w:r w:rsidRPr="00FD434A">
              <w:rPr>
                <w:rFonts w:asciiTheme="minorHAnsi" w:hAnsiTheme="minorHAnsi" w:cs="Segoe UI"/>
                <w:color w:val="000000" w:themeColor="text1"/>
              </w:rPr>
              <w:t>5.0</w:t>
            </w:r>
          </w:p>
        </w:tc>
        <w:tc>
          <w:tcPr>
            <w:tcW w:w="1134" w:type="dxa"/>
            <w:tcBorders>
              <w:top w:val="single" w:sz="4" w:space="0" w:color="auto"/>
              <w:left w:val="nil"/>
              <w:bottom w:val="nil"/>
              <w:right w:val="single" w:sz="4" w:space="0" w:color="auto"/>
            </w:tcBorders>
            <w:vAlign w:val="center"/>
          </w:tcPr>
          <w:p w14:paraId="1BD2B02C" w14:textId="6DD63A45"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0.2</w:t>
            </w:r>
          </w:p>
        </w:tc>
        <w:tc>
          <w:tcPr>
            <w:tcW w:w="1134" w:type="dxa"/>
            <w:tcBorders>
              <w:left w:val="single" w:sz="4" w:space="0" w:color="auto"/>
              <w:bottom w:val="nil"/>
              <w:right w:val="nil"/>
            </w:tcBorders>
            <w:vAlign w:val="center"/>
          </w:tcPr>
          <w:p w14:paraId="7CBD4379" w14:textId="4E866632"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2.0</w:t>
            </w:r>
          </w:p>
        </w:tc>
        <w:tc>
          <w:tcPr>
            <w:tcW w:w="964" w:type="dxa"/>
            <w:tcBorders>
              <w:left w:val="nil"/>
              <w:bottom w:val="nil"/>
              <w:right w:val="nil"/>
            </w:tcBorders>
            <w:vAlign w:val="center"/>
          </w:tcPr>
          <w:p w14:paraId="03D281B5" w14:textId="150B730B"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88.9</w:t>
            </w:r>
          </w:p>
        </w:tc>
        <w:tc>
          <w:tcPr>
            <w:tcW w:w="1021" w:type="dxa"/>
            <w:tcBorders>
              <w:left w:val="nil"/>
              <w:bottom w:val="nil"/>
            </w:tcBorders>
            <w:vAlign w:val="center"/>
          </w:tcPr>
          <w:p w14:paraId="3DC69CE6" w14:textId="73492F88"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bottom w:val="nil"/>
              <w:right w:val="nil"/>
            </w:tcBorders>
            <w:vAlign w:val="center"/>
          </w:tcPr>
          <w:p w14:paraId="077DFA7A" w14:textId="59B159A2"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0.1</w:t>
            </w:r>
          </w:p>
        </w:tc>
        <w:tc>
          <w:tcPr>
            <w:tcW w:w="992" w:type="dxa"/>
            <w:tcBorders>
              <w:left w:val="nil"/>
              <w:bottom w:val="nil"/>
              <w:right w:val="nil"/>
            </w:tcBorders>
            <w:vAlign w:val="center"/>
          </w:tcPr>
          <w:p w14:paraId="06FEC269" w14:textId="03C884FB"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left w:val="nil"/>
              <w:bottom w:val="nil"/>
            </w:tcBorders>
            <w:vAlign w:val="center"/>
          </w:tcPr>
          <w:p w14:paraId="7674F070" w14:textId="3EA23E97"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0.2</w:t>
            </w:r>
          </w:p>
        </w:tc>
      </w:tr>
      <w:tr w:rsidR="00C71C2D" w:rsidRPr="00A410DB" w14:paraId="27ABCB93" w14:textId="77777777" w:rsidTr="00FD434A">
        <w:tc>
          <w:tcPr>
            <w:tcW w:w="992" w:type="dxa"/>
            <w:vMerge/>
          </w:tcPr>
          <w:p w14:paraId="43C301D7"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p>
        </w:tc>
        <w:tc>
          <w:tcPr>
            <w:tcW w:w="855" w:type="dxa"/>
            <w:tcBorders>
              <w:right w:val="single" w:sz="4" w:space="0" w:color="auto"/>
            </w:tcBorders>
          </w:tcPr>
          <w:p w14:paraId="2B2A661B"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IOD</w:t>
            </w:r>
          </w:p>
        </w:tc>
        <w:tc>
          <w:tcPr>
            <w:tcW w:w="1130" w:type="dxa"/>
            <w:gridSpan w:val="2"/>
            <w:tcBorders>
              <w:top w:val="nil"/>
              <w:left w:val="single" w:sz="4" w:space="0" w:color="auto"/>
              <w:bottom w:val="nil"/>
              <w:right w:val="nil"/>
            </w:tcBorders>
            <w:vAlign w:val="center"/>
          </w:tcPr>
          <w:p w14:paraId="149BDAD9" w14:textId="7148038A"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3.6</w:t>
            </w:r>
          </w:p>
        </w:tc>
        <w:tc>
          <w:tcPr>
            <w:tcW w:w="1134" w:type="dxa"/>
            <w:tcBorders>
              <w:top w:val="nil"/>
              <w:left w:val="nil"/>
              <w:bottom w:val="nil"/>
              <w:right w:val="nil"/>
            </w:tcBorders>
            <w:vAlign w:val="center"/>
          </w:tcPr>
          <w:p w14:paraId="3A2783C9" w14:textId="72BCB96B"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0.4</w:t>
            </w:r>
          </w:p>
        </w:tc>
        <w:tc>
          <w:tcPr>
            <w:tcW w:w="1134" w:type="dxa"/>
            <w:tcBorders>
              <w:top w:val="nil"/>
              <w:left w:val="nil"/>
              <w:bottom w:val="nil"/>
              <w:right w:val="single" w:sz="4" w:space="0" w:color="auto"/>
            </w:tcBorders>
            <w:vAlign w:val="center"/>
          </w:tcPr>
          <w:p w14:paraId="18F77E67" w14:textId="4D223A7A" w:rsidR="00C71C2D" w:rsidRPr="00C71C2D" w:rsidRDefault="00C71C2D" w:rsidP="00C71C2D">
            <w:pPr>
              <w:autoSpaceDE w:val="0"/>
              <w:autoSpaceDN w:val="0"/>
              <w:adjustRightInd w:val="0"/>
              <w:jc w:val="center"/>
              <w:rPr>
                <w:rFonts w:asciiTheme="minorHAnsi" w:hAnsiTheme="minorHAnsi" w:cs="Helvetica Neue"/>
                <w:bCs/>
                <w:iCs/>
                <w:color w:val="000000" w:themeColor="text1"/>
              </w:rPr>
            </w:pPr>
            <w:r w:rsidRPr="00FD434A">
              <w:rPr>
                <w:rFonts w:asciiTheme="minorHAnsi" w:hAnsiTheme="minorHAnsi" w:cs="Segoe UI"/>
                <w:color w:val="000000" w:themeColor="text1"/>
              </w:rPr>
              <w:t>*5.8</w:t>
            </w:r>
          </w:p>
        </w:tc>
        <w:tc>
          <w:tcPr>
            <w:tcW w:w="1134" w:type="dxa"/>
            <w:tcBorders>
              <w:top w:val="nil"/>
              <w:left w:val="single" w:sz="4" w:space="0" w:color="auto"/>
              <w:bottom w:val="nil"/>
              <w:right w:val="nil"/>
            </w:tcBorders>
            <w:vAlign w:val="center"/>
          </w:tcPr>
          <w:p w14:paraId="69B8FAB9" w14:textId="352A36DC"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964" w:type="dxa"/>
            <w:tcBorders>
              <w:top w:val="nil"/>
              <w:left w:val="nil"/>
              <w:bottom w:val="nil"/>
              <w:right w:val="nil"/>
            </w:tcBorders>
            <w:vAlign w:val="center"/>
          </w:tcPr>
          <w:p w14:paraId="78778C15" w14:textId="2F8755E9"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0.1</w:t>
            </w:r>
          </w:p>
        </w:tc>
        <w:tc>
          <w:tcPr>
            <w:tcW w:w="1021" w:type="dxa"/>
            <w:tcBorders>
              <w:top w:val="nil"/>
              <w:left w:val="nil"/>
              <w:bottom w:val="nil"/>
            </w:tcBorders>
            <w:vAlign w:val="center"/>
          </w:tcPr>
          <w:p w14:paraId="1D45EBA8" w14:textId="75F7AA20"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tcPr>
          <w:p w14:paraId="1E6E4069" w14:textId="39468FB4"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1.0</w:t>
            </w:r>
          </w:p>
        </w:tc>
        <w:tc>
          <w:tcPr>
            <w:tcW w:w="992" w:type="dxa"/>
            <w:tcBorders>
              <w:top w:val="nil"/>
              <w:left w:val="nil"/>
              <w:bottom w:val="nil"/>
              <w:right w:val="nil"/>
            </w:tcBorders>
            <w:vAlign w:val="center"/>
          </w:tcPr>
          <w:p w14:paraId="06A9AE5A" w14:textId="6303AC74"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tcPr>
          <w:p w14:paraId="36925AA2" w14:textId="1EFBC399"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89.0</w:t>
            </w:r>
          </w:p>
        </w:tc>
      </w:tr>
      <w:tr w:rsidR="00C71C2D" w:rsidRPr="00A410DB" w14:paraId="317EF46B" w14:textId="77777777" w:rsidTr="00FD434A">
        <w:tc>
          <w:tcPr>
            <w:tcW w:w="992" w:type="dxa"/>
            <w:vMerge/>
          </w:tcPr>
          <w:p w14:paraId="04AD8E43"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p>
        </w:tc>
        <w:tc>
          <w:tcPr>
            <w:tcW w:w="855" w:type="dxa"/>
            <w:tcBorders>
              <w:right w:val="single" w:sz="4" w:space="0" w:color="auto"/>
            </w:tcBorders>
          </w:tcPr>
          <w:p w14:paraId="11375B3D"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PDO</w:t>
            </w:r>
          </w:p>
        </w:tc>
        <w:tc>
          <w:tcPr>
            <w:tcW w:w="1130" w:type="dxa"/>
            <w:gridSpan w:val="2"/>
            <w:tcBorders>
              <w:top w:val="nil"/>
              <w:left w:val="single" w:sz="4" w:space="0" w:color="auto"/>
              <w:bottom w:val="nil"/>
              <w:right w:val="nil"/>
            </w:tcBorders>
            <w:vAlign w:val="center"/>
          </w:tcPr>
          <w:p w14:paraId="13B3DDCC" w14:textId="3B8B75CF"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57.9</w:t>
            </w:r>
          </w:p>
        </w:tc>
        <w:tc>
          <w:tcPr>
            <w:tcW w:w="1134" w:type="dxa"/>
            <w:tcBorders>
              <w:top w:val="nil"/>
              <w:left w:val="nil"/>
              <w:bottom w:val="nil"/>
              <w:right w:val="nil"/>
            </w:tcBorders>
            <w:vAlign w:val="center"/>
          </w:tcPr>
          <w:p w14:paraId="76509C25" w14:textId="70336D00"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2.4</w:t>
            </w:r>
          </w:p>
        </w:tc>
        <w:tc>
          <w:tcPr>
            <w:tcW w:w="1134" w:type="dxa"/>
            <w:tcBorders>
              <w:top w:val="nil"/>
              <w:left w:val="nil"/>
              <w:bottom w:val="nil"/>
              <w:right w:val="single" w:sz="4" w:space="0" w:color="auto"/>
            </w:tcBorders>
            <w:vAlign w:val="center"/>
          </w:tcPr>
          <w:p w14:paraId="0D832AC2" w14:textId="7FE97AED"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3.1</w:t>
            </w:r>
          </w:p>
        </w:tc>
        <w:tc>
          <w:tcPr>
            <w:tcW w:w="1134" w:type="dxa"/>
            <w:tcBorders>
              <w:top w:val="nil"/>
              <w:left w:val="single" w:sz="4" w:space="0" w:color="auto"/>
              <w:bottom w:val="nil"/>
              <w:right w:val="nil"/>
            </w:tcBorders>
            <w:vAlign w:val="center"/>
          </w:tcPr>
          <w:p w14:paraId="7C0C1CEE" w14:textId="3B1DE5E3" w:rsidR="00C71C2D" w:rsidRPr="00C71C2D" w:rsidRDefault="00C71C2D" w:rsidP="00C71C2D">
            <w:pPr>
              <w:autoSpaceDE w:val="0"/>
              <w:autoSpaceDN w:val="0"/>
              <w:adjustRightInd w:val="0"/>
              <w:jc w:val="center"/>
              <w:rPr>
                <w:rFonts w:asciiTheme="minorHAnsi" w:hAnsiTheme="minorHAnsi" w:cs="Helvetica Neue"/>
                <w:bCs/>
                <w:iCs/>
                <w:color w:val="000000" w:themeColor="text1"/>
              </w:rPr>
            </w:pPr>
            <w:r w:rsidRPr="00FD434A">
              <w:rPr>
                <w:rFonts w:asciiTheme="minorHAnsi" w:hAnsiTheme="minorHAnsi" w:cs="Segoe UI"/>
                <w:color w:val="000000" w:themeColor="text1"/>
              </w:rPr>
              <w:t>**17.7</w:t>
            </w:r>
          </w:p>
        </w:tc>
        <w:tc>
          <w:tcPr>
            <w:tcW w:w="964" w:type="dxa"/>
            <w:tcBorders>
              <w:top w:val="nil"/>
              <w:left w:val="nil"/>
              <w:bottom w:val="nil"/>
              <w:right w:val="nil"/>
            </w:tcBorders>
            <w:vAlign w:val="center"/>
          </w:tcPr>
          <w:p w14:paraId="77BEC919" w14:textId="0508FED3"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16.4</w:t>
            </w:r>
          </w:p>
        </w:tc>
        <w:tc>
          <w:tcPr>
            <w:tcW w:w="1021" w:type="dxa"/>
            <w:tcBorders>
              <w:top w:val="nil"/>
              <w:left w:val="nil"/>
              <w:bottom w:val="nil"/>
            </w:tcBorders>
            <w:vAlign w:val="center"/>
          </w:tcPr>
          <w:p w14:paraId="6D35C0D6" w14:textId="45249176"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1.3</w:t>
            </w:r>
          </w:p>
        </w:tc>
        <w:tc>
          <w:tcPr>
            <w:tcW w:w="1134" w:type="dxa"/>
            <w:tcBorders>
              <w:top w:val="nil"/>
              <w:bottom w:val="nil"/>
              <w:right w:val="nil"/>
            </w:tcBorders>
            <w:vAlign w:val="center"/>
          </w:tcPr>
          <w:p w14:paraId="4233BC37" w14:textId="26ED272C"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0.7</w:t>
            </w:r>
          </w:p>
        </w:tc>
        <w:tc>
          <w:tcPr>
            <w:tcW w:w="992" w:type="dxa"/>
            <w:tcBorders>
              <w:top w:val="nil"/>
              <w:left w:val="nil"/>
              <w:bottom w:val="nil"/>
              <w:right w:val="nil"/>
            </w:tcBorders>
            <w:vAlign w:val="center"/>
          </w:tcPr>
          <w:p w14:paraId="55C8682A" w14:textId="73048B83"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tcPr>
          <w:p w14:paraId="0450F977" w14:textId="10691A34"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0.5</w:t>
            </w:r>
          </w:p>
        </w:tc>
      </w:tr>
      <w:tr w:rsidR="00C71C2D" w:rsidRPr="00A410DB" w14:paraId="7AC0A8F0" w14:textId="77777777" w:rsidTr="00FD434A">
        <w:tc>
          <w:tcPr>
            <w:tcW w:w="992" w:type="dxa"/>
            <w:vMerge/>
          </w:tcPr>
          <w:p w14:paraId="6E736A76"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p>
        </w:tc>
        <w:tc>
          <w:tcPr>
            <w:tcW w:w="855" w:type="dxa"/>
            <w:tcBorders>
              <w:right w:val="single" w:sz="4" w:space="0" w:color="auto"/>
            </w:tcBorders>
          </w:tcPr>
          <w:p w14:paraId="5CC8168B"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TNA</w:t>
            </w:r>
          </w:p>
        </w:tc>
        <w:tc>
          <w:tcPr>
            <w:tcW w:w="1130" w:type="dxa"/>
            <w:gridSpan w:val="2"/>
            <w:tcBorders>
              <w:top w:val="nil"/>
              <w:left w:val="single" w:sz="4" w:space="0" w:color="auto"/>
              <w:bottom w:val="nil"/>
              <w:right w:val="nil"/>
            </w:tcBorders>
            <w:vAlign w:val="center"/>
          </w:tcPr>
          <w:p w14:paraId="0315BF12" w14:textId="2B1EE8E0"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19.5</w:t>
            </w:r>
          </w:p>
        </w:tc>
        <w:tc>
          <w:tcPr>
            <w:tcW w:w="1134" w:type="dxa"/>
            <w:tcBorders>
              <w:top w:val="nil"/>
              <w:left w:val="nil"/>
              <w:bottom w:val="nil"/>
              <w:right w:val="nil"/>
            </w:tcBorders>
            <w:vAlign w:val="center"/>
          </w:tcPr>
          <w:p w14:paraId="744FD094" w14:textId="5BD8A4C0" w:rsidR="00C71C2D" w:rsidRPr="00C71C2D" w:rsidRDefault="00C71C2D" w:rsidP="00C71C2D">
            <w:pPr>
              <w:autoSpaceDE w:val="0"/>
              <w:autoSpaceDN w:val="0"/>
              <w:adjustRightInd w:val="0"/>
              <w:jc w:val="center"/>
              <w:rPr>
                <w:rFonts w:asciiTheme="minorHAnsi" w:hAnsiTheme="minorHAnsi" w:cs="Helvetica Neue"/>
                <w:bCs/>
                <w:iCs/>
                <w:color w:val="000000" w:themeColor="text1"/>
              </w:rPr>
            </w:pPr>
            <w:r w:rsidRPr="00FD434A">
              <w:rPr>
                <w:rFonts w:asciiTheme="minorHAnsi" w:hAnsiTheme="minorHAnsi" w:cs="Segoe UI"/>
                <w:color w:val="000000" w:themeColor="text1"/>
              </w:rPr>
              <w:t>*8.8</w:t>
            </w:r>
          </w:p>
        </w:tc>
        <w:tc>
          <w:tcPr>
            <w:tcW w:w="1134" w:type="dxa"/>
            <w:tcBorders>
              <w:top w:val="nil"/>
              <w:left w:val="nil"/>
              <w:bottom w:val="nil"/>
              <w:right w:val="single" w:sz="4" w:space="0" w:color="auto"/>
            </w:tcBorders>
            <w:vAlign w:val="center"/>
          </w:tcPr>
          <w:p w14:paraId="3501C311" w14:textId="21354F9D" w:rsidR="00C71C2D" w:rsidRPr="00C71C2D" w:rsidRDefault="00C71C2D" w:rsidP="00C71C2D">
            <w:pPr>
              <w:autoSpaceDE w:val="0"/>
              <w:autoSpaceDN w:val="0"/>
              <w:adjustRightInd w:val="0"/>
              <w:jc w:val="center"/>
              <w:rPr>
                <w:rFonts w:asciiTheme="minorHAnsi" w:hAnsiTheme="minorHAnsi" w:cs="Helvetica Neue"/>
                <w:bCs/>
                <w:iCs/>
                <w:color w:val="000000" w:themeColor="text1"/>
              </w:rPr>
            </w:pPr>
            <w:r w:rsidRPr="00FD434A">
              <w:rPr>
                <w:rFonts w:asciiTheme="minorHAnsi" w:hAnsiTheme="minorHAnsi" w:cs="Segoe UI"/>
                <w:color w:val="000000" w:themeColor="text1"/>
              </w:rPr>
              <w:t>**25.5</w:t>
            </w:r>
          </w:p>
        </w:tc>
        <w:tc>
          <w:tcPr>
            <w:tcW w:w="1134" w:type="dxa"/>
            <w:tcBorders>
              <w:top w:val="nil"/>
              <w:left w:val="single" w:sz="4" w:space="0" w:color="auto"/>
              <w:bottom w:val="nil"/>
              <w:right w:val="nil"/>
            </w:tcBorders>
            <w:vAlign w:val="center"/>
          </w:tcPr>
          <w:p w14:paraId="1FA532FA" w14:textId="153C092A"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0.1</w:t>
            </w:r>
          </w:p>
        </w:tc>
        <w:tc>
          <w:tcPr>
            <w:tcW w:w="964" w:type="dxa"/>
            <w:tcBorders>
              <w:top w:val="nil"/>
              <w:left w:val="nil"/>
              <w:bottom w:val="nil"/>
              <w:right w:val="nil"/>
            </w:tcBorders>
            <w:vAlign w:val="center"/>
          </w:tcPr>
          <w:p w14:paraId="1FA16575" w14:textId="3B383C8B"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0.6</w:t>
            </w:r>
          </w:p>
        </w:tc>
        <w:tc>
          <w:tcPr>
            <w:tcW w:w="1021" w:type="dxa"/>
            <w:tcBorders>
              <w:top w:val="nil"/>
              <w:left w:val="nil"/>
              <w:bottom w:val="nil"/>
            </w:tcBorders>
            <w:vAlign w:val="center"/>
          </w:tcPr>
          <w:p w14:paraId="0DBDFBAB" w14:textId="77776162"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tcPr>
          <w:p w14:paraId="4C6C9182" w14:textId="39DFD1FB" w:rsidR="00C71C2D" w:rsidRPr="00C71C2D" w:rsidRDefault="00C71C2D" w:rsidP="00C71C2D">
            <w:pPr>
              <w:autoSpaceDE w:val="0"/>
              <w:autoSpaceDN w:val="0"/>
              <w:adjustRightInd w:val="0"/>
              <w:jc w:val="center"/>
              <w:rPr>
                <w:rFonts w:asciiTheme="minorHAnsi" w:hAnsiTheme="minorHAnsi" w:cs="Helvetica Neue"/>
                <w:bCs/>
                <w:iCs/>
                <w:color w:val="000000" w:themeColor="text1"/>
              </w:rPr>
            </w:pPr>
            <w:r w:rsidRPr="00FD434A">
              <w:rPr>
                <w:rFonts w:asciiTheme="minorHAnsi" w:hAnsiTheme="minorHAnsi" w:cs="Segoe UI"/>
                <w:color w:val="000000" w:themeColor="text1"/>
              </w:rPr>
              <w:t>*6.3</w:t>
            </w:r>
          </w:p>
        </w:tc>
        <w:tc>
          <w:tcPr>
            <w:tcW w:w="992" w:type="dxa"/>
            <w:tcBorders>
              <w:top w:val="nil"/>
              <w:left w:val="nil"/>
              <w:bottom w:val="nil"/>
              <w:right w:val="nil"/>
            </w:tcBorders>
            <w:vAlign w:val="center"/>
          </w:tcPr>
          <w:p w14:paraId="7C16FF84" w14:textId="5A875AE1"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tcPr>
          <w:p w14:paraId="19555C3F" w14:textId="15B65BA2"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39.3</w:t>
            </w:r>
          </w:p>
        </w:tc>
      </w:tr>
      <w:tr w:rsidR="00C71C2D" w:rsidRPr="00A410DB" w14:paraId="2F149DF9" w14:textId="77777777" w:rsidTr="00FD434A">
        <w:tc>
          <w:tcPr>
            <w:tcW w:w="992" w:type="dxa"/>
            <w:vMerge/>
          </w:tcPr>
          <w:p w14:paraId="4C1DE70A"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p>
        </w:tc>
        <w:tc>
          <w:tcPr>
            <w:tcW w:w="855" w:type="dxa"/>
            <w:tcBorders>
              <w:right w:val="single" w:sz="4" w:space="0" w:color="auto"/>
            </w:tcBorders>
          </w:tcPr>
          <w:p w14:paraId="32353B08"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TSA</w:t>
            </w:r>
          </w:p>
        </w:tc>
        <w:tc>
          <w:tcPr>
            <w:tcW w:w="1130" w:type="dxa"/>
            <w:gridSpan w:val="2"/>
            <w:tcBorders>
              <w:top w:val="nil"/>
              <w:left w:val="single" w:sz="4" w:space="0" w:color="auto"/>
              <w:bottom w:val="nil"/>
              <w:right w:val="nil"/>
            </w:tcBorders>
            <w:vAlign w:val="center"/>
          </w:tcPr>
          <w:p w14:paraId="3F2677ED" w14:textId="0FE60CED"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47.5</w:t>
            </w:r>
          </w:p>
        </w:tc>
        <w:tc>
          <w:tcPr>
            <w:tcW w:w="1134" w:type="dxa"/>
            <w:tcBorders>
              <w:top w:val="nil"/>
              <w:left w:val="nil"/>
              <w:bottom w:val="nil"/>
              <w:right w:val="nil"/>
            </w:tcBorders>
            <w:vAlign w:val="center"/>
          </w:tcPr>
          <w:p w14:paraId="41D386A8" w14:textId="078AA6FC"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right w:val="single" w:sz="4" w:space="0" w:color="auto"/>
            </w:tcBorders>
            <w:vAlign w:val="center"/>
          </w:tcPr>
          <w:p w14:paraId="6AE1A06A" w14:textId="6D34BE94"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left w:val="single" w:sz="4" w:space="0" w:color="auto"/>
              <w:bottom w:val="nil"/>
              <w:right w:val="nil"/>
            </w:tcBorders>
            <w:vAlign w:val="center"/>
          </w:tcPr>
          <w:p w14:paraId="6CD3E3FD" w14:textId="1B8013FA" w:rsidR="00C71C2D" w:rsidRPr="00C71C2D" w:rsidRDefault="00C71C2D" w:rsidP="00C71C2D">
            <w:pPr>
              <w:autoSpaceDE w:val="0"/>
              <w:autoSpaceDN w:val="0"/>
              <w:adjustRightInd w:val="0"/>
              <w:jc w:val="center"/>
              <w:rPr>
                <w:rFonts w:asciiTheme="minorHAnsi" w:hAnsiTheme="minorHAnsi" w:cs="Helvetica Neue"/>
                <w:bCs/>
                <w:iCs/>
                <w:color w:val="000000" w:themeColor="text1"/>
              </w:rPr>
            </w:pPr>
            <w:r w:rsidRPr="00FD434A">
              <w:rPr>
                <w:rFonts w:asciiTheme="minorHAnsi" w:hAnsiTheme="minorHAnsi" w:cs="Segoe UI"/>
                <w:color w:val="000000" w:themeColor="text1"/>
              </w:rPr>
              <w:t>***52.2</w:t>
            </w:r>
          </w:p>
        </w:tc>
        <w:tc>
          <w:tcPr>
            <w:tcW w:w="964" w:type="dxa"/>
            <w:tcBorders>
              <w:top w:val="nil"/>
              <w:left w:val="nil"/>
              <w:bottom w:val="nil"/>
              <w:right w:val="nil"/>
            </w:tcBorders>
            <w:vAlign w:val="center"/>
          </w:tcPr>
          <w:p w14:paraId="17DE46E4" w14:textId="1B8B19FE"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021" w:type="dxa"/>
            <w:tcBorders>
              <w:top w:val="nil"/>
              <w:left w:val="nil"/>
              <w:bottom w:val="nil"/>
            </w:tcBorders>
            <w:vAlign w:val="center"/>
          </w:tcPr>
          <w:p w14:paraId="4552548C" w14:textId="4270D348"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tcPr>
          <w:p w14:paraId="02824FC9" w14:textId="7D6638DC"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0.3</w:t>
            </w:r>
          </w:p>
        </w:tc>
        <w:tc>
          <w:tcPr>
            <w:tcW w:w="992" w:type="dxa"/>
            <w:tcBorders>
              <w:top w:val="nil"/>
              <w:left w:val="nil"/>
              <w:bottom w:val="nil"/>
              <w:right w:val="nil"/>
            </w:tcBorders>
            <w:vAlign w:val="center"/>
          </w:tcPr>
          <w:p w14:paraId="5C3B8C16" w14:textId="55A0499B"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tcPr>
          <w:p w14:paraId="737A1F6D" w14:textId="0134988D"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r>
      <w:tr w:rsidR="00C71C2D" w:rsidRPr="00A410DB" w14:paraId="2BF46E4C" w14:textId="77777777" w:rsidTr="00FD434A">
        <w:tc>
          <w:tcPr>
            <w:tcW w:w="992" w:type="dxa"/>
            <w:vMerge/>
          </w:tcPr>
          <w:p w14:paraId="44FD1939"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p>
        </w:tc>
        <w:tc>
          <w:tcPr>
            <w:tcW w:w="855" w:type="dxa"/>
            <w:tcBorders>
              <w:right w:val="single" w:sz="4" w:space="0" w:color="auto"/>
            </w:tcBorders>
          </w:tcPr>
          <w:p w14:paraId="3CBD694A"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NAO</w:t>
            </w:r>
          </w:p>
        </w:tc>
        <w:tc>
          <w:tcPr>
            <w:tcW w:w="1130" w:type="dxa"/>
            <w:gridSpan w:val="2"/>
            <w:tcBorders>
              <w:top w:val="nil"/>
              <w:left w:val="single" w:sz="4" w:space="0" w:color="auto"/>
              <w:bottom w:val="nil"/>
              <w:right w:val="nil"/>
            </w:tcBorders>
            <w:vAlign w:val="center"/>
          </w:tcPr>
          <w:p w14:paraId="497CFD98" w14:textId="59CD1983"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53.7</w:t>
            </w:r>
          </w:p>
        </w:tc>
        <w:tc>
          <w:tcPr>
            <w:tcW w:w="1134" w:type="dxa"/>
            <w:tcBorders>
              <w:top w:val="nil"/>
              <w:left w:val="nil"/>
              <w:bottom w:val="nil"/>
              <w:right w:val="nil"/>
            </w:tcBorders>
            <w:vAlign w:val="center"/>
          </w:tcPr>
          <w:p w14:paraId="5B199585" w14:textId="2C588A96" w:rsidR="00C71C2D" w:rsidRPr="00C71C2D" w:rsidRDefault="00C71C2D" w:rsidP="00C71C2D">
            <w:pPr>
              <w:autoSpaceDE w:val="0"/>
              <w:autoSpaceDN w:val="0"/>
              <w:adjustRightInd w:val="0"/>
              <w:jc w:val="center"/>
              <w:rPr>
                <w:rFonts w:asciiTheme="minorHAnsi" w:hAnsiTheme="minorHAnsi" w:cs="Helvetica Neue"/>
                <w:bCs/>
                <w:iCs/>
                <w:color w:val="000000" w:themeColor="text1"/>
              </w:rPr>
            </w:pPr>
            <w:r w:rsidRPr="00FD434A">
              <w:rPr>
                <w:rFonts w:asciiTheme="minorHAnsi" w:hAnsiTheme="minorHAnsi" w:cs="Segoe UI"/>
                <w:color w:val="000000" w:themeColor="text1"/>
              </w:rPr>
              <w:t>*7.8</w:t>
            </w:r>
          </w:p>
        </w:tc>
        <w:tc>
          <w:tcPr>
            <w:tcW w:w="1134" w:type="dxa"/>
            <w:tcBorders>
              <w:top w:val="nil"/>
              <w:left w:val="nil"/>
              <w:bottom w:val="nil"/>
              <w:right w:val="single" w:sz="4" w:space="0" w:color="auto"/>
            </w:tcBorders>
            <w:vAlign w:val="center"/>
          </w:tcPr>
          <w:p w14:paraId="7F89FF55" w14:textId="5BC9732F"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4.4</w:t>
            </w:r>
          </w:p>
        </w:tc>
        <w:tc>
          <w:tcPr>
            <w:tcW w:w="1134" w:type="dxa"/>
            <w:tcBorders>
              <w:top w:val="nil"/>
              <w:left w:val="single" w:sz="4" w:space="0" w:color="auto"/>
              <w:bottom w:val="nil"/>
              <w:right w:val="nil"/>
            </w:tcBorders>
            <w:vAlign w:val="center"/>
          </w:tcPr>
          <w:p w14:paraId="6C154EEC" w14:textId="5A54B1FB" w:rsidR="00C71C2D" w:rsidRPr="00C71C2D" w:rsidRDefault="00C71C2D" w:rsidP="00C71C2D">
            <w:pPr>
              <w:autoSpaceDE w:val="0"/>
              <w:autoSpaceDN w:val="0"/>
              <w:adjustRightInd w:val="0"/>
              <w:jc w:val="center"/>
              <w:rPr>
                <w:rFonts w:asciiTheme="minorHAnsi" w:hAnsiTheme="minorHAnsi" w:cs="Helvetica Neue"/>
                <w:bCs/>
                <w:iCs/>
                <w:color w:val="000000" w:themeColor="text1"/>
              </w:rPr>
            </w:pPr>
            <w:r w:rsidRPr="00FD434A">
              <w:rPr>
                <w:rFonts w:asciiTheme="minorHAnsi" w:hAnsiTheme="minorHAnsi" w:cs="Segoe UI"/>
                <w:color w:val="000000" w:themeColor="text1"/>
              </w:rPr>
              <w:t>**14.7</w:t>
            </w:r>
          </w:p>
        </w:tc>
        <w:tc>
          <w:tcPr>
            <w:tcW w:w="964" w:type="dxa"/>
            <w:tcBorders>
              <w:top w:val="nil"/>
              <w:left w:val="nil"/>
              <w:bottom w:val="nil"/>
              <w:right w:val="nil"/>
            </w:tcBorders>
            <w:vAlign w:val="center"/>
          </w:tcPr>
          <w:p w14:paraId="088194EC" w14:textId="7E3CD733"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19.4</w:t>
            </w:r>
          </w:p>
        </w:tc>
        <w:tc>
          <w:tcPr>
            <w:tcW w:w="1021" w:type="dxa"/>
            <w:tcBorders>
              <w:top w:val="nil"/>
              <w:left w:val="nil"/>
              <w:bottom w:val="nil"/>
            </w:tcBorders>
            <w:vAlign w:val="center"/>
          </w:tcPr>
          <w:p w14:paraId="6E3AC579" w14:textId="7F18CABE"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tcPr>
          <w:p w14:paraId="5FB6A572" w14:textId="7526C797"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992" w:type="dxa"/>
            <w:tcBorders>
              <w:top w:val="nil"/>
              <w:left w:val="nil"/>
              <w:bottom w:val="nil"/>
              <w:right w:val="nil"/>
            </w:tcBorders>
            <w:vAlign w:val="center"/>
          </w:tcPr>
          <w:p w14:paraId="7CF5F53B" w14:textId="6BC3F3B3"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tcPr>
          <w:p w14:paraId="02CDCB14" w14:textId="57690001"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r>
      <w:tr w:rsidR="00C71C2D" w:rsidRPr="00A410DB" w14:paraId="61E2299B" w14:textId="77777777" w:rsidTr="00FD434A">
        <w:tc>
          <w:tcPr>
            <w:tcW w:w="992" w:type="dxa"/>
            <w:vMerge/>
          </w:tcPr>
          <w:p w14:paraId="5B381DA5"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p>
        </w:tc>
        <w:tc>
          <w:tcPr>
            <w:tcW w:w="855" w:type="dxa"/>
            <w:tcBorders>
              <w:right w:val="single" w:sz="4" w:space="0" w:color="auto"/>
            </w:tcBorders>
          </w:tcPr>
          <w:p w14:paraId="12D63117"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PNA</w:t>
            </w:r>
          </w:p>
        </w:tc>
        <w:tc>
          <w:tcPr>
            <w:tcW w:w="1130" w:type="dxa"/>
            <w:gridSpan w:val="2"/>
            <w:tcBorders>
              <w:top w:val="nil"/>
              <w:left w:val="single" w:sz="4" w:space="0" w:color="auto"/>
              <w:bottom w:val="nil"/>
              <w:right w:val="nil"/>
            </w:tcBorders>
            <w:vAlign w:val="center"/>
          </w:tcPr>
          <w:p w14:paraId="3E25F348" w14:textId="72320871"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30.0</w:t>
            </w:r>
          </w:p>
        </w:tc>
        <w:tc>
          <w:tcPr>
            <w:tcW w:w="1134" w:type="dxa"/>
            <w:tcBorders>
              <w:top w:val="nil"/>
              <w:left w:val="nil"/>
              <w:bottom w:val="nil"/>
              <w:right w:val="nil"/>
            </w:tcBorders>
            <w:vAlign w:val="center"/>
          </w:tcPr>
          <w:p w14:paraId="50F2E646" w14:textId="047ACE57"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0.1</w:t>
            </w:r>
          </w:p>
        </w:tc>
        <w:tc>
          <w:tcPr>
            <w:tcW w:w="1134" w:type="dxa"/>
            <w:tcBorders>
              <w:top w:val="nil"/>
              <w:left w:val="nil"/>
              <w:bottom w:val="nil"/>
              <w:right w:val="single" w:sz="4" w:space="0" w:color="auto"/>
            </w:tcBorders>
            <w:vAlign w:val="center"/>
          </w:tcPr>
          <w:p w14:paraId="1178F276" w14:textId="764A99AC" w:rsidR="00C71C2D" w:rsidRPr="00C71C2D" w:rsidRDefault="00C71C2D" w:rsidP="00C71C2D">
            <w:pPr>
              <w:autoSpaceDE w:val="0"/>
              <w:autoSpaceDN w:val="0"/>
              <w:adjustRightInd w:val="0"/>
              <w:jc w:val="center"/>
              <w:rPr>
                <w:rFonts w:asciiTheme="minorHAnsi" w:hAnsiTheme="minorHAnsi" w:cs="Helvetica Neue"/>
                <w:bCs/>
                <w:iCs/>
                <w:color w:val="000000" w:themeColor="text1"/>
              </w:rPr>
            </w:pPr>
            <w:r w:rsidRPr="00FD434A">
              <w:rPr>
                <w:rFonts w:asciiTheme="minorHAnsi" w:hAnsiTheme="minorHAnsi" w:cs="Segoe UI"/>
                <w:color w:val="000000" w:themeColor="text1"/>
              </w:rPr>
              <w:t>***43.6</w:t>
            </w:r>
          </w:p>
        </w:tc>
        <w:tc>
          <w:tcPr>
            <w:tcW w:w="1134" w:type="dxa"/>
            <w:tcBorders>
              <w:top w:val="nil"/>
              <w:left w:val="single" w:sz="4" w:space="0" w:color="auto"/>
              <w:bottom w:val="nil"/>
              <w:right w:val="nil"/>
            </w:tcBorders>
            <w:vAlign w:val="center"/>
          </w:tcPr>
          <w:p w14:paraId="67FA42FA" w14:textId="26F652EC"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964" w:type="dxa"/>
            <w:tcBorders>
              <w:top w:val="nil"/>
              <w:left w:val="nil"/>
              <w:bottom w:val="nil"/>
              <w:right w:val="nil"/>
            </w:tcBorders>
            <w:vAlign w:val="center"/>
          </w:tcPr>
          <w:p w14:paraId="06E84DCF" w14:textId="52D7EFBD"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021" w:type="dxa"/>
            <w:tcBorders>
              <w:top w:val="nil"/>
              <w:left w:val="nil"/>
              <w:bottom w:val="nil"/>
            </w:tcBorders>
            <w:vAlign w:val="center"/>
          </w:tcPr>
          <w:p w14:paraId="18FDC1A3" w14:textId="411514DB"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tcPr>
          <w:p w14:paraId="59FA4FF9" w14:textId="60CDDE50"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2.6</w:t>
            </w:r>
          </w:p>
        </w:tc>
        <w:tc>
          <w:tcPr>
            <w:tcW w:w="992" w:type="dxa"/>
            <w:tcBorders>
              <w:top w:val="nil"/>
              <w:left w:val="nil"/>
              <w:bottom w:val="nil"/>
              <w:right w:val="nil"/>
            </w:tcBorders>
            <w:vAlign w:val="center"/>
          </w:tcPr>
          <w:p w14:paraId="72DAE16A" w14:textId="54D68B36"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tcPr>
          <w:p w14:paraId="5206972B" w14:textId="45A782E3"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23.7</w:t>
            </w:r>
          </w:p>
        </w:tc>
      </w:tr>
      <w:tr w:rsidR="00C71C2D" w:rsidRPr="00A410DB" w14:paraId="077A306D" w14:textId="77777777" w:rsidTr="00FD434A">
        <w:tc>
          <w:tcPr>
            <w:tcW w:w="992" w:type="dxa"/>
            <w:vMerge/>
          </w:tcPr>
          <w:p w14:paraId="3C63091C"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p>
        </w:tc>
        <w:tc>
          <w:tcPr>
            <w:tcW w:w="855" w:type="dxa"/>
            <w:tcBorders>
              <w:right w:val="single" w:sz="4" w:space="0" w:color="auto"/>
            </w:tcBorders>
          </w:tcPr>
          <w:p w14:paraId="3E613CEE"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AO</w:t>
            </w:r>
          </w:p>
        </w:tc>
        <w:tc>
          <w:tcPr>
            <w:tcW w:w="1130" w:type="dxa"/>
            <w:gridSpan w:val="2"/>
            <w:tcBorders>
              <w:top w:val="nil"/>
              <w:left w:val="single" w:sz="4" w:space="0" w:color="auto"/>
              <w:bottom w:val="nil"/>
              <w:right w:val="nil"/>
            </w:tcBorders>
            <w:vAlign w:val="center"/>
          </w:tcPr>
          <w:p w14:paraId="336B546C" w14:textId="46552A5D"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61.5</w:t>
            </w:r>
          </w:p>
        </w:tc>
        <w:tc>
          <w:tcPr>
            <w:tcW w:w="1134" w:type="dxa"/>
            <w:tcBorders>
              <w:top w:val="nil"/>
              <w:left w:val="nil"/>
              <w:bottom w:val="nil"/>
              <w:right w:val="nil"/>
            </w:tcBorders>
            <w:vAlign w:val="center"/>
          </w:tcPr>
          <w:p w14:paraId="37928488" w14:textId="4C46FAD7" w:rsidR="00C71C2D" w:rsidRPr="00C71C2D" w:rsidRDefault="00C71C2D" w:rsidP="00C71C2D">
            <w:pPr>
              <w:autoSpaceDE w:val="0"/>
              <w:autoSpaceDN w:val="0"/>
              <w:adjustRightInd w:val="0"/>
              <w:jc w:val="center"/>
              <w:rPr>
                <w:rFonts w:asciiTheme="minorHAnsi" w:hAnsiTheme="minorHAnsi" w:cs="Helvetica Neue"/>
                <w:bCs/>
                <w:iCs/>
                <w:color w:val="000000" w:themeColor="text1"/>
              </w:rPr>
            </w:pPr>
            <w:r w:rsidRPr="00FD434A">
              <w:rPr>
                <w:rFonts w:asciiTheme="minorHAnsi" w:hAnsiTheme="minorHAnsi" w:cs="Segoe UI"/>
                <w:color w:val="000000" w:themeColor="text1"/>
              </w:rPr>
              <w:t>**28.8</w:t>
            </w:r>
          </w:p>
        </w:tc>
        <w:tc>
          <w:tcPr>
            <w:tcW w:w="1134" w:type="dxa"/>
            <w:tcBorders>
              <w:top w:val="nil"/>
              <w:left w:val="nil"/>
              <w:bottom w:val="nil"/>
              <w:right w:val="single" w:sz="4" w:space="0" w:color="auto"/>
            </w:tcBorders>
            <w:vAlign w:val="center"/>
          </w:tcPr>
          <w:p w14:paraId="0AF33252" w14:textId="5A11E7C4"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left w:val="single" w:sz="4" w:space="0" w:color="auto"/>
              <w:bottom w:val="nil"/>
              <w:right w:val="nil"/>
            </w:tcBorders>
            <w:vAlign w:val="center"/>
          </w:tcPr>
          <w:p w14:paraId="2EDE3042" w14:textId="7BF525FD"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1.9</w:t>
            </w:r>
          </w:p>
        </w:tc>
        <w:tc>
          <w:tcPr>
            <w:tcW w:w="964" w:type="dxa"/>
            <w:tcBorders>
              <w:top w:val="nil"/>
              <w:left w:val="nil"/>
              <w:bottom w:val="nil"/>
              <w:right w:val="nil"/>
            </w:tcBorders>
            <w:vAlign w:val="center"/>
          </w:tcPr>
          <w:p w14:paraId="1CEE1DDC" w14:textId="06BF484F"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7.8</w:t>
            </w:r>
          </w:p>
        </w:tc>
        <w:tc>
          <w:tcPr>
            <w:tcW w:w="1021" w:type="dxa"/>
            <w:tcBorders>
              <w:top w:val="nil"/>
              <w:left w:val="nil"/>
              <w:bottom w:val="nil"/>
            </w:tcBorders>
            <w:vAlign w:val="center"/>
          </w:tcPr>
          <w:p w14:paraId="75FC3824" w14:textId="7345B9AA"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tcPr>
          <w:p w14:paraId="6802B842" w14:textId="54F0AD16"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992" w:type="dxa"/>
            <w:tcBorders>
              <w:top w:val="nil"/>
              <w:left w:val="nil"/>
              <w:bottom w:val="nil"/>
              <w:right w:val="nil"/>
            </w:tcBorders>
            <w:vAlign w:val="center"/>
          </w:tcPr>
          <w:p w14:paraId="4B63AD7E" w14:textId="302D0846"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tcPr>
          <w:p w14:paraId="4A039BBB" w14:textId="4AA332C1"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r>
      <w:tr w:rsidR="00C71C2D" w:rsidRPr="00A410DB" w14:paraId="0217565C" w14:textId="77777777" w:rsidTr="00FD434A">
        <w:tc>
          <w:tcPr>
            <w:tcW w:w="992" w:type="dxa"/>
            <w:vMerge/>
          </w:tcPr>
          <w:p w14:paraId="75A070C1"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p>
        </w:tc>
        <w:tc>
          <w:tcPr>
            <w:tcW w:w="855" w:type="dxa"/>
            <w:tcBorders>
              <w:right w:val="single" w:sz="4" w:space="0" w:color="auto"/>
            </w:tcBorders>
          </w:tcPr>
          <w:p w14:paraId="27128DEE"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AMO</w:t>
            </w:r>
          </w:p>
        </w:tc>
        <w:tc>
          <w:tcPr>
            <w:tcW w:w="1130" w:type="dxa"/>
            <w:gridSpan w:val="2"/>
            <w:tcBorders>
              <w:top w:val="nil"/>
              <w:left w:val="single" w:sz="4" w:space="0" w:color="auto"/>
              <w:bottom w:val="nil"/>
              <w:right w:val="nil"/>
            </w:tcBorders>
            <w:vAlign w:val="center"/>
          </w:tcPr>
          <w:p w14:paraId="0DDBBA02" w14:textId="71DF0155"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79.8</w:t>
            </w:r>
          </w:p>
        </w:tc>
        <w:tc>
          <w:tcPr>
            <w:tcW w:w="1134" w:type="dxa"/>
            <w:tcBorders>
              <w:top w:val="nil"/>
              <w:left w:val="nil"/>
              <w:bottom w:val="nil"/>
              <w:right w:val="nil"/>
            </w:tcBorders>
            <w:vAlign w:val="center"/>
          </w:tcPr>
          <w:p w14:paraId="417B8A56" w14:textId="13431750" w:rsidR="00C71C2D" w:rsidRPr="00C71C2D" w:rsidRDefault="00C71C2D" w:rsidP="00C71C2D">
            <w:pPr>
              <w:autoSpaceDE w:val="0"/>
              <w:autoSpaceDN w:val="0"/>
              <w:adjustRightInd w:val="0"/>
              <w:jc w:val="center"/>
              <w:rPr>
                <w:rFonts w:asciiTheme="minorHAnsi" w:hAnsiTheme="minorHAnsi" w:cs="Helvetica Neue"/>
                <w:bCs/>
                <w:iCs/>
                <w:color w:val="000000" w:themeColor="text1"/>
              </w:rPr>
            </w:pPr>
            <w:r w:rsidRPr="00FD434A">
              <w:rPr>
                <w:rFonts w:asciiTheme="minorHAnsi" w:hAnsiTheme="minorHAnsi" w:cs="Segoe UI"/>
                <w:color w:val="000000" w:themeColor="text1"/>
              </w:rPr>
              <w:t>**17.1</w:t>
            </w:r>
          </w:p>
        </w:tc>
        <w:tc>
          <w:tcPr>
            <w:tcW w:w="1134" w:type="dxa"/>
            <w:tcBorders>
              <w:top w:val="nil"/>
              <w:left w:val="nil"/>
              <w:bottom w:val="nil"/>
              <w:right w:val="single" w:sz="4" w:space="0" w:color="auto"/>
            </w:tcBorders>
            <w:vAlign w:val="center"/>
          </w:tcPr>
          <w:p w14:paraId="3B76D424" w14:textId="0FE20E17"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3.1</w:t>
            </w:r>
          </w:p>
        </w:tc>
        <w:tc>
          <w:tcPr>
            <w:tcW w:w="1134" w:type="dxa"/>
            <w:tcBorders>
              <w:top w:val="nil"/>
              <w:left w:val="single" w:sz="4" w:space="0" w:color="auto"/>
              <w:bottom w:val="nil"/>
              <w:right w:val="nil"/>
            </w:tcBorders>
            <w:vAlign w:val="center"/>
          </w:tcPr>
          <w:p w14:paraId="58B54D2E" w14:textId="6E433A68"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964" w:type="dxa"/>
            <w:tcBorders>
              <w:top w:val="nil"/>
              <w:left w:val="nil"/>
              <w:bottom w:val="nil"/>
              <w:right w:val="nil"/>
            </w:tcBorders>
            <w:vAlign w:val="center"/>
          </w:tcPr>
          <w:p w14:paraId="3E5ED153" w14:textId="24248E83"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021" w:type="dxa"/>
            <w:tcBorders>
              <w:top w:val="nil"/>
              <w:left w:val="nil"/>
              <w:bottom w:val="nil"/>
            </w:tcBorders>
            <w:vAlign w:val="center"/>
          </w:tcPr>
          <w:p w14:paraId="56914168" w14:textId="297BEC44"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tcPr>
          <w:p w14:paraId="1D870DF9" w14:textId="1223BAC8"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992" w:type="dxa"/>
            <w:tcBorders>
              <w:top w:val="nil"/>
              <w:left w:val="nil"/>
              <w:bottom w:val="nil"/>
              <w:right w:val="nil"/>
            </w:tcBorders>
            <w:vAlign w:val="center"/>
          </w:tcPr>
          <w:p w14:paraId="612FBF1B" w14:textId="7FC14878"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tcPr>
          <w:p w14:paraId="7FC34ABE" w14:textId="35061E2D"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r>
      <w:tr w:rsidR="00C71C2D" w:rsidRPr="00A410DB" w14:paraId="3259115F" w14:textId="77777777" w:rsidTr="00FD434A">
        <w:tc>
          <w:tcPr>
            <w:tcW w:w="992" w:type="dxa"/>
            <w:vMerge/>
          </w:tcPr>
          <w:p w14:paraId="5458BA26"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p>
        </w:tc>
        <w:tc>
          <w:tcPr>
            <w:tcW w:w="855" w:type="dxa"/>
            <w:tcBorders>
              <w:right w:val="single" w:sz="4" w:space="0" w:color="auto"/>
            </w:tcBorders>
          </w:tcPr>
          <w:p w14:paraId="6AEA1C85"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SAM</w:t>
            </w:r>
          </w:p>
        </w:tc>
        <w:tc>
          <w:tcPr>
            <w:tcW w:w="1130" w:type="dxa"/>
            <w:gridSpan w:val="2"/>
            <w:tcBorders>
              <w:top w:val="nil"/>
              <w:left w:val="single" w:sz="4" w:space="0" w:color="auto"/>
              <w:bottom w:val="nil"/>
              <w:right w:val="nil"/>
            </w:tcBorders>
            <w:vAlign w:val="center"/>
          </w:tcPr>
          <w:p w14:paraId="32550D8F" w14:textId="46C0847B"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100.0</w:t>
            </w:r>
          </w:p>
        </w:tc>
        <w:tc>
          <w:tcPr>
            <w:tcW w:w="1134" w:type="dxa"/>
            <w:tcBorders>
              <w:top w:val="nil"/>
              <w:left w:val="nil"/>
              <w:bottom w:val="nil"/>
              <w:right w:val="nil"/>
            </w:tcBorders>
            <w:vAlign w:val="center"/>
          </w:tcPr>
          <w:p w14:paraId="03F5E85E" w14:textId="62A73E3F"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right w:val="single" w:sz="4" w:space="0" w:color="auto"/>
            </w:tcBorders>
            <w:vAlign w:val="center"/>
          </w:tcPr>
          <w:p w14:paraId="0BE00138" w14:textId="450BCF61"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left w:val="single" w:sz="4" w:space="0" w:color="auto"/>
              <w:bottom w:val="nil"/>
              <w:right w:val="nil"/>
            </w:tcBorders>
            <w:vAlign w:val="center"/>
          </w:tcPr>
          <w:p w14:paraId="2B9B751F" w14:textId="711F8391"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964" w:type="dxa"/>
            <w:tcBorders>
              <w:top w:val="nil"/>
              <w:left w:val="nil"/>
              <w:bottom w:val="nil"/>
              <w:right w:val="nil"/>
            </w:tcBorders>
            <w:vAlign w:val="center"/>
          </w:tcPr>
          <w:p w14:paraId="05E8ED73" w14:textId="61074EE1"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021" w:type="dxa"/>
            <w:tcBorders>
              <w:top w:val="nil"/>
              <w:left w:val="nil"/>
              <w:bottom w:val="nil"/>
            </w:tcBorders>
            <w:vAlign w:val="center"/>
          </w:tcPr>
          <w:p w14:paraId="53E9F752" w14:textId="7069FBA8"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tcPr>
          <w:p w14:paraId="51C1D483" w14:textId="2CE847C8"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992" w:type="dxa"/>
            <w:tcBorders>
              <w:top w:val="nil"/>
              <w:left w:val="nil"/>
              <w:bottom w:val="nil"/>
              <w:right w:val="nil"/>
            </w:tcBorders>
            <w:vAlign w:val="center"/>
          </w:tcPr>
          <w:p w14:paraId="1402899F" w14:textId="66167EC6"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tcPr>
          <w:p w14:paraId="40665F0B" w14:textId="080A57D6"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r>
      <w:tr w:rsidR="00C71C2D" w:rsidRPr="00A410DB" w14:paraId="79F54163" w14:textId="77777777" w:rsidTr="00FD434A">
        <w:tc>
          <w:tcPr>
            <w:tcW w:w="992" w:type="dxa"/>
            <w:vMerge/>
          </w:tcPr>
          <w:p w14:paraId="1DFC4454"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p>
        </w:tc>
        <w:tc>
          <w:tcPr>
            <w:tcW w:w="855" w:type="dxa"/>
            <w:tcBorders>
              <w:right w:val="single" w:sz="4" w:space="0" w:color="auto"/>
            </w:tcBorders>
          </w:tcPr>
          <w:p w14:paraId="71D603AF" w14:textId="77777777" w:rsidR="00C71C2D" w:rsidRPr="00A410DB" w:rsidRDefault="00C71C2D" w:rsidP="00C71C2D">
            <w:pPr>
              <w:autoSpaceDE w:val="0"/>
              <w:autoSpaceDN w:val="0"/>
              <w:adjustRightInd w:val="0"/>
              <w:jc w:val="right"/>
              <w:rPr>
                <w:rFonts w:asciiTheme="minorHAnsi" w:hAnsiTheme="minorHAnsi" w:cs="Helvetica Neue"/>
                <w:bCs/>
                <w:iCs/>
                <w:color w:val="000000" w:themeColor="text1"/>
              </w:rPr>
            </w:pPr>
            <w:r w:rsidRPr="00A410DB">
              <w:rPr>
                <w:rFonts w:asciiTheme="minorHAnsi" w:hAnsiTheme="minorHAnsi"/>
                <w:bCs/>
                <w:iCs/>
              </w:rPr>
              <w:t>EA</w:t>
            </w:r>
          </w:p>
        </w:tc>
        <w:tc>
          <w:tcPr>
            <w:tcW w:w="1130" w:type="dxa"/>
            <w:gridSpan w:val="2"/>
            <w:tcBorders>
              <w:top w:val="nil"/>
              <w:left w:val="single" w:sz="4" w:space="0" w:color="auto"/>
              <w:bottom w:val="single" w:sz="4" w:space="0" w:color="auto"/>
              <w:right w:val="nil"/>
            </w:tcBorders>
            <w:vAlign w:val="center"/>
          </w:tcPr>
          <w:p w14:paraId="3A58411E" w14:textId="0FD8616C"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100.0</w:t>
            </w:r>
          </w:p>
        </w:tc>
        <w:tc>
          <w:tcPr>
            <w:tcW w:w="1134" w:type="dxa"/>
            <w:tcBorders>
              <w:top w:val="nil"/>
              <w:left w:val="nil"/>
              <w:bottom w:val="single" w:sz="4" w:space="0" w:color="auto"/>
              <w:right w:val="nil"/>
            </w:tcBorders>
            <w:vAlign w:val="center"/>
          </w:tcPr>
          <w:p w14:paraId="66C6EEFE" w14:textId="7B1E13F1"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left w:val="nil"/>
              <w:bottom w:val="single" w:sz="4" w:space="0" w:color="auto"/>
              <w:right w:val="single" w:sz="4" w:space="0" w:color="auto"/>
            </w:tcBorders>
            <w:vAlign w:val="center"/>
          </w:tcPr>
          <w:p w14:paraId="78CB70F8" w14:textId="4BF00F18"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left w:val="single" w:sz="4" w:space="0" w:color="auto"/>
              <w:bottom w:val="single" w:sz="4" w:space="0" w:color="auto"/>
              <w:right w:val="nil"/>
            </w:tcBorders>
            <w:vAlign w:val="center"/>
          </w:tcPr>
          <w:p w14:paraId="2FB9CD1C" w14:textId="537FE003"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964" w:type="dxa"/>
            <w:tcBorders>
              <w:top w:val="nil"/>
              <w:left w:val="nil"/>
              <w:bottom w:val="single" w:sz="4" w:space="0" w:color="auto"/>
              <w:right w:val="nil"/>
            </w:tcBorders>
            <w:vAlign w:val="center"/>
          </w:tcPr>
          <w:p w14:paraId="05FE7E1F" w14:textId="6BC1BA30"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021" w:type="dxa"/>
            <w:tcBorders>
              <w:top w:val="nil"/>
              <w:left w:val="nil"/>
              <w:bottom w:val="single" w:sz="4" w:space="0" w:color="auto"/>
            </w:tcBorders>
            <w:vAlign w:val="center"/>
          </w:tcPr>
          <w:p w14:paraId="0F3921AA" w14:textId="0210C13F"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bottom w:val="single" w:sz="4" w:space="0" w:color="auto"/>
              <w:right w:val="nil"/>
            </w:tcBorders>
            <w:vAlign w:val="center"/>
          </w:tcPr>
          <w:p w14:paraId="1DCD254A" w14:textId="57D24076"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992" w:type="dxa"/>
            <w:tcBorders>
              <w:top w:val="nil"/>
              <w:left w:val="nil"/>
              <w:bottom w:val="single" w:sz="4" w:space="0" w:color="auto"/>
              <w:right w:val="nil"/>
            </w:tcBorders>
            <w:vAlign w:val="center"/>
          </w:tcPr>
          <w:p w14:paraId="621C5A01" w14:textId="37FFE003"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c>
          <w:tcPr>
            <w:tcW w:w="1134" w:type="dxa"/>
            <w:tcBorders>
              <w:top w:val="nil"/>
              <w:left w:val="nil"/>
              <w:bottom w:val="single" w:sz="4" w:space="0" w:color="auto"/>
            </w:tcBorders>
            <w:vAlign w:val="center"/>
          </w:tcPr>
          <w:p w14:paraId="74B5B532" w14:textId="6E41A835" w:rsidR="00C71C2D" w:rsidRPr="00C71C2D" w:rsidRDefault="00C71C2D" w:rsidP="00C71C2D">
            <w:pPr>
              <w:autoSpaceDE w:val="0"/>
              <w:autoSpaceDN w:val="0"/>
              <w:adjustRightInd w:val="0"/>
              <w:jc w:val="center"/>
              <w:rPr>
                <w:rFonts w:asciiTheme="minorHAnsi" w:hAnsiTheme="minorHAnsi" w:cs="Helvetica Neue"/>
                <w:iCs/>
                <w:color w:val="000000" w:themeColor="text1"/>
              </w:rPr>
            </w:pPr>
            <w:r w:rsidRPr="00FD434A">
              <w:rPr>
                <w:rFonts w:asciiTheme="minorHAnsi" w:hAnsiTheme="minorHAnsi" w:cs="Segoe UI"/>
                <w:color w:val="000000" w:themeColor="text1"/>
              </w:rPr>
              <w:t>0.0</w:t>
            </w:r>
          </w:p>
        </w:tc>
      </w:tr>
      <w:tr w:rsidR="00C71C2D" w:rsidRPr="00A410DB" w14:paraId="1326E55A" w14:textId="77777777" w:rsidTr="00FD434A">
        <w:tc>
          <w:tcPr>
            <w:tcW w:w="992" w:type="dxa"/>
            <w:vMerge w:val="restart"/>
          </w:tcPr>
          <w:p w14:paraId="50DA6754" w14:textId="77777777" w:rsidR="00C71C2D" w:rsidRPr="00A410DB" w:rsidRDefault="00C71C2D" w:rsidP="00C71C2D">
            <w:pPr>
              <w:jc w:val="right"/>
              <w:rPr>
                <w:rFonts w:asciiTheme="minorHAnsi" w:hAnsiTheme="minorHAnsi" w:cs="Segoe UI"/>
                <w:bCs/>
                <w:iCs/>
              </w:rPr>
            </w:pPr>
            <w:r w:rsidRPr="00A410DB">
              <w:rPr>
                <w:rFonts w:asciiTheme="minorHAnsi" w:hAnsiTheme="minorHAnsi" w:cs="Segoe UI"/>
                <w:bCs/>
                <w:iCs/>
              </w:rPr>
              <w:t>Lagged</w:t>
            </w:r>
          </w:p>
        </w:tc>
        <w:tc>
          <w:tcPr>
            <w:tcW w:w="855" w:type="dxa"/>
            <w:hideMark/>
          </w:tcPr>
          <w:p w14:paraId="65BADECD" w14:textId="77777777" w:rsidR="00C71C2D" w:rsidRPr="00A410DB" w:rsidRDefault="00C71C2D" w:rsidP="00C71C2D">
            <w:pPr>
              <w:jc w:val="right"/>
              <w:rPr>
                <w:rFonts w:asciiTheme="minorHAnsi" w:hAnsiTheme="minorHAnsi" w:cs="Segoe UI"/>
                <w:bCs/>
                <w:iCs/>
              </w:rPr>
            </w:pPr>
            <w:r w:rsidRPr="00A410DB">
              <w:rPr>
                <w:rFonts w:asciiTheme="minorHAnsi" w:hAnsiTheme="minorHAnsi"/>
                <w:bCs/>
                <w:iCs/>
              </w:rPr>
              <w:t>ENSO</w:t>
            </w:r>
          </w:p>
        </w:tc>
        <w:tc>
          <w:tcPr>
            <w:tcW w:w="1130" w:type="dxa"/>
            <w:gridSpan w:val="2"/>
            <w:tcBorders>
              <w:top w:val="single" w:sz="4" w:space="0" w:color="auto"/>
              <w:bottom w:val="nil"/>
              <w:right w:val="nil"/>
            </w:tcBorders>
            <w:vAlign w:val="center"/>
            <w:hideMark/>
          </w:tcPr>
          <w:p w14:paraId="4D023DC8" w14:textId="67DEE047"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22.6</w:t>
            </w:r>
          </w:p>
        </w:tc>
        <w:tc>
          <w:tcPr>
            <w:tcW w:w="1134" w:type="dxa"/>
            <w:tcBorders>
              <w:top w:val="single" w:sz="4" w:space="0" w:color="auto"/>
              <w:left w:val="nil"/>
              <w:bottom w:val="nil"/>
              <w:right w:val="nil"/>
            </w:tcBorders>
            <w:vAlign w:val="center"/>
            <w:hideMark/>
          </w:tcPr>
          <w:p w14:paraId="6A08FD4B" w14:textId="6C4EFAB4"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2.4</w:t>
            </w:r>
          </w:p>
        </w:tc>
        <w:tc>
          <w:tcPr>
            <w:tcW w:w="1134" w:type="dxa"/>
            <w:tcBorders>
              <w:top w:val="single" w:sz="4" w:space="0" w:color="auto"/>
              <w:left w:val="nil"/>
              <w:bottom w:val="nil"/>
            </w:tcBorders>
            <w:vAlign w:val="center"/>
            <w:hideMark/>
          </w:tcPr>
          <w:p w14:paraId="75EA05B4" w14:textId="2CF4AF59" w:rsidR="00C71C2D" w:rsidRPr="00FD434A" w:rsidRDefault="00C71C2D" w:rsidP="00C71C2D">
            <w:pPr>
              <w:jc w:val="center"/>
              <w:rPr>
                <w:rFonts w:asciiTheme="minorHAnsi" w:hAnsiTheme="minorHAnsi" w:cs="Segoe UI"/>
                <w:bCs/>
                <w:iCs/>
                <w:color w:val="000000" w:themeColor="text1"/>
              </w:rPr>
            </w:pPr>
            <w:r w:rsidRPr="00FD434A">
              <w:rPr>
                <w:rFonts w:asciiTheme="minorHAnsi" w:hAnsiTheme="minorHAnsi" w:cs="Segoe UI"/>
                <w:color w:val="000000" w:themeColor="text1"/>
              </w:rPr>
              <w:t>**29.0</w:t>
            </w:r>
          </w:p>
        </w:tc>
        <w:tc>
          <w:tcPr>
            <w:tcW w:w="1134" w:type="dxa"/>
            <w:tcBorders>
              <w:bottom w:val="nil"/>
              <w:right w:val="nil"/>
            </w:tcBorders>
            <w:vAlign w:val="center"/>
            <w:hideMark/>
          </w:tcPr>
          <w:p w14:paraId="2DE9B3F7" w14:textId="41F7A8A6"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0.3</w:t>
            </w:r>
          </w:p>
        </w:tc>
        <w:tc>
          <w:tcPr>
            <w:tcW w:w="964" w:type="dxa"/>
            <w:tcBorders>
              <w:left w:val="nil"/>
              <w:bottom w:val="nil"/>
              <w:right w:val="nil"/>
            </w:tcBorders>
            <w:vAlign w:val="center"/>
            <w:hideMark/>
          </w:tcPr>
          <w:p w14:paraId="79A9E205" w14:textId="550DAE70"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1.0</w:t>
            </w:r>
          </w:p>
        </w:tc>
        <w:tc>
          <w:tcPr>
            <w:tcW w:w="1021" w:type="dxa"/>
            <w:tcBorders>
              <w:left w:val="nil"/>
              <w:bottom w:val="nil"/>
            </w:tcBorders>
            <w:vAlign w:val="center"/>
            <w:hideMark/>
          </w:tcPr>
          <w:p w14:paraId="0550CB1D" w14:textId="08E9D921"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0.8</w:t>
            </w:r>
          </w:p>
        </w:tc>
        <w:tc>
          <w:tcPr>
            <w:tcW w:w="1134" w:type="dxa"/>
            <w:tcBorders>
              <w:bottom w:val="nil"/>
              <w:right w:val="nil"/>
            </w:tcBorders>
            <w:vAlign w:val="center"/>
            <w:hideMark/>
          </w:tcPr>
          <w:p w14:paraId="078CBD3A" w14:textId="0E3B83AF" w:rsidR="00C71C2D" w:rsidRPr="00FD434A" w:rsidRDefault="00C71C2D" w:rsidP="00C71C2D">
            <w:pPr>
              <w:jc w:val="center"/>
              <w:rPr>
                <w:rFonts w:asciiTheme="minorHAnsi" w:hAnsiTheme="minorHAnsi" w:cs="Segoe UI"/>
                <w:bCs/>
                <w:iCs/>
                <w:color w:val="000000" w:themeColor="text1"/>
              </w:rPr>
            </w:pPr>
            <w:r w:rsidRPr="00FD434A">
              <w:rPr>
                <w:rFonts w:asciiTheme="minorHAnsi" w:hAnsiTheme="minorHAnsi" w:cs="Segoe UI"/>
                <w:color w:val="000000" w:themeColor="text1"/>
              </w:rPr>
              <w:t>*8.5</w:t>
            </w:r>
          </w:p>
        </w:tc>
        <w:tc>
          <w:tcPr>
            <w:tcW w:w="992" w:type="dxa"/>
            <w:tcBorders>
              <w:left w:val="nil"/>
              <w:bottom w:val="nil"/>
              <w:right w:val="nil"/>
            </w:tcBorders>
            <w:vAlign w:val="center"/>
            <w:hideMark/>
          </w:tcPr>
          <w:p w14:paraId="3D441B8F" w14:textId="1C3788FF"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left w:val="nil"/>
              <w:bottom w:val="nil"/>
            </w:tcBorders>
            <w:vAlign w:val="center"/>
            <w:hideMark/>
          </w:tcPr>
          <w:p w14:paraId="78E20D58" w14:textId="198F6FDD"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35.5</w:t>
            </w:r>
          </w:p>
        </w:tc>
      </w:tr>
      <w:tr w:rsidR="00C71C2D" w:rsidRPr="00A410DB" w14:paraId="0AD54969" w14:textId="77777777" w:rsidTr="00FD434A">
        <w:tc>
          <w:tcPr>
            <w:tcW w:w="992" w:type="dxa"/>
            <w:vMerge/>
          </w:tcPr>
          <w:p w14:paraId="56397540" w14:textId="77777777" w:rsidR="00C71C2D" w:rsidRPr="00A410DB" w:rsidRDefault="00C71C2D" w:rsidP="00C71C2D">
            <w:pPr>
              <w:jc w:val="right"/>
              <w:rPr>
                <w:rFonts w:asciiTheme="minorHAnsi" w:hAnsiTheme="minorHAnsi" w:cs="Segoe UI"/>
                <w:bCs/>
                <w:iCs/>
              </w:rPr>
            </w:pPr>
          </w:p>
        </w:tc>
        <w:tc>
          <w:tcPr>
            <w:tcW w:w="855" w:type="dxa"/>
            <w:hideMark/>
          </w:tcPr>
          <w:p w14:paraId="755403FE" w14:textId="77777777" w:rsidR="00C71C2D" w:rsidRPr="00A410DB" w:rsidRDefault="00C71C2D" w:rsidP="00C71C2D">
            <w:pPr>
              <w:jc w:val="right"/>
              <w:rPr>
                <w:rFonts w:asciiTheme="minorHAnsi" w:hAnsiTheme="minorHAnsi" w:cs="Segoe UI"/>
                <w:bCs/>
                <w:iCs/>
              </w:rPr>
            </w:pPr>
            <w:r w:rsidRPr="00A410DB">
              <w:rPr>
                <w:rFonts w:asciiTheme="minorHAnsi" w:hAnsiTheme="minorHAnsi"/>
                <w:bCs/>
                <w:iCs/>
              </w:rPr>
              <w:t>IOD</w:t>
            </w:r>
          </w:p>
        </w:tc>
        <w:tc>
          <w:tcPr>
            <w:tcW w:w="1130" w:type="dxa"/>
            <w:gridSpan w:val="2"/>
            <w:tcBorders>
              <w:top w:val="nil"/>
              <w:bottom w:val="nil"/>
              <w:right w:val="nil"/>
            </w:tcBorders>
            <w:vAlign w:val="center"/>
            <w:hideMark/>
          </w:tcPr>
          <w:p w14:paraId="332A2F1F" w14:textId="2EC320DE"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62.8</w:t>
            </w:r>
          </w:p>
        </w:tc>
        <w:tc>
          <w:tcPr>
            <w:tcW w:w="1134" w:type="dxa"/>
            <w:tcBorders>
              <w:top w:val="nil"/>
              <w:left w:val="nil"/>
              <w:bottom w:val="nil"/>
              <w:right w:val="nil"/>
            </w:tcBorders>
            <w:vAlign w:val="center"/>
            <w:hideMark/>
          </w:tcPr>
          <w:p w14:paraId="745E77DF" w14:textId="0ED0A53D" w:rsidR="00C71C2D" w:rsidRPr="00FD434A" w:rsidRDefault="00C71C2D" w:rsidP="00C71C2D">
            <w:pPr>
              <w:jc w:val="center"/>
              <w:rPr>
                <w:rFonts w:asciiTheme="minorHAnsi" w:hAnsiTheme="minorHAnsi" w:cs="Segoe UI"/>
                <w:bCs/>
                <w:iCs/>
                <w:color w:val="000000" w:themeColor="text1"/>
              </w:rPr>
            </w:pPr>
            <w:r w:rsidRPr="00FD434A">
              <w:rPr>
                <w:rFonts w:asciiTheme="minorHAnsi" w:hAnsiTheme="minorHAnsi" w:cs="Segoe UI"/>
                <w:color w:val="000000" w:themeColor="text1"/>
              </w:rPr>
              <w:t>**12.4</w:t>
            </w:r>
          </w:p>
        </w:tc>
        <w:tc>
          <w:tcPr>
            <w:tcW w:w="1134" w:type="dxa"/>
            <w:tcBorders>
              <w:top w:val="nil"/>
              <w:left w:val="nil"/>
              <w:bottom w:val="nil"/>
            </w:tcBorders>
            <w:vAlign w:val="center"/>
            <w:hideMark/>
          </w:tcPr>
          <w:p w14:paraId="6729AE61" w14:textId="755FDEA9" w:rsidR="00C71C2D" w:rsidRPr="00FD434A" w:rsidRDefault="00C71C2D" w:rsidP="00C71C2D">
            <w:pPr>
              <w:jc w:val="center"/>
              <w:rPr>
                <w:rFonts w:asciiTheme="minorHAnsi" w:hAnsiTheme="minorHAnsi" w:cs="Segoe UI"/>
                <w:bCs/>
                <w:iCs/>
                <w:color w:val="000000" w:themeColor="text1"/>
              </w:rPr>
            </w:pPr>
            <w:r w:rsidRPr="00FD434A">
              <w:rPr>
                <w:rFonts w:asciiTheme="minorHAnsi" w:hAnsiTheme="minorHAnsi" w:cs="Segoe UI"/>
                <w:color w:val="000000" w:themeColor="text1"/>
              </w:rPr>
              <w:t>*7.5</w:t>
            </w:r>
          </w:p>
        </w:tc>
        <w:tc>
          <w:tcPr>
            <w:tcW w:w="1134" w:type="dxa"/>
            <w:tcBorders>
              <w:top w:val="nil"/>
              <w:bottom w:val="nil"/>
              <w:right w:val="nil"/>
            </w:tcBorders>
            <w:vAlign w:val="center"/>
            <w:hideMark/>
          </w:tcPr>
          <w:p w14:paraId="4513AF8E" w14:textId="79EE00DD"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0.1</w:t>
            </w:r>
          </w:p>
        </w:tc>
        <w:tc>
          <w:tcPr>
            <w:tcW w:w="964" w:type="dxa"/>
            <w:tcBorders>
              <w:top w:val="nil"/>
              <w:left w:val="nil"/>
              <w:bottom w:val="nil"/>
              <w:right w:val="nil"/>
            </w:tcBorders>
            <w:vAlign w:val="center"/>
            <w:hideMark/>
          </w:tcPr>
          <w:p w14:paraId="1F42BF24" w14:textId="3AA407B6"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3.7</w:t>
            </w:r>
          </w:p>
        </w:tc>
        <w:tc>
          <w:tcPr>
            <w:tcW w:w="1021" w:type="dxa"/>
            <w:tcBorders>
              <w:top w:val="nil"/>
              <w:left w:val="nil"/>
              <w:bottom w:val="nil"/>
            </w:tcBorders>
            <w:vAlign w:val="center"/>
            <w:hideMark/>
          </w:tcPr>
          <w:p w14:paraId="5EAB98C6" w14:textId="41C89A79"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hideMark/>
          </w:tcPr>
          <w:p w14:paraId="7810D5D1" w14:textId="47DAE721" w:rsidR="00C71C2D" w:rsidRPr="00FD434A" w:rsidRDefault="00C71C2D" w:rsidP="00C71C2D">
            <w:pPr>
              <w:jc w:val="center"/>
              <w:rPr>
                <w:rFonts w:asciiTheme="minorHAnsi" w:hAnsiTheme="minorHAnsi" w:cs="Segoe UI"/>
                <w:bCs/>
                <w:iCs/>
                <w:color w:val="000000" w:themeColor="text1"/>
              </w:rPr>
            </w:pPr>
            <w:r w:rsidRPr="00FD434A">
              <w:rPr>
                <w:rFonts w:asciiTheme="minorHAnsi" w:hAnsiTheme="minorHAnsi" w:cs="Segoe UI"/>
                <w:color w:val="000000" w:themeColor="text1"/>
              </w:rPr>
              <w:t>**12.5</w:t>
            </w:r>
          </w:p>
        </w:tc>
        <w:tc>
          <w:tcPr>
            <w:tcW w:w="992" w:type="dxa"/>
            <w:tcBorders>
              <w:top w:val="nil"/>
              <w:left w:val="nil"/>
              <w:bottom w:val="nil"/>
              <w:right w:val="nil"/>
            </w:tcBorders>
            <w:vAlign w:val="center"/>
            <w:hideMark/>
          </w:tcPr>
          <w:p w14:paraId="38E7B6BA" w14:textId="33E1A84B"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0.4</w:t>
            </w:r>
          </w:p>
        </w:tc>
        <w:tc>
          <w:tcPr>
            <w:tcW w:w="1134" w:type="dxa"/>
            <w:tcBorders>
              <w:top w:val="nil"/>
              <w:left w:val="nil"/>
              <w:bottom w:val="nil"/>
            </w:tcBorders>
            <w:vAlign w:val="center"/>
            <w:hideMark/>
          </w:tcPr>
          <w:p w14:paraId="2C59C487" w14:textId="73020DC6"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0.7</w:t>
            </w:r>
          </w:p>
        </w:tc>
      </w:tr>
      <w:tr w:rsidR="00C71C2D" w:rsidRPr="00A410DB" w14:paraId="0AC212DA" w14:textId="77777777" w:rsidTr="00FD434A">
        <w:tc>
          <w:tcPr>
            <w:tcW w:w="992" w:type="dxa"/>
            <w:vMerge/>
          </w:tcPr>
          <w:p w14:paraId="336DF6DF" w14:textId="77777777" w:rsidR="00C71C2D" w:rsidRPr="00A410DB" w:rsidRDefault="00C71C2D" w:rsidP="00C71C2D">
            <w:pPr>
              <w:jc w:val="right"/>
              <w:rPr>
                <w:rFonts w:asciiTheme="minorHAnsi" w:hAnsiTheme="minorHAnsi" w:cs="Segoe UI"/>
                <w:bCs/>
                <w:iCs/>
              </w:rPr>
            </w:pPr>
          </w:p>
        </w:tc>
        <w:tc>
          <w:tcPr>
            <w:tcW w:w="855" w:type="dxa"/>
            <w:hideMark/>
          </w:tcPr>
          <w:p w14:paraId="1CA4858E" w14:textId="77777777" w:rsidR="00C71C2D" w:rsidRPr="00A410DB" w:rsidRDefault="00C71C2D" w:rsidP="00C71C2D">
            <w:pPr>
              <w:jc w:val="right"/>
              <w:rPr>
                <w:rFonts w:asciiTheme="minorHAnsi" w:hAnsiTheme="minorHAnsi" w:cs="Segoe UI"/>
                <w:bCs/>
                <w:iCs/>
              </w:rPr>
            </w:pPr>
            <w:r w:rsidRPr="00A410DB">
              <w:rPr>
                <w:rFonts w:asciiTheme="minorHAnsi" w:hAnsiTheme="minorHAnsi"/>
                <w:bCs/>
                <w:iCs/>
              </w:rPr>
              <w:t>PDO</w:t>
            </w:r>
          </w:p>
        </w:tc>
        <w:tc>
          <w:tcPr>
            <w:tcW w:w="1130" w:type="dxa"/>
            <w:gridSpan w:val="2"/>
            <w:tcBorders>
              <w:top w:val="nil"/>
              <w:bottom w:val="nil"/>
              <w:right w:val="nil"/>
            </w:tcBorders>
            <w:vAlign w:val="center"/>
            <w:hideMark/>
          </w:tcPr>
          <w:p w14:paraId="6EA4696E" w14:textId="30D75E8A"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20.9</w:t>
            </w:r>
          </w:p>
        </w:tc>
        <w:tc>
          <w:tcPr>
            <w:tcW w:w="1134" w:type="dxa"/>
            <w:tcBorders>
              <w:top w:val="nil"/>
              <w:left w:val="nil"/>
              <w:bottom w:val="nil"/>
              <w:right w:val="nil"/>
            </w:tcBorders>
            <w:vAlign w:val="center"/>
            <w:hideMark/>
          </w:tcPr>
          <w:p w14:paraId="346DA0CA" w14:textId="5152A67A" w:rsidR="00C71C2D" w:rsidRPr="00FD434A" w:rsidRDefault="00C71C2D" w:rsidP="00C71C2D">
            <w:pPr>
              <w:jc w:val="center"/>
              <w:rPr>
                <w:rFonts w:asciiTheme="minorHAnsi" w:hAnsiTheme="minorHAnsi" w:cs="Segoe UI"/>
                <w:bCs/>
                <w:iCs/>
                <w:color w:val="000000" w:themeColor="text1"/>
              </w:rPr>
            </w:pPr>
            <w:r w:rsidRPr="00FD434A">
              <w:rPr>
                <w:rFonts w:asciiTheme="minorHAnsi" w:hAnsiTheme="minorHAnsi" w:cs="Segoe UI"/>
                <w:color w:val="000000" w:themeColor="text1"/>
              </w:rPr>
              <w:t>*5.8</w:t>
            </w:r>
          </w:p>
        </w:tc>
        <w:tc>
          <w:tcPr>
            <w:tcW w:w="1134" w:type="dxa"/>
            <w:tcBorders>
              <w:top w:val="nil"/>
              <w:left w:val="nil"/>
              <w:bottom w:val="nil"/>
            </w:tcBorders>
            <w:vAlign w:val="center"/>
            <w:hideMark/>
          </w:tcPr>
          <w:p w14:paraId="6CBE3A93" w14:textId="6AC9880F"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hideMark/>
          </w:tcPr>
          <w:p w14:paraId="58DA0765" w14:textId="50759D50"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*7.0</w:t>
            </w:r>
          </w:p>
        </w:tc>
        <w:tc>
          <w:tcPr>
            <w:tcW w:w="964" w:type="dxa"/>
            <w:tcBorders>
              <w:top w:val="nil"/>
              <w:left w:val="nil"/>
              <w:bottom w:val="nil"/>
              <w:right w:val="nil"/>
            </w:tcBorders>
            <w:vAlign w:val="center"/>
            <w:hideMark/>
          </w:tcPr>
          <w:p w14:paraId="3F5AA068" w14:textId="4B20D543"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66.3</w:t>
            </w:r>
          </w:p>
        </w:tc>
        <w:tc>
          <w:tcPr>
            <w:tcW w:w="1021" w:type="dxa"/>
            <w:tcBorders>
              <w:top w:val="nil"/>
              <w:left w:val="nil"/>
              <w:bottom w:val="nil"/>
            </w:tcBorders>
            <w:vAlign w:val="center"/>
            <w:hideMark/>
          </w:tcPr>
          <w:p w14:paraId="12C89325" w14:textId="45A244F4"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hideMark/>
          </w:tcPr>
          <w:p w14:paraId="33C1B25B" w14:textId="7D3C27C4"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992" w:type="dxa"/>
            <w:tcBorders>
              <w:top w:val="nil"/>
              <w:left w:val="nil"/>
              <w:bottom w:val="nil"/>
              <w:right w:val="nil"/>
            </w:tcBorders>
            <w:vAlign w:val="center"/>
            <w:hideMark/>
          </w:tcPr>
          <w:p w14:paraId="28E42494" w14:textId="07CE9653"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hideMark/>
          </w:tcPr>
          <w:p w14:paraId="535BFB3C" w14:textId="1B6994E5"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r>
      <w:tr w:rsidR="00C71C2D" w:rsidRPr="00A410DB" w14:paraId="78E68C30" w14:textId="77777777" w:rsidTr="00FD434A">
        <w:tc>
          <w:tcPr>
            <w:tcW w:w="992" w:type="dxa"/>
            <w:vMerge/>
          </w:tcPr>
          <w:p w14:paraId="5259F7CE" w14:textId="77777777" w:rsidR="00C71C2D" w:rsidRPr="00A410DB" w:rsidRDefault="00C71C2D" w:rsidP="00C71C2D">
            <w:pPr>
              <w:jc w:val="right"/>
              <w:rPr>
                <w:rFonts w:asciiTheme="minorHAnsi" w:hAnsiTheme="minorHAnsi" w:cs="Segoe UI"/>
                <w:bCs/>
                <w:iCs/>
              </w:rPr>
            </w:pPr>
          </w:p>
        </w:tc>
        <w:tc>
          <w:tcPr>
            <w:tcW w:w="855" w:type="dxa"/>
            <w:hideMark/>
          </w:tcPr>
          <w:p w14:paraId="60848608" w14:textId="77777777" w:rsidR="00C71C2D" w:rsidRPr="00A410DB" w:rsidRDefault="00C71C2D" w:rsidP="00C71C2D">
            <w:pPr>
              <w:jc w:val="right"/>
              <w:rPr>
                <w:rFonts w:asciiTheme="minorHAnsi" w:hAnsiTheme="minorHAnsi" w:cs="Segoe UI"/>
                <w:bCs/>
                <w:iCs/>
              </w:rPr>
            </w:pPr>
            <w:r w:rsidRPr="00A410DB">
              <w:rPr>
                <w:rFonts w:asciiTheme="minorHAnsi" w:hAnsiTheme="minorHAnsi"/>
                <w:bCs/>
                <w:iCs/>
              </w:rPr>
              <w:t>TNA</w:t>
            </w:r>
          </w:p>
        </w:tc>
        <w:tc>
          <w:tcPr>
            <w:tcW w:w="1130" w:type="dxa"/>
            <w:gridSpan w:val="2"/>
            <w:tcBorders>
              <w:top w:val="nil"/>
              <w:bottom w:val="nil"/>
              <w:right w:val="nil"/>
            </w:tcBorders>
            <w:vAlign w:val="center"/>
            <w:hideMark/>
          </w:tcPr>
          <w:p w14:paraId="5716C5D5" w14:textId="3C81C525"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8.5</w:t>
            </w:r>
          </w:p>
        </w:tc>
        <w:tc>
          <w:tcPr>
            <w:tcW w:w="1134" w:type="dxa"/>
            <w:tcBorders>
              <w:top w:val="nil"/>
              <w:left w:val="nil"/>
              <w:bottom w:val="nil"/>
              <w:right w:val="nil"/>
            </w:tcBorders>
            <w:vAlign w:val="center"/>
            <w:hideMark/>
          </w:tcPr>
          <w:p w14:paraId="1FB06FEC" w14:textId="5974FFDF" w:rsidR="00C71C2D" w:rsidRPr="00FD434A" w:rsidRDefault="00C71C2D" w:rsidP="00C71C2D">
            <w:pPr>
              <w:jc w:val="center"/>
              <w:rPr>
                <w:rFonts w:asciiTheme="minorHAnsi" w:hAnsiTheme="minorHAnsi" w:cs="Segoe UI"/>
                <w:bCs/>
                <w:iCs/>
                <w:color w:val="000000" w:themeColor="text1"/>
              </w:rPr>
            </w:pPr>
            <w:r w:rsidRPr="00FD434A">
              <w:rPr>
                <w:rFonts w:asciiTheme="minorHAnsi" w:hAnsiTheme="minorHAnsi" w:cs="Segoe UI"/>
                <w:color w:val="000000" w:themeColor="text1"/>
              </w:rPr>
              <w:t>*5.5</w:t>
            </w:r>
          </w:p>
        </w:tc>
        <w:tc>
          <w:tcPr>
            <w:tcW w:w="1134" w:type="dxa"/>
            <w:tcBorders>
              <w:top w:val="nil"/>
              <w:left w:val="nil"/>
              <w:bottom w:val="nil"/>
            </w:tcBorders>
            <w:vAlign w:val="center"/>
            <w:hideMark/>
          </w:tcPr>
          <w:p w14:paraId="4EC267A8" w14:textId="7888E945"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hideMark/>
          </w:tcPr>
          <w:p w14:paraId="130F7758" w14:textId="376A0569"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1.0</w:t>
            </w:r>
          </w:p>
        </w:tc>
        <w:tc>
          <w:tcPr>
            <w:tcW w:w="964" w:type="dxa"/>
            <w:tcBorders>
              <w:top w:val="nil"/>
              <w:left w:val="nil"/>
              <w:bottom w:val="nil"/>
              <w:right w:val="nil"/>
            </w:tcBorders>
            <w:vAlign w:val="center"/>
            <w:hideMark/>
          </w:tcPr>
          <w:p w14:paraId="5362203E" w14:textId="795E6508"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84.7</w:t>
            </w:r>
          </w:p>
        </w:tc>
        <w:tc>
          <w:tcPr>
            <w:tcW w:w="1021" w:type="dxa"/>
            <w:tcBorders>
              <w:top w:val="nil"/>
              <w:left w:val="nil"/>
              <w:bottom w:val="nil"/>
            </w:tcBorders>
            <w:vAlign w:val="center"/>
            <w:hideMark/>
          </w:tcPr>
          <w:p w14:paraId="767BC9FB" w14:textId="3556E695"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hideMark/>
          </w:tcPr>
          <w:p w14:paraId="06008BC3" w14:textId="61D8B393"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0.3</w:t>
            </w:r>
          </w:p>
        </w:tc>
        <w:tc>
          <w:tcPr>
            <w:tcW w:w="992" w:type="dxa"/>
            <w:tcBorders>
              <w:top w:val="nil"/>
              <w:left w:val="nil"/>
              <w:bottom w:val="nil"/>
              <w:right w:val="nil"/>
            </w:tcBorders>
            <w:vAlign w:val="center"/>
            <w:hideMark/>
          </w:tcPr>
          <w:p w14:paraId="5DFE68C4" w14:textId="516DF940"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hideMark/>
          </w:tcPr>
          <w:p w14:paraId="04061880" w14:textId="02FFE6D8"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r>
      <w:tr w:rsidR="00C71C2D" w:rsidRPr="00A410DB" w14:paraId="35863860" w14:textId="77777777" w:rsidTr="00FD434A">
        <w:tc>
          <w:tcPr>
            <w:tcW w:w="992" w:type="dxa"/>
            <w:vMerge/>
          </w:tcPr>
          <w:p w14:paraId="3F9CF54A" w14:textId="77777777" w:rsidR="00C71C2D" w:rsidRPr="00A410DB" w:rsidRDefault="00C71C2D" w:rsidP="00C71C2D">
            <w:pPr>
              <w:jc w:val="right"/>
              <w:rPr>
                <w:rFonts w:asciiTheme="minorHAnsi" w:hAnsiTheme="minorHAnsi" w:cs="Segoe UI"/>
                <w:bCs/>
                <w:iCs/>
              </w:rPr>
            </w:pPr>
          </w:p>
        </w:tc>
        <w:tc>
          <w:tcPr>
            <w:tcW w:w="855" w:type="dxa"/>
            <w:hideMark/>
          </w:tcPr>
          <w:p w14:paraId="037AE849" w14:textId="77777777" w:rsidR="00C71C2D" w:rsidRPr="00A410DB" w:rsidRDefault="00C71C2D" w:rsidP="00C71C2D">
            <w:pPr>
              <w:jc w:val="right"/>
              <w:rPr>
                <w:rFonts w:asciiTheme="minorHAnsi" w:hAnsiTheme="minorHAnsi" w:cs="Segoe UI"/>
                <w:bCs/>
                <w:iCs/>
              </w:rPr>
            </w:pPr>
            <w:r w:rsidRPr="00A410DB">
              <w:rPr>
                <w:rFonts w:asciiTheme="minorHAnsi" w:hAnsiTheme="minorHAnsi"/>
                <w:bCs/>
                <w:iCs/>
              </w:rPr>
              <w:t>TSA</w:t>
            </w:r>
          </w:p>
        </w:tc>
        <w:tc>
          <w:tcPr>
            <w:tcW w:w="1130" w:type="dxa"/>
            <w:gridSpan w:val="2"/>
            <w:tcBorders>
              <w:top w:val="nil"/>
              <w:bottom w:val="nil"/>
              <w:right w:val="nil"/>
            </w:tcBorders>
            <w:vAlign w:val="center"/>
            <w:hideMark/>
          </w:tcPr>
          <w:p w14:paraId="1D2DE82D" w14:textId="2E4790BC"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66.3</w:t>
            </w:r>
          </w:p>
        </w:tc>
        <w:tc>
          <w:tcPr>
            <w:tcW w:w="1134" w:type="dxa"/>
            <w:tcBorders>
              <w:top w:val="nil"/>
              <w:left w:val="nil"/>
              <w:bottom w:val="nil"/>
              <w:right w:val="nil"/>
            </w:tcBorders>
            <w:vAlign w:val="center"/>
            <w:hideMark/>
          </w:tcPr>
          <w:p w14:paraId="0530CDE8" w14:textId="0A8852D8" w:rsidR="00C71C2D" w:rsidRPr="00FD434A" w:rsidRDefault="00C71C2D" w:rsidP="00C71C2D">
            <w:pPr>
              <w:jc w:val="center"/>
              <w:rPr>
                <w:rFonts w:asciiTheme="minorHAnsi" w:hAnsiTheme="minorHAnsi" w:cs="Segoe UI"/>
                <w:bCs/>
                <w:iCs/>
                <w:color w:val="000000" w:themeColor="text1"/>
              </w:rPr>
            </w:pPr>
            <w:r w:rsidRPr="00FD434A">
              <w:rPr>
                <w:rFonts w:asciiTheme="minorHAnsi" w:hAnsiTheme="minorHAnsi" w:cs="Segoe UI"/>
                <w:color w:val="000000" w:themeColor="text1"/>
              </w:rPr>
              <w:t>*6.7</w:t>
            </w:r>
          </w:p>
        </w:tc>
        <w:tc>
          <w:tcPr>
            <w:tcW w:w="1134" w:type="dxa"/>
            <w:tcBorders>
              <w:top w:val="nil"/>
              <w:left w:val="nil"/>
              <w:bottom w:val="nil"/>
            </w:tcBorders>
            <w:vAlign w:val="center"/>
            <w:hideMark/>
          </w:tcPr>
          <w:p w14:paraId="3C5802AA" w14:textId="2ADEEB15"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hideMark/>
          </w:tcPr>
          <w:p w14:paraId="176B153E" w14:textId="44ED4A76" w:rsidR="00C71C2D" w:rsidRPr="00FD434A" w:rsidRDefault="00C71C2D" w:rsidP="00C71C2D">
            <w:pPr>
              <w:jc w:val="center"/>
              <w:rPr>
                <w:rFonts w:asciiTheme="minorHAnsi" w:hAnsiTheme="minorHAnsi" w:cs="Segoe UI"/>
                <w:bCs/>
                <w:iCs/>
                <w:color w:val="000000" w:themeColor="text1"/>
              </w:rPr>
            </w:pPr>
            <w:r w:rsidRPr="00FD434A">
              <w:rPr>
                <w:rFonts w:asciiTheme="minorHAnsi" w:hAnsiTheme="minorHAnsi" w:cs="Segoe UI"/>
                <w:color w:val="000000" w:themeColor="text1"/>
              </w:rPr>
              <w:t>**13.9</w:t>
            </w:r>
          </w:p>
        </w:tc>
        <w:tc>
          <w:tcPr>
            <w:tcW w:w="964" w:type="dxa"/>
            <w:tcBorders>
              <w:top w:val="nil"/>
              <w:left w:val="nil"/>
              <w:bottom w:val="nil"/>
              <w:right w:val="nil"/>
            </w:tcBorders>
            <w:vAlign w:val="center"/>
            <w:hideMark/>
          </w:tcPr>
          <w:p w14:paraId="021AAB11" w14:textId="5E4E75CB"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13.1</w:t>
            </w:r>
          </w:p>
        </w:tc>
        <w:tc>
          <w:tcPr>
            <w:tcW w:w="1021" w:type="dxa"/>
            <w:tcBorders>
              <w:top w:val="nil"/>
              <w:left w:val="nil"/>
              <w:bottom w:val="nil"/>
            </w:tcBorders>
            <w:vAlign w:val="center"/>
            <w:hideMark/>
          </w:tcPr>
          <w:p w14:paraId="54215FD9" w14:textId="0309E04A"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hideMark/>
          </w:tcPr>
          <w:p w14:paraId="1F66FC46" w14:textId="2CEE2DCF"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992" w:type="dxa"/>
            <w:tcBorders>
              <w:top w:val="nil"/>
              <w:left w:val="nil"/>
              <w:bottom w:val="nil"/>
              <w:right w:val="nil"/>
            </w:tcBorders>
            <w:vAlign w:val="center"/>
            <w:hideMark/>
          </w:tcPr>
          <w:p w14:paraId="4CE8DE40" w14:textId="48601726"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hideMark/>
          </w:tcPr>
          <w:p w14:paraId="1CA30868" w14:textId="2964D915"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r>
      <w:tr w:rsidR="00C71C2D" w:rsidRPr="00A410DB" w14:paraId="465E5DAC" w14:textId="77777777" w:rsidTr="00FD434A">
        <w:tc>
          <w:tcPr>
            <w:tcW w:w="992" w:type="dxa"/>
            <w:vMerge/>
          </w:tcPr>
          <w:p w14:paraId="792D965C" w14:textId="77777777" w:rsidR="00C71C2D" w:rsidRPr="00A410DB" w:rsidRDefault="00C71C2D" w:rsidP="00C71C2D">
            <w:pPr>
              <w:jc w:val="right"/>
              <w:rPr>
                <w:rFonts w:asciiTheme="minorHAnsi" w:hAnsiTheme="minorHAnsi" w:cs="Segoe UI"/>
                <w:bCs/>
                <w:iCs/>
              </w:rPr>
            </w:pPr>
          </w:p>
        </w:tc>
        <w:tc>
          <w:tcPr>
            <w:tcW w:w="855" w:type="dxa"/>
            <w:hideMark/>
          </w:tcPr>
          <w:p w14:paraId="64EE3F4E" w14:textId="77777777" w:rsidR="00C71C2D" w:rsidRPr="00A410DB" w:rsidRDefault="00C71C2D" w:rsidP="00C71C2D">
            <w:pPr>
              <w:jc w:val="right"/>
              <w:rPr>
                <w:rFonts w:asciiTheme="minorHAnsi" w:hAnsiTheme="minorHAnsi" w:cs="Segoe UI"/>
                <w:bCs/>
                <w:iCs/>
              </w:rPr>
            </w:pPr>
            <w:r w:rsidRPr="00A410DB">
              <w:rPr>
                <w:rFonts w:asciiTheme="minorHAnsi" w:hAnsiTheme="minorHAnsi"/>
                <w:bCs/>
                <w:iCs/>
              </w:rPr>
              <w:t>NAO</w:t>
            </w:r>
          </w:p>
        </w:tc>
        <w:tc>
          <w:tcPr>
            <w:tcW w:w="1130" w:type="dxa"/>
            <w:gridSpan w:val="2"/>
            <w:tcBorders>
              <w:top w:val="nil"/>
              <w:bottom w:val="nil"/>
              <w:right w:val="nil"/>
            </w:tcBorders>
            <w:vAlign w:val="center"/>
            <w:hideMark/>
          </w:tcPr>
          <w:p w14:paraId="22FF8527" w14:textId="1CE8D106"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44.6</w:t>
            </w:r>
          </w:p>
        </w:tc>
        <w:tc>
          <w:tcPr>
            <w:tcW w:w="1134" w:type="dxa"/>
            <w:tcBorders>
              <w:top w:val="nil"/>
              <w:left w:val="nil"/>
              <w:bottom w:val="nil"/>
              <w:right w:val="nil"/>
            </w:tcBorders>
            <w:vAlign w:val="center"/>
            <w:hideMark/>
          </w:tcPr>
          <w:p w14:paraId="3FA3FFA3" w14:textId="2AA79737"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hideMark/>
          </w:tcPr>
          <w:p w14:paraId="1192DB39" w14:textId="7A60F01E" w:rsidR="00C71C2D" w:rsidRPr="00FD434A" w:rsidRDefault="00C71C2D" w:rsidP="00C71C2D">
            <w:pPr>
              <w:jc w:val="center"/>
              <w:rPr>
                <w:rFonts w:asciiTheme="minorHAnsi" w:hAnsiTheme="minorHAnsi" w:cs="Segoe UI"/>
                <w:bCs/>
                <w:iCs/>
                <w:color w:val="000000" w:themeColor="text1"/>
              </w:rPr>
            </w:pPr>
            <w:r w:rsidRPr="00FD434A">
              <w:rPr>
                <w:rFonts w:asciiTheme="minorHAnsi" w:hAnsiTheme="minorHAnsi" w:cs="Segoe UI"/>
                <w:color w:val="000000" w:themeColor="text1"/>
              </w:rPr>
              <w:t>**22.7</w:t>
            </w:r>
          </w:p>
        </w:tc>
        <w:tc>
          <w:tcPr>
            <w:tcW w:w="1134" w:type="dxa"/>
            <w:tcBorders>
              <w:top w:val="nil"/>
              <w:bottom w:val="nil"/>
              <w:right w:val="nil"/>
            </w:tcBorders>
            <w:vAlign w:val="center"/>
            <w:hideMark/>
          </w:tcPr>
          <w:p w14:paraId="49F0C65D" w14:textId="73E8B89D"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0.2</w:t>
            </w:r>
          </w:p>
        </w:tc>
        <w:tc>
          <w:tcPr>
            <w:tcW w:w="964" w:type="dxa"/>
            <w:tcBorders>
              <w:top w:val="nil"/>
              <w:left w:val="nil"/>
              <w:bottom w:val="nil"/>
              <w:right w:val="nil"/>
            </w:tcBorders>
            <w:vAlign w:val="center"/>
            <w:hideMark/>
          </w:tcPr>
          <w:p w14:paraId="34F6C184" w14:textId="41FF59B1"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021" w:type="dxa"/>
            <w:tcBorders>
              <w:top w:val="nil"/>
              <w:left w:val="nil"/>
              <w:bottom w:val="nil"/>
            </w:tcBorders>
            <w:vAlign w:val="center"/>
            <w:hideMark/>
          </w:tcPr>
          <w:p w14:paraId="796AB5B9" w14:textId="7C20C279"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hideMark/>
          </w:tcPr>
          <w:p w14:paraId="0DCA7312" w14:textId="0FD1A0BC" w:rsidR="00C71C2D" w:rsidRPr="00FD434A" w:rsidRDefault="00C71C2D" w:rsidP="00C71C2D">
            <w:pPr>
              <w:jc w:val="center"/>
              <w:rPr>
                <w:rFonts w:asciiTheme="minorHAnsi" w:hAnsiTheme="minorHAnsi" w:cs="Segoe UI"/>
                <w:bCs/>
                <w:iCs/>
                <w:color w:val="000000" w:themeColor="text1"/>
              </w:rPr>
            </w:pPr>
            <w:r w:rsidRPr="00FD434A">
              <w:rPr>
                <w:rFonts w:asciiTheme="minorHAnsi" w:hAnsiTheme="minorHAnsi" w:cs="Segoe UI"/>
                <w:color w:val="000000" w:themeColor="text1"/>
              </w:rPr>
              <w:t>*5.1</w:t>
            </w:r>
          </w:p>
        </w:tc>
        <w:tc>
          <w:tcPr>
            <w:tcW w:w="992" w:type="dxa"/>
            <w:tcBorders>
              <w:top w:val="nil"/>
              <w:left w:val="nil"/>
              <w:bottom w:val="nil"/>
              <w:right w:val="nil"/>
            </w:tcBorders>
            <w:vAlign w:val="center"/>
            <w:hideMark/>
          </w:tcPr>
          <w:p w14:paraId="2AAD2C91" w14:textId="780FFAAD"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hideMark/>
          </w:tcPr>
          <w:p w14:paraId="509384E6" w14:textId="1810A966"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27.4</w:t>
            </w:r>
          </w:p>
        </w:tc>
      </w:tr>
      <w:tr w:rsidR="00C71C2D" w:rsidRPr="00A410DB" w14:paraId="41BD65E4" w14:textId="77777777" w:rsidTr="00FD434A">
        <w:tc>
          <w:tcPr>
            <w:tcW w:w="992" w:type="dxa"/>
            <w:vMerge/>
          </w:tcPr>
          <w:p w14:paraId="2D3C5B77" w14:textId="77777777" w:rsidR="00C71C2D" w:rsidRPr="00A410DB" w:rsidRDefault="00C71C2D" w:rsidP="00C71C2D">
            <w:pPr>
              <w:jc w:val="right"/>
              <w:rPr>
                <w:rFonts w:asciiTheme="minorHAnsi" w:hAnsiTheme="minorHAnsi" w:cs="Segoe UI"/>
                <w:bCs/>
                <w:iCs/>
              </w:rPr>
            </w:pPr>
          </w:p>
        </w:tc>
        <w:tc>
          <w:tcPr>
            <w:tcW w:w="855" w:type="dxa"/>
            <w:hideMark/>
          </w:tcPr>
          <w:p w14:paraId="7F8D9EBF" w14:textId="77777777" w:rsidR="00C71C2D" w:rsidRPr="00A410DB" w:rsidRDefault="00C71C2D" w:rsidP="00C71C2D">
            <w:pPr>
              <w:jc w:val="right"/>
              <w:rPr>
                <w:rFonts w:asciiTheme="minorHAnsi" w:hAnsiTheme="minorHAnsi" w:cs="Segoe UI"/>
                <w:bCs/>
                <w:iCs/>
              </w:rPr>
            </w:pPr>
            <w:r w:rsidRPr="00A410DB">
              <w:rPr>
                <w:rFonts w:asciiTheme="minorHAnsi" w:hAnsiTheme="minorHAnsi"/>
                <w:bCs/>
                <w:iCs/>
              </w:rPr>
              <w:t>PNA</w:t>
            </w:r>
          </w:p>
        </w:tc>
        <w:tc>
          <w:tcPr>
            <w:tcW w:w="1130" w:type="dxa"/>
            <w:gridSpan w:val="2"/>
            <w:tcBorders>
              <w:top w:val="nil"/>
              <w:bottom w:val="nil"/>
              <w:right w:val="nil"/>
            </w:tcBorders>
            <w:vAlign w:val="center"/>
            <w:hideMark/>
          </w:tcPr>
          <w:p w14:paraId="77100044" w14:textId="523F6CC5"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79.5</w:t>
            </w:r>
          </w:p>
        </w:tc>
        <w:tc>
          <w:tcPr>
            <w:tcW w:w="1134" w:type="dxa"/>
            <w:tcBorders>
              <w:top w:val="nil"/>
              <w:left w:val="nil"/>
              <w:bottom w:val="nil"/>
              <w:right w:val="nil"/>
            </w:tcBorders>
            <w:vAlign w:val="center"/>
            <w:hideMark/>
          </w:tcPr>
          <w:p w14:paraId="3BE72CB6" w14:textId="663C9CAD" w:rsidR="00C71C2D" w:rsidRPr="00FD434A" w:rsidRDefault="00C71C2D" w:rsidP="00C71C2D">
            <w:pPr>
              <w:jc w:val="center"/>
              <w:rPr>
                <w:rFonts w:asciiTheme="minorHAnsi" w:hAnsiTheme="minorHAnsi" w:cs="Segoe UI"/>
                <w:bCs/>
                <w:iCs/>
                <w:color w:val="000000" w:themeColor="text1"/>
              </w:rPr>
            </w:pPr>
            <w:r w:rsidRPr="00FD434A">
              <w:rPr>
                <w:rFonts w:asciiTheme="minorHAnsi" w:hAnsiTheme="minorHAnsi" w:cs="Segoe UI"/>
                <w:color w:val="000000" w:themeColor="text1"/>
              </w:rPr>
              <w:t>**10.6</w:t>
            </w:r>
          </w:p>
        </w:tc>
        <w:tc>
          <w:tcPr>
            <w:tcW w:w="1134" w:type="dxa"/>
            <w:tcBorders>
              <w:top w:val="nil"/>
              <w:left w:val="nil"/>
              <w:bottom w:val="nil"/>
            </w:tcBorders>
            <w:vAlign w:val="center"/>
            <w:hideMark/>
          </w:tcPr>
          <w:p w14:paraId="2EAB0D46" w14:textId="3E539441"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hideMark/>
          </w:tcPr>
          <w:p w14:paraId="7328F105" w14:textId="276B61AC" w:rsidR="00C71C2D" w:rsidRPr="00FD434A" w:rsidRDefault="00C71C2D" w:rsidP="00C71C2D">
            <w:pPr>
              <w:jc w:val="center"/>
              <w:rPr>
                <w:rFonts w:asciiTheme="minorHAnsi" w:hAnsiTheme="minorHAnsi" w:cs="Segoe UI"/>
                <w:bCs/>
                <w:iCs/>
                <w:color w:val="000000" w:themeColor="text1"/>
              </w:rPr>
            </w:pPr>
            <w:r w:rsidRPr="00FD434A">
              <w:rPr>
                <w:rFonts w:asciiTheme="minorHAnsi" w:hAnsiTheme="minorHAnsi" w:cs="Segoe UI"/>
                <w:color w:val="000000" w:themeColor="text1"/>
              </w:rPr>
              <w:t>4.2</w:t>
            </w:r>
          </w:p>
        </w:tc>
        <w:tc>
          <w:tcPr>
            <w:tcW w:w="964" w:type="dxa"/>
            <w:tcBorders>
              <w:top w:val="nil"/>
              <w:left w:val="nil"/>
              <w:bottom w:val="nil"/>
              <w:right w:val="nil"/>
            </w:tcBorders>
            <w:vAlign w:val="center"/>
            <w:hideMark/>
          </w:tcPr>
          <w:p w14:paraId="04B34EAC" w14:textId="5D8ED814"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5.7</w:t>
            </w:r>
          </w:p>
        </w:tc>
        <w:tc>
          <w:tcPr>
            <w:tcW w:w="1021" w:type="dxa"/>
            <w:tcBorders>
              <w:top w:val="nil"/>
              <w:left w:val="nil"/>
              <w:bottom w:val="nil"/>
            </w:tcBorders>
            <w:vAlign w:val="center"/>
            <w:hideMark/>
          </w:tcPr>
          <w:p w14:paraId="6DDDC7B7" w14:textId="4C0453E0"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hideMark/>
          </w:tcPr>
          <w:p w14:paraId="7043B043" w14:textId="5D12A5B2"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992" w:type="dxa"/>
            <w:tcBorders>
              <w:top w:val="nil"/>
              <w:left w:val="nil"/>
              <w:bottom w:val="nil"/>
              <w:right w:val="nil"/>
            </w:tcBorders>
            <w:vAlign w:val="center"/>
            <w:hideMark/>
          </w:tcPr>
          <w:p w14:paraId="6FCDF30C" w14:textId="2F6B7807"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hideMark/>
          </w:tcPr>
          <w:p w14:paraId="4AF2052D" w14:textId="48E880A1"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r>
      <w:tr w:rsidR="00C71C2D" w:rsidRPr="00A410DB" w14:paraId="400271F2" w14:textId="77777777" w:rsidTr="00FD434A">
        <w:tc>
          <w:tcPr>
            <w:tcW w:w="992" w:type="dxa"/>
            <w:vMerge/>
          </w:tcPr>
          <w:p w14:paraId="19FAADCD" w14:textId="77777777" w:rsidR="00C71C2D" w:rsidRPr="00A410DB" w:rsidRDefault="00C71C2D" w:rsidP="00C71C2D">
            <w:pPr>
              <w:jc w:val="right"/>
              <w:rPr>
                <w:rFonts w:asciiTheme="minorHAnsi" w:hAnsiTheme="minorHAnsi" w:cs="Segoe UI"/>
                <w:bCs/>
                <w:iCs/>
              </w:rPr>
            </w:pPr>
          </w:p>
        </w:tc>
        <w:tc>
          <w:tcPr>
            <w:tcW w:w="855" w:type="dxa"/>
            <w:hideMark/>
          </w:tcPr>
          <w:p w14:paraId="40EA605F" w14:textId="77777777" w:rsidR="00C71C2D" w:rsidRPr="00A410DB" w:rsidRDefault="00C71C2D" w:rsidP="00C71C2D">
            <w:pPr>
              <w:jc w:val="right"/>
              <w:rPr>
                <w:rFonts w:asciiTheme="minorHAnsi" w:hAnsiTheme="minorHAnsi" w:cs="Segoe UI"/>
                <w:bCs/>
                <w:iCs/>
              </w:rPr>
            </w:pPr>
            <w:r w:rsidRPr="00A410DB">
              <w:rPr>
                <w:rFonts w:asciiTheme="minorHAnsi" w:hAnsiTheme="minorHAnsi"/>
                <w:bCs/>
                <w:iCs/>
              </w:rPr>
              <w:t>AO</w:t>
            </w:r>
          </w:p>
        </w:tc>
        <w:tc>
          <w:tcPr>
            <w:tcW w:w="1130" w:type="dxa"/>
            <w:gridSpan w:val="2"/>
            <w:tcBorders>
              <w:top w:val="nil"/>
              <w:bottom w:val="nil"/>
              <w:right w:val="nil"/>
            </w:tcBorders>
            <w:vAlign w:val="center"/>
            <w:hideMark/>
          </w:tcPr>
          <w:p w14:paraId="7A80009D" w14:textId="1A9B8365"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97.3</w:t>
            </w:r>
          </w:p>
        </w:tc>
        <w:tc>
          <w:tcPr>
            <w:tcW w:w="1134" w:type="dxa"/>
            <w:tcBorders>
              <w:top w:val="nil"/>
              <w:left w:val="nil"/>
              <w:bottom w:val="nil"/>
              <w:right w:val="nil"/>
            </w:tcBorders>
            <w:vAlign w:val="center"/>
            <w:hideMark/>
          </w:tcPr>
          <w:p w14:paraId="1BA47AA7" w14:textId="5B0C8A8A"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hideMark/>
          </w:tcPr>
          <w:p w14:paraId="100216A3" w14:textId="0B2BA99A"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hideMark/>
          </w:tcPr>
          <w:p w14:paraId="3B2B2702" w14:textId="251627C7"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964" w:type="dxa"/>
            <w:tcBorders>
              <w:top w:val="nil"/>
              <w:left w:val="nil"/>
              <w:bottom w:val="nil"/>
              <w:right w:val="nil"/>
            </w:tcBorders>
            <w:vAlign w:val="center"/>
            <w:hideMark/>
          </w:tcPr>
          <w:p w14:paraId="01844F9F" w14:textId="5E00C4EC"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021" w:type="dxa"/>
            <w:tcBorders>
              <w:top w:val="nil"/>
              <w:left w:val="nil"/>
              <w:bottom w:val="nil"/>
            </w:tcBorders>
            <w:vAlign w:val="center"/>
            <w:hideMark/>
          </w:tcPr>
          <w:p w14:paraId="4BEF3CB6" w14:textId="5E8F8473"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hideMark/>
          </w:tcPr>
          <w:p w14:paraId="33F8E391" w14:textId="42D90D23"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2.7</w:t>
            </w:r>
          </w:p>
        </w:tc>
        <w:tc>
          <w:tcPr>
            <w:tcW w:w="992" w:type="dxa"/>
            <w:tcBorders>
              <w:top w:val="nil"/>
              <w:left w:val="nil"/>
              <w:bottom w:val="nil"/>
              <w:right w:val="nil"/>
            </w:tcBorders>
            <w:vAlign w:val="center"/>
            <w:hideMark/>
          </w:tcPr>
          <w:p w14:paraId="6E3F019F" w14:textId="1BD9DDFF"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hideMark/>
          </w:tcPr>
          <w:p w14:paraId="022E29B3" w14:textId="102630CB"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r>
      <w:tr w:rsidR="00C71C2D" w:rsidRPr="00A410DB" w14:paraId="72F839E4" w14:textId="77777777" w:rsidTr="00FD434A">
        <w:tc>
          <w:tcPr>
            <w:tcW w:w="992" w:type="dxa"/>
            <w:vMerge/>
          </w:tcPr>
          <w:p w14:paraId="38DA3A6B" w14:textId="77777777" w:rsidR="00C71C2D" w:rsidRPr="00A410DB" w:rsidRDefault="00C71C2D" w:rsidP="00C71C2D">
            <w:pPr>
              <w:jc w:val="right"/>
              <w:rPr>
                <w:rFonts w:asciiTheme="minorHAnsi" w:hAnsiTheme="minorHAnsi" w:cs="Segoe UI"/>
                <w:bCs/>
                <w:iCs/>
              </w:rPr>
            </w:pPr>
          </w:p>
        </w:tc>
        <w:tc>
          <w:tcPr>
            <w:tcW w:w="855" w:type="dxa"/>
            <w:hideMark/>
          </w:tcPr>
          <w:p w14:paraId="26FFDBC3" w14:textId="77777777" w:rsidR="00C71C2D" w:rsidRPr="00A410DB" w:rsidRDefault="00C71C2D" w:rsidP="00C71C2D">
            <w:pPr>
              <w:jc w:val="right"/>
              <w:rPr>
                <w:rFonts w:asciiTheme="minorHAnsi" w:hAnsiTheme="minorHAnsi" w:cs="Segoe UI"/>
                <w:bCs/>
                <w:iCs/>
              </w:rPr>
            </w:pPr>
            <w:r w:rsidRPr="00A410DB">
              <w:rPr>
                <w:rFonts w:asciiTheme="minorHAnsi" w:hAnsiTheme="minorHAnsi"/>
                <w:bCs/>
                <w:iCs/>
              </w:rPr>
              <w:t>AMO</w:t>
            </w:r>
          </w:p>
        </w:tc>
        <w:tc>
          <w:tcPr>
            <w:tcW w:w="1130" w:type="dxa"/>
            <w:gridSpan w:val="2"/>
            <w:tcBorders>
              <w:top w:val="nil"/>
              <w:bottom w:val="nil"/>
              <w:right w:val="nil"/>
            </w:tcBorders>
            <w:vAlign w:val="center"/>
            <w:hideMark/>
          </w:tcPr>
          <w:p w14:paraId="409E86DB" w14:textId="242A9538"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18.0</w:t>
            </w:r>
          </w:p>
        </w:tc>
        <w:tc>
          <w:tcPr>
            <w:tcW w:w="1134" w:type="dxa"/>
            <w:tcBorders>
              <w:top w:val="nil"/>
              <w:left w:val="nil"/>
              <w:bottom w:val="nil"/>
              <w:right w:val="nil"/>
            </w:tcBorders>
            <w:vAlign w:val="center"/>
            <w:hideMark/>
          </w:tcPr>
          <w:p w14:paraId="1CA8502F" w14:textId="10AB4509" w:rsidR="00C71C2D" w:rsidRPr="00FD434A" w:rsidRDefault="00C71C2D" w:rsidP="00C71C2D">
            <w:pPr>
              <w:jc w:val="center"/>
              <w:rPr>
                <w:rFonts w:asciiTheme="minorHAnsi" w:hAnsiTheme="minorHAnsi" w:cs="Segoe UI"/>
                <w:bCs/>
                <w:iCs/>
                <w:color w:val="000000" w:themeColor="text1"/>
              </w:rPr>
            </w:pPr>
            <w:r w:rsidRPr="00FD434A">
              <w:rPr>
                <w:rFonts w:asciiTheme="minorHAnsi" w:hAnsiTheme="minorHAnsi" w:cs="Segoe UI"/>
                <w:color w:val="000000" w:themeColor="text1"/>
              </w:rPr>
              <w:t>***34.5</w:t>
            </w:r>
          </w:p>
        </w:tc>
        <w:tc>
          <w:tcPr>
            <w:tcW w:w="1134" w:type="dxa"/>
            <w:tcBorders>
              <w:top w:val="nil"/>
              <w:left w:val="nil"/>
              <w:bottom w:val="nil"/>
            </w:tcBorders>
            <w:vAlign w:val="center"/>
            <w:hideMark/>
          </w:tcPr>
          <w:p w14:paraId="0018DFA3" w14:textId="15842CE2"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hideMark/>
          </w:tcPr>
          <w:p w14:paraId="55482B68" w14:textId="0ABA9FF0" w:rsidR="00C71C2D" w:rsidRPr="00FD434A" w:rsidRDefault="00C71C2D" w:rsidP="00C71C2D">
            <w:pPr>
              <w:jc w:val="center"/>
              <w:rPr>
                <w:rFonts w:asciiTheme="minorHAnsi" w:hAnsiTheme="minorHAnsi" w:cs="Segoe UI"/>
                <w:bCs/>
                <w:iCs/>
                <w:color w:val="000000" w:themeColor="text1"/>
              </w:rPr>
            </w:pPr>
            <w:r w:rsidRPr="00FD434A">
              <w:rPr>
                <w:rFonts w:asciiTheme="minorHAnsi" w:hAnsiTheme="minorHAnsi" w:cs="Segoe UI"/>
                <w:color w:val="000000" w:themeColor="text1"/>
              </w:rPr>
              <w:t>*5.8</w:t>
            </w:r>
          </w:p>
        </w:tc>
        <w:tc>
          <w:tcPr>
            <w:tcW w:w="964" w:type="dxa"/>
            <w:tcBorders>
              <w:top w:val="nil"/>
              <w:left w:val="nil"/>
              <w:bottom w:val="nil"/>
              <w:right w:val="nil"/>
            </w:tcBorders>
            <w:vAlign w:val="center"/>
            <w:hideMark/>
          </w:tcPr>
          <w:p w14:paraId="4CB621A7" w14:textId="349678C1"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41.5</w:t>
            </w:r>
          </w:p>
        </w:tc>
        <w:tc>
          <w:tcPr>
            <w:tcW w:w="1021" w:type="dxa"/>
            <w:tcBorders>
              <w:top w:val="nil"/>
              <w:left w:val="nil"/>
              <w:bottom w:val="nil"/>
            </w:tcBorders>
            <w:vAlign w:val="center"/>
            <w:hideMark/>
          </w:tcPr>
          <w:p w14:paraId="0235E83A" w14:textId="0BA3514B"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hideMark/>
          </w:tcPr>
          <w:p w14:paraId="691AA367" w14:textId="1372612C"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0.1</w:t>
            </w:r>
          </w:p>
        </w:tc>
        <w:tc>
          <w:tcPr>
            <w:tcW w:w="992" w:type="dxa"/>
            <w:tcBorders>
              <w:top w:val="nil"/>
              <w:left w:val="nil"/>
              <w:bottom w:val="nil"/>
              <w:right w:val="nil"/>
            </w:tcBorders>
            <w:vAlign w:val="center"/>
            <w:hideMark/>
          </w:tcPr>
          <w:p w14:paraId="3DFB9850" w14:textId="26068DEF"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hideMark/>
          </w:tcPr>
          <w:p w14:paraId="780F0322" w14:textId="647FBF19"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r>
      <w:tr w:rsidR="00C71C2D" w:rsidRPr="00A410DB" w14:paraId="7BBBFC1E" w14:textId="77777777" w:rsidTr="00FD434A">
        <w:tc>
          <w:tcPr>
            <w:tcW w:w="992" w:type="dxa"/>
            <w:vMerge/>
          </w:tcPr>
          <w:p w14:paraId="37D1DA7D" w14:textId="77777777" w:rsidR="00C71C2D" w:rsidRPr="00A410DB" w:rsidRDefault="00C71C2D" w:rsidP="00C71C2D">
            <w:pPr>
              <w:jc w:val="right"/>
              <w:rPr>
                <w:rFonts w:asciiTheme="minorHAnsi" w:hAnsiTheme="minorHAnsi" w:cs="Segoe UI"/>
                <w:bCs/>
                <w:iCs/>
              </w:rPr>
            </w:pPr>
          </w:p>
        </w:tc>
        <w:tc>
          <w:tcPr>
            <w:tcW w:w="855" w:type="dxa"/>
            <w:hideMark/>
          </w:tcPr>
          <w:p w14:paraId="08B7AE3A" w14:textId="77777777" w:rsidR="00C71C2D" w:rsidRPr="00A410DB" w:rsidRDefault="00C71C2D" w:rsidP="00C71C2D">
            <w:pPr>
              <w:jc w:val="right"/>
              <w:rPr>
                <w:rFonts w:asciiTheme="minorHAnsi" w:hAnsiTheme="minorHAnsi" w:cs="Segoe UI"/>
                <w:bCs/>
                <w:iCs/>
              </w:rPr>
            </w:pPr>
            <w:r w:rsidRPr="00A410DB">
              <w:rPr>
                <w:rFonts w:asciiTheme="minorHAnsi" w:hAnsiTheme="minorHAnsi"/>
                <w:bCs/>
                <w:iCs/>
              </w:rPr>
              <w:t>SAM</w:t>
            </w:r>
          </w:p>
        </w:tc>
        <w:tc>
          <w:tcPr>
            <w:tcW w:w="1130" w:type="dxa"/>
            <w:gridSpan w:val="2"/>
            <w:tcBorders>
              <w:top w:val="nil"/>
              <w:bottom w:val="nil"/>
              <w:right w:val="nil"/>
            </w:tcBorders>
            <w:vAlign w:val="center"/>
            <w:hideMark/>
          </w:tcPr>
          <w:p w14:paraId="09A39F1F" w14:textId="13D3018B"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95.1</w:t>
            </w:r>
          </w:p>
        </w:tc>
        <w:tc>
          <w:tcPr>
            <w:tcW w:w="1134" w:type="dxa"/>
            <w:tcBorders>
              <w:top w:val="nil"/>
              <w:left w:val="nil"/>
              <w:bottom w:val="nil"/>
              <w:right w:val="nil"/>
            </w:tcBorders>
            <w:vAlign w:val="center"/>
            <w:hideMark/>
          </w:tcPr>
          <w:p w14:paraId="651C16A4" w14:textId="20EEF4B6"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hideMark/>
          </w:tcPr>
          <w:p w14:paraId="019D7C21" w14:textId="0A2E9AF9"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hideMark/>
          </w:tcPr>
          <w:p w14:paraId="11AFBCB5" w14:textId="38FC066B" w:rsidR="00C71C2D" w:rsidRPr="00FD434A" w:rsidRDefault="00C71C2D" w:rsidP="00C71C2D">
            <w:pPr>
              <w:jc w:val="center"/>
              <w:rPr>
                <w:rFonts w:asciiTheme="minorHAnsi" w:hAnsiTheme="minorHAnsi" w:cs="Segoe UI"/>
                <w:bCs/>
                <w:iCs/>
                <w:color w:val="000000" w:themeColor="text1"/>
              </w:rPr>
            </w:pPr>
            <w:r w:rsidRPr="00FD434A">
              <w:rPr>
                <w:rFonts w:asciiTheme="minorHAnsi" w:hAnsiTheme="minorHAnsi" w:cs="Segoe UI"/>
                <w:color w:val="000000" w:themeColor="text1"/>
              </w:rPr>
              <w:t>4.9</w:t>
            </w:r>
          </w:p>
        </w:tc>
        <w:tc>
          <w:tcPr>
            <w:tcW w:w="964" w:type="dxa"/>
            <w:tcBorders>
              <w:top w:val="nil"/>
              <w:left w:val="nil"/>
              <w:bottom w:val="nil"/>
              <w:right w:val="nil"/>
            </w:tcBorders>
            <w:vAlign w:val="center"/>
            <w:hideMark/>
          </w:tcPr>
          <w:p w14:paraId="1DE72082" w14:textId="378F070C"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021" w:type="dxa"/>
            <w:tcBorders>
              <w:top w:val="nil"/>
              <w:left w:val="nil"/>
              <w:bottom w:val="nil"/>
            </w:tcBorders>
            <w:vAlign w:val="center"/>
            <w:hideMark/>
          </w:tcPr>
          <w:p w14:paraId="46D6D569" w14:textId="050E187A"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bottom w:val="nil"/>
              <w:right w:val="nil"/>
            </w:tcBorders>
            <w:vAlign w:val="center"/>
            <w:hideMark/>
          </w:tcPr>
          <w:p w14:paraId="3AC5E57D" w14:textId="08CDADE1"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992" w:type="dxa"/>
            <w:tcBorders>
              <w:top w:val="nil"/>
              <w:left w:val="nil"/>
              <w:bottom w:val="nil"/>
              <w:right w:val="nil"/>
            </w:tcBorders>
            <w:vAlign w:val="center"/>
            <w:hideMark/>
          </w:tcPr>
          <w:p w14:paraId="5501C174" w14:textId="559454FF"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left w:val="nil"/>
              <w:bottom w:val="nil"/>
            </w:tcBorders>
            <w:vAlign w:val="center"/>
            <w:hideMark/>
          </w:tcPr>
          <w:p w14:paraId="3F675F33" w14:textId="368DA6AF"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r>
      <w:tr w:rsidR="00C71C2D" w:rsidRPr="00A410DB" w14:paraId="0D446F20" w14:textId="77777777" w:rsidTr="00FD434A">
        <w:tc>
          <w:tcPr>
            <w:tcW w:w="992" w:type="dxa"/>
            <w:vMerge/>
          </w:tcPr>
          <w:p w14:paraId="75C40DDF" w14:textId="77777777" w:rsidR="00C71C2D" w:rsidRPr="00A410DB" w:rsidRDefault="00C71C2D" w:rsidP="00C71C2D">
            <w:pPr>
              <w:jc w:val="right"/>
              <w:rPr>
                <w:rFonts w:asciiTheme="minorHAnsi" w:hAnsiTheme="minorHAnsi" w:cs="Segoe UI"/>
                <w:bCs/>
                <w:iCs/>
              </w:rPr>
            </w:pPr>
          </w:p>
        </w:tc>
        <w:tc>
          <w:tcPr>
            <w:tcW w:w="855" w:type="dxa"/>
            <w:hideMark/>
          </w:tcPr>
          <w:p w14:paraId="7D551154" w14:textId="77777777" w:rsidR="00C71C2D" w:rsidRPr="00A410DB" w:rsidRDefault="00C71C2D" w:rsidP="00C71C2D">
            <w:pPr>
              <w:jc w:val="right"/>
              <w:rPr>
                <w:rFonts w:asciiTheme="minorHAnsi" w:hAnsiTheme="minorHAnsi" w:cs="Segoe UI"/>
                <w:bCs/>
                <w:iCs/>
              </w:rPr>
            </w:pPr>
            <w:r w:rsidRPr="00A410DB">
              <w:rPr>
                <w:rFonts w:asciiTheme="minorHAnsi" w:hAnsiTheme="minorHAnsi"/>
                <w:bCs/>
                <w:iCs/>
              </w:rPr>
              <w:t>EA</w:t>
            </w:r>
          </w:p>
        </w:tc>
        <w:tc>
          <w:tcPr>
            <w:tcW w:w="1130" w:type="dxa"/>
            <w:gridSpan w:val="2"/>
            <w:tcBorders>
              <w:top w:val="nil"/>
              <w:right w:val="nil"/>
            </w:tcBorders>
            <w:vAlign w:val="center"/>
            <w:hideMark/>
          </w:tcPr>
          <w:p w14:paraId="4386C451" w14:textId="73405E90"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100.0</w:t>
            </w:r>
          </w:p>
        </w:tc>
        <w:tc>
          <w:tcPr>
            <w:tcW w:w="1134" w:type="dxa"/>
            <w:tcBorders>
              <w:top w:val="nil"/>
              <w:left w:val="nil"/>
              <w:right w:val="nil"/>
            </w:tcBorders>
            <w:vAlign w:val="center"/>
            <w:hideMark/>
          </w:tcPr>
          <w:p w14:paraId="24263A8F" w14:textId="0778B619"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left w:val="nil"/>
            </w:tcBorders>
            <w:vAlign w:val="center"/>
            <w:hideMark/>
          </w:tcPr>
          <w:p w14:paraId="69A13F56" w14:textId="3CEE9341"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right w:val="nil"/>
            </w:tcBorders>
            <w:vAlign w:val="center"/>
            <w:hideMark/>
          </w:tcPr>
          <w:p w14:paraId="6A07B9B4" w14:textId="27940AF8"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964" w:type="dxa"/>
            <w:tcBorders>
              <w:top w:val="nil"/>
              <w:left w:val="nil"/>
              <w:right w:val="nil"/>
            </w:tcBorders>
            <w:vAlign w:val="center"/>
            <w:hideMark/>
          </w:tcPr>
          <w:p w14:paraId="456C2B12" w14:textId="75758436"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021" w:type="dxa"/>
            <w:tcBorders>
              <w:top w:val="nil"/>
              <w:left w:val="nil"/>
            </w:tcBorders>
            <w:vAlign w:val="center"/>
            <w:hideMark/>
          </w:tcPr>
          <w:p w14:paraId="61BD34F8" w14:textId="385E0DB2"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right w:val="nil"/>
            </w:tcBorders>
            <w:vAlign w:val="center"/>
            <w:hideMark/>
          </w:tcPr>
          <w:p w14:paraId="32A5E95C" w14:textId="0B4025BB"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992" w:type="dxa"/>
            <w:tcBorders>
              <w:top w:val="nil"/>
              <w:left w:val="nil"/>
              <w:right w:val="nil"/>
            </w:tcBorders>
            <w:vAlign w:val="center"/>
            <w:hideMark/>
          </w:tcPr>
          <w:p w14:paraId="21F62B0B" w14:textId="36F43606"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c>
          <w:tcPr>
            <w:tcW w:w="1134" w:type="dxa"/>
            <w:tcBorders>
              <w:top w:val="nil"/>
              <w:left w:val="nil"/>
            </w:tcBorders>
            <w:vAlign w:val="center"/>
            <w:hideMark/>
          </w:tcPr>
          <w:p w14:paraId="7BDDF672" w14:textId="51C95BC5" w:rsidR="00C71C2D" w:rsidRPr="00FD434A" w:rsidRDefault="00C71C2D" w:rsidP="00C71C2D">
            <w:pPr>
              <w:jc w:val="center"/>
              <w:rPr>
                <w:rFonts w:asciiTheme="minorHAnsi" w:hAnsiTheme="minorHAnsi" w:cs="Segoe UI"/>
                <w:iCs/>
                <w:color w:val="000000" w:themeColor="text1"/>
              </w:rPr>
            </w:pPr>
            <w:r w:rsidRPr="00FD434A">
              <w:rPr>
                <w:rFonts w:asciiTheme="minorHAnsi" w:hAnsiTheme="minorHAnsi" w:cs="Segoe UI"/>
                <w:color w:val="000000" w:themeColor="text1"/>
              </w:rPr>
              <w:t>0.0</w:t>
            </w:r>
          </w:p>
        </w:tc>
      </w:tr>
    </w:tbl>
    <w:p w14:paraId="0F532EEC" w14:textId="34D27B5E" w:rsidR="00207935" w:rsidRDefault="00207935">
      <w:pPr>
        <w:spacing w:after="160" w:line="279" w:lineRule="auto"/>
        <w:rPr>
          <w:rFonts w:asciiTheme="minorHAnsi" w:hAnsiTheme="minorHAnsi"/>
          <w:iCs/>
        </w:rPr>
      </w:pPr>
    </w:p>
    <w:p w14:paraId="350949E5" w14:textId="09D3A715" w:rsidR="007918E9" w:rsidRPr="00A410DB" w:rsidRDefault="00C71C2D" w:rsidP="00192F9B">
      <w:pPr>
        <w:spacing w:before="160" w:after="80"/>
        <w:jc w:val="center"/>
        <w:rPr>
          <w:rFonts w:asciiTheme="minorHAnsi" w:hAnsiTheme="minorHAnsi"/>
          <w:bCs/>
          <w:iCs/>
        </w:rPr>
      </w:pPr>
      <w:r>
        <w:rPr>
          <w:rFonts w:ascii="Aptos" w:hAnsi="Aptos"/>
          <w:i/>
          <w:iCs/>
          <w:noProof/>
          <w:color w:val="156082" w:themeColor="accent1"/>
          <w:lang w:val="en-IN" w:eastAsia="en-IN"/>
          <w14:ligatures w14:val="standardContextual"/>
        </w:rPr>
        <w:drawing>
          <wp:inline distT="0" distB="0" distL="0" distR="0" wp14:anchorId="730848DF" wp14:editId="1FE07B8A">
            <wp:extent cx="5731510" cy="1862455"/>
            <wp:effectExtent l="0" t="0" r="0" b="4445"/>
            <wp:docPr id="11187712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771295" name="Picture 1118771295"/>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4064A05F" w14:textId="3FB1BB9F" w:rsidR="007918E9" w:rsidRPr="00207935" w:rsidRDefault="007918E9" w:rsidP="00192F9B">
      <w:pPr>
        <w:spacing w:before="160" w:after="80"/>
        <w:jc w:val="both"/>
        <w:rPr>
          <w:rFonts w:asciiTheme="minorHAnsi" w:hAnsiTheme="minorHAnsi"/>
          <w:i/>
        </w:rPr>
      </w:pPr>
      <w:r w:rsidRPr="00207935">
        <w:rPr>
          <w:rFonts w:asciiTheme="minorHAnsi" w:hAnsiTheme="minorHAnsi"/>
          <w:bCs/>
          <w:i/>
        </w:rPr>
        <w:t xml:space="preserve">Supplementary Figure </w:t>
      </w:r>
      <w:r w:rsidR="000921E4">
        <w:rPr>
          <w:rFonts w:asciiTheme="minorHAnsi" w:hAnsiTheme="minorHAnsi"/>
          <w:bCs/>
          <w:i/>
        </w:rPr>
        <w:t>11</w:t>
      </w:r>
      <w:r w:rsidR="004027C6" w:rsidRPr="00207935">
        <w:rPr>
          <w:rFonts w:asciiTheme="minorHAnsi" w:hAnsiTheme="minorHAnsi"/>
          <w:bCs/>
          <w:i/>
        </w:rPr>
        <w:t>.1</w:t>
      </w:r>
      <w:r w:rsidRPr="00207935">
        <w:rPr>
          <w:rFonts w:asciiTheme="minorHAnsi" w:hAnsiTheme="minorHAnsi"/>
          <w:i/>
        </w:rPr>
        <w:t xml:space="preserve">: A comparison of the significant areas of effect of </w:t>
      </w:r>
      <w:r w:rsidR="009D6DEC" w:rsidRPr="00207935">
        <w:rPr>
          <w:rFonts w:asciiTheme="minorHAnsi" w:hAnsiTheme="minorHAnsi"/>
          <w:i/>
        </w:rPr>
        <w:t>the 1-year lagged Atlantic Multidecadal Oscillation (</w:t>
      </w:r>
      <w:r w:rsidRPr="00207935">
        <w:rPr>
          <w:rFonts w:asciiTheme="minorHAnsi" w:hAnsiTheme="minorHAnsi"/>
          <w:i/>
        </w:rPr>
        <w:t>AMO+1</w:t>
      </w:r>
      <w:r w:rsidR="009D6DEC" w:rsidRPr="00207935">
        <w:rPr>
          <w:rFonts w:asciiTheme="minorHAnsi" w:hAnsiTheme="minorHAnsi"/>
          <w:i/>
        </w:rPr>
        <w:t>)</w:t>
      </w:r>
      <w:r w:rsidRPr="00207935">
        <w:rPr>
          <w:rFonts w:asciiTheme="minorHAnsi" w:hAnsiTheme="minorHAnsi"/>
          <w:i/>
        </w:rPr>
        <w:t xml:space="preserve"> in the recent and +2°C time periods, with the ratio of the overlapping significant areas of effect shown in the right-hand column.</w:t>
      </w:r>
    </w:p>
    <w:p w14:paraId="6F692F9B" w14:textId="77777777" w:rsidR="007918E9" w:rsidRPr="00A410DB" w:rsidRDefault="007918E9" w:rsidP="00192F9B">
      <w:pPr>
        <w:spacing w:before="160" w:after="80"/>
        <w:jc w:val="center"/>
        <w:rPr>
          <w:rFonts w:asciiTheme="minorHAnsi" w:hAnsiTheme="minorHAnsi"/>
          <w:iCs/>
        </w:rPr>
      </w:pPr>
    </w:p>
    <w:p w14:paraId="31543802" w14:textId="20778F57" w:rsidR="007918E9" w:rsidRPr="00A410DB" w:rsidRDefault="00C71C2D" w:rsidP="00192F9B">
      <w:pPr>
        <w:spacing w:before="160" w:after="80"/>
        <w:jc w:val="center"/>
        <w:rPr>
          <w:rFonts w:asciiTheme="minorHAnsi" w:hAnsiTheme="minorHAnsi"/>
          <w:iCs/>
        </w:rPr>
      </w:pPr>
      <w:r>
        <w:rPr>
          <w:rFonts w:ascii="Aptos" w:hAnsi="Aptos"/>
          <w:i/>
          <w:iCs/>
          <w:noProof/>
          <w:color w:val="156082" w:themeColor="accent1"/>
          <w:lang w:val="en-IN" w:eastAsia="en-IN"/>
          <w14:ligatures w14:val="standardContextual"/>
        </w:rPr>
        <w:drawing>
          <wp:inline distT="0" distB="0" distL="0" distR="0" wp14:anchorId="2213464B" wp14:editId="587C6A69">
            <wp:extent cx="5731510" cy="1862455"/>
            <wp:effectExtent l="0" t="0" r="0" b="4445"/>
            <wp:docPr id="481866045" name="Picture 9" descr="A diagram of a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66045" name="Picture 9" descr="A diagram of a temperature&#10;&#10;AI-generated content may be incorrect."/>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7CA36BAE" w14:textId="727EFE17" w:rsidR="00013C12" w:rsidRDefault="007918E9" w:rsidP="00192F9B">
      <w:pPr>
        <w:spacing w:before="160" w:after="80"/>
        <w:jc w:val="both"/>
        <w:rPr>
          <w:rFonts w:asciiTheme="minorHAnsi" w:hAnsiTheme="minorHAnsi"/>
          <w:i/>
        </w:rPr>
      </w:pPr>
      <w:r w:rsidRPr="00207935">
        <w:rPr>
          <w:rFonts w:asciiTheme="minorHAnsi" w:hAnsiTheme="minorHAnsi"/>
          <w:bCs/>
          <w:i/>
        </w:rPr>
        <w:t xml:space="preserve">Supplementary Figure </w:t>
      </w:r>
      <w:r w:rsidR="000921E4">
        <w:rPr>
          <w:rFonts w:asciiTheme="minorHAnsi" w:hAnsiTheme="minorHAnsi"/>
          <w:bCs/>
          <w:i/>
        </w:rPr>
        <w:t>11</w:t>
      </w:r>
      <w:r w:rsidR="004027C6" w:rsidRPr="00207935">
        <w:rPr>
          <w:rFonts w:asciiTheme="minorHAnsi" w:hAnsiTheme="minorHAnsi"/>
          <w:bCs/>
          <w:i/>
        </w:rPr>
        <w:t>.2</w:t>
      </w:r>
      <w:r w:rsidRPr="00207935">
        <w:rPr>
          <w:rFonts w:asciiTheme="minorHAnsi" w:hAnsiTheme="minorHAnsi"/>
          <w:i/>
        </w:rPr>
        <w:t>: A comparison of the significant areas of effect of</w:t>
      </w:r>
      <w:r w:rsidR="00EA5880" w:rsidRPr="00207935">
        <w:rPr>
          <w:rFonts w:asciiTheme="minorHAnsi" w:hAnsiTheme="minorHAnsi"/>
          <w:i/>
        </w:rPr>
        <w:t xml:space="preserve"> the Tropical South Atlantic</w:t>
      </w:r>
      <w:r w:rsidRPr="00207935">
        <w:rPr>
          <w:rFonts w:asciiTheme="minorHAnsi" w:hAnsiTheme="minorHAnsi"/>
          <w:i/>
        </w:rPr>
        <w:t xml:space="preserve"> </w:t>
      </w:r>
      <w:r w:rsidR="00EA5880" w:rsidRPr="00207935">
        <w:rPr>
          <w:rFonts w:asciiTheme="minorHAnsi" w:hAnsiTheme="minorHAnsi"/>
          <w:i/>
        </w:rPr>
        <w:t>(</w:t>
      </w:r>
      <w:r w:rsidRPr="00207935">
        <w:rPr>
          <w:rFonts w:asciiTheme="minorHAnsi" w:hAnsiTheme="minorHAnsi"/>
          <w:i/>
        </w:rPr>
        <w:t>TSA</w:t>
      </w:r>
      <w:r w:rsidR="00EA5880" w:rsidRPr="00207935">
        <w:rPr>
          <w:rFonts w:asciiTheme="minorHAnsi" w:hAnsiTheme="minorHAnsi"/>
          <w:i/>
        </w:rPr>
        <w:t>)</w:t>
      </w:r>
      <w:r w:rsidRPr="00207935">
        <w:rPr>
          <w:rFonts w:asciiTheme="minorHAnsi" w:hAnsiTheme="minorHAnsi"/>
          <w:i/>
        </w:rPr>
        <w:t xml:space="preserve"> in the recent and +2°C time periods, with the ratio of the overlapping significant areas of effect shown in the right-hand column.</w:t>
      </w:r>
    </w:p>
    <w:p w14:paraId="7DCC2CF6" w14:textId="06ED5E09" w:rsidR="007918E9" w:rsidRPr="00A410DB" w:rsidRDefault="00C71C2D" w:rsidP="00207935">
      <w:pPr>
        <w:spacing w:before="160" w:after="80"/>
        <w:jc w:val="both"/>
        <w:rPr>
          <w:rFonts w:asciiTheme="minorHAnsi" w:hAnsiTheme="minorHAnsi"/>
          <w:iCs/>
        </w:rPr>
      </w:pPr>
      <w:r>
        <w:rPr>
          <w:rFonts w:ascii="Aptos" w:hAnsi="Aptos"/>
          <w:i/>
          <w:iCs/>
          <w:noProof/>
          <w:color w:val="156082" w:themeColor="accent1"/>
          <w:lang w:val="en-IN" w:eastAsia="en-IN"/>
          <w14:ligatures w14:val="standardContextual"/>
        </w:rPr>
        <w:drawing>
          <wp:inline distT="0" distB="0" distL="0" distR="0" wp14:anchorId="09E09E2C" wp14:editId="0920B7FC">
            <wp:extent cx="5731510" cy="1862455"/>
            <wp:effectExtent l="0" t="0" r="0" b="4445"/>
            <wp:docPr id="1628647032" name="Picture 10"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47032" name="Picture 10" descr="A map of the united states&#10;&#10;AI-generated content may be incorrect."/>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3A87D141" w14:textId="00F9DC32" w:rsidR="00207935" w:rsidRDefault="007918E9" w:rsidP="00207935">
      <w:pPr>
        <w:spacing w:before="160" w:after="80"/>
        <w:jc w:val="both"/>
        <w:rPr>
          <w:rFonts w:asciiTheme="minorHAnsi" w:hAnsiTheme="minorHAnsi"/>
          <w:i/>
        </w:rPr>
      </w:pPr>
      <w:r w:rsidRPr="00207935">
        <w:rPr>
          <w:rFonts w:asciiTheme="minorHAnsi" w:hAnsiTheme="minorHAnsi"/>
          <w:bCs/>
          <w:i/>
        </w:rPr>
        <w:t xml:space="preserve">Supplementary Figure </w:t>
      </w:r>
      <w:r w:rsidR="000921E4">
        <w:rPr>
          <w:rFonts w:asciiTheme="minorHAnsi" w:hAnsiTheme="minorHAnsi"/>
          <w:bCs/>
          <w:i/>
        </w:rPr>
        <w:t>11</w:t>
      </w:r>
      <w:r w:rsidR="004027C6" w:rsidRPr="00207935">
        <w:rPr>
          <w:rFonts w:asciiTheme="minorHAnsi" w:hAnsiTheme="minorHAnsi"/>
          <w:bCs/>
          <w:i/>
        </w:rPr>
        <w:t>.3</w:t>
      </w:r>
      <w:r w:rsidRPr="00207935">
        <w:rPr>
          <w:rFonts w:asciiTheme="minorHAnsi" w:hAnsiTheme="minorHAnsi"/>
          <w:i/>
        </w:rPr>
        <w:t xml:space="preserve">: A comparison of the significant areas of effect of </w:t>
      </w:r>
      <w:r w:rsidR="00EA5880" w:rsidRPr="00207935">
        <w:rPr>
          <w:rFonts w:asciiTheme="minorHAnsi" w:hAnsiTheme="minorHAnsi"/>
          <w:i/>
        </w:rPr>
        <w:t>the 1-year lagged Tropical North Atlantic (</w:t>
      </w:r>
      <w:r w:rsidRPr="00207935">
        <w:rPr>
          <w:rFonts w:asciiTheme="minorHAnsi" w:hAnsiTheme="minorHAnsi"/>
          <w:i/>
        </w:rPr>
        <w:t>TNA+1</w:t>
      </w:r>
      <w:r w:rsidR="00EA5880" w:rsidRPr="00207935">
        <w:rPr>
          <w:rFonts w:asciiTheme="minorHAnsi" w:hAnsiTheme="minorHAnsi"/>
          <w:i/>
        </w:rPr>
        <w:t>)</w:t>
      </w:r>
      <w:r w:rsidRPr="00207935">
        <w:rPr>
          <w:rFonts w:asciiTheme="minorHAnsi" w:hAnsiTheme="minorHAnsi"/>
          <w:i/>
        </w:rPr>
        <w:t xml:space="preserve"> in the recent and +2°C time periods, with the ratio of the overlapping significant areas of effect shown in the right-hand column.</w:t>
      </w:r>
    </w:p>
    <w:p w14:paraId="28D49DB6" w14:textId="0C8112DB" w:rsidR="007918E9" w:rsidRPr="00207935" w:rsidRDefault="00C71C2D" w:rsidP="00207935">
      <w:pPr>
        <w:spacing w:before="160" w:after="80"/>
        <w:jc w:val="both"/>
        <w:rPr>
          <w:rFonts w:asciiTheme="minorHAnsi" w:hAnsiTheme="minorHAnsi"/>
          <w:i/>
        </w:rPr>
      </w:pPr>
      <w:r>
        <w:rPr>
          <w:rFonts w:ascii="Aptos" w:hAnsi="Aptos"/>
          <w:i/>
          <w:iCs/>
          <w:noProof/>
          <w:color w:val="156082" w:themeColor="accent1"/>
          <w:lang w:val="en-IN" w:eastAsia="en-IN"/>
          <w14:ligatures w14:val="standardContextual"/>
        </w:rPr>
        <w:drawing>
          <wp:inline distT="0" distB="0" distL="0" distR="0" wp14:anchorId="53FD7C12" wp14:editId="3E8DA93D">
            <wp:extent cx="5731510" cy="1862455"/>
            <wp:effectExtent l="0" t="0" r="0" b="4445"/>
            <wp:docPr id="298099148" name="Picture 1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99148" name="Picture 11" descr="A map of the united states&#10;&#10;AI-generated content may be incorrect."/>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14DB6BD6" w14:textId="6879A60D" w:rsidR="007918E9" w:rsidRPr="00207935" w:rsidRDefault="007918E9" w:rsidP="00207935">
      <w:pPr>
        <w:spacing w:before="160" w:after="80"/>
        <w:jc w:val="both"/>
        <w:rPr>
          <w:rFonts w:asciiTheme="minorHAnsi" w:hAnsiTheme="minorHAnsi"/>
          <w:i/>
        </w:rPr>
      </w:pPr>
      <w:r w:rsidRPr="00207935">
        <w:rPr>
          <w:rFonts w:asciiTheme="minorHAnsi" w:hAnsiTheme="minorHAnsi"/>
          <w:bCs/>
          <w:i/>
        </w:rPr>
        <w:t xml:space="preserve">Supplementary Figure </w:t>
      </w:r>
      <w:r w:rsidR="000921E4">
        <w:rPr>
          <w:rFonts w:asciiTheme="minorHAnsi" w:hAnsiTheme="minorHAnsi"/>
          <w:bCs/>
          <w:i/>
        </w:rPr>
        <w:t>11</w:t>
      </w:r>
      <w:r w:rsidR="004027C6" w:rsidRPr="00207935">
        <w:rPr>
          <w:rFonts w:asciiTheme="minorHAnsi" w:hAnsiTheme="minorHAnsi"/>
          <w:bCs/>
          <w:i/>
        </w:rPr>
        <w:t>.4</w:t>
      </w:r>
      <w:r w:rsidRPr="00207935">
        <w:rPr>
          <w:rFonts w:asciiTheme="minorHAnsi" w:hAnsiTheme="minorHAnsi"/>
          <w:i/>
        </w:rPr>
        <w:t xml:space="preserve">: A comparison of the significant areas of effect of </w:t>
      </w:r>
      <w:r w:rsidR="00EA5880" w:rsidRPr="00207935">
        <w:rPr>
          <w:rFonts w:asciiTheme="minorHAnsi" w:hAnsiTheme="minorHAnsi"/>
          <w:i/>
        </w:rPr>
        <w:t>the Pacific/North American (</w:t>
      </w:r>
      <w:r w:rsidRPr="00207935">
        <w:rPr>
          <w:rFonts w:asciiTheme="minorHAnsi" w:hAnsiTheme="minorHAnsi"/>
          <w:i/>
        </w:rPr>
        <w:t>PNA</w:t>
      </w:r>
      <w:r w:rsidR="00EA5880" w:rsidRPr="00207935">
        <w:rPr>
          <w:rFonts w:asciiTheme="minorHAnsi" w:hAnsiTheme="minorHAnsi"/>
          <w:i/>
        </w:rPr>
        <w:t>)</w:t>
      </w:r>
      <w:r w:rsidRPr="00207935">
        <w:rPr>
          <w:rFonts w:asciiTheme="minorHAnsi" w:hAnsiTheme="minorHAnsi"/>
          <w:i/>
        </w:rPr>
        <w:t xml:space="preserve"> in the recent and +2°C time periods, with the ratio of the overlapping significant areas of effect shown in the right-hand column.</w:t>
      </w:r>
      <w:r w:rsidR="00207935">
        <w:rPr>
          <w:rFonts w:asciiTheme="minorHAnsi" w:hAnsiTheme="minorHAnsi"/>
          <w:i/>
        </w:rPr>
        <w:br w:type="page"/>
      </w:r>
    </w:p>
    <w:p w14:paraId="40C4B933" w14:textId="1DE429ED" w:rsidR="007918E9" w:rsidRPr="00A410DB" w:rsidRDefault="00C71C2D" w:rsidP="00192F9B">
      <w:pPr>
        <w:spacing w:before="160" w:after="80"/>
        <w:jc w:val="center"/>
        <w:rPr>
          <w:rFonts w:asciiTheme="minorHAnsi" w:hAnsiTheme="minorHAnsi"/>
          <w:iCs/>
        </w:rPr>
      </w:pPr>
      <w:r>
        <w:rPr>
          <w:rFonts w:ascii="Aptos" w:hAnsi="Aptos"/>
          <w:i/>
          <w:iCs/>
          <w:noProof/>
          <w:color w:val="156082" w:themeColor="accent1"/>
          <w:lang w:val="en-IN" w:eastAsia="en-IN"/>
          <w14:ligatures w14:val="standardContextual"/>
        </w:rPr>
        <w:drawing>
          <wp:inline distT="0" distB="0" distL="0" distR="0" wp14:anchorId="4B752159" wp14:editId="678D25C0">
            <wp:extent cx="5731510" cy="1862455"/>
            <wp:effectExtent l="0" t="0" r="0" b="4445"/>
            <wp:docPr id="804413862" name="Picture 12"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13862" name="Picture 12" descr="A map of the united states&#10;&#10;AI-generated content may be incorrect."/>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1842A63B" w14:textId="6E89C270" w:rsidR="007918E9" w:rsidRPr="00207935" w:rsidRDefault="007918E9" w:rsidP="00207935">
      <w:pPr>
        <w:spacing w:before="160" w:after="80"/>
        <w:jc w:val="both"/>
        <w:rPr>
          <w:rFonts w:asciiTheme="minorHAnsi" w:hAnsiTheme="minorHAnsi"/>
          <w:i/>
        </w:rPr>
      </w:pPr>
      <w:r w:rsidRPr="00207935">
        <w:rPr>
          <w:rFonts w:asciiTheme="minorHAnsi" w:hAnsiTheme="minorHAnsi"/>
          <w:bCs/>
          <w:i/>
        </w:rPr>
        <w:t xml:space="preserve">Supplementary Figure </w:t>
      </w:r>
      <w:r w:rsidR="000921E4">
        <w:rPr>
          <w:rFonts w:asciiTheme="minorHAnsi" w:hAnsiTheme="minorHAnsi"/>
          <w:bCs/>
          <w:i/>
        </w:rPr>
        <w:t>11</w:t>
      </w:r>
      <w:r w:rsidR="004027C6" w:rsidRPr="00207935">
        <w:rPr>
          <w:rFonts w:asciiTheme="minorHAnsi" w:hAnsiTheme="minorHAnsi"/>
          <w:bCs/>
          <w:i/>
        </w:rPr>
        <w:t>.5</w:t>
      </w:r>
      <w:r w:rsidRPr="00207935">
        <w:rPr>
          <w:rFonts w:asciiTheme="minorHAnsi" w:hAnsiTheme="minorHAnsi"/>
          <w:i/>
        </w:rPr>
        <w:t xml:space="preserve">: A comparison of the significant areas of effect of </w:t>
      </w:r>
      <w:r w:rsidR="00EA5880" w:rsidRPr="00207935">
        <w:rPr>
          <w:rFonts w:asciiTheme="minorHAnsi" w:hAnsiTheme="minorHAnsi"/>
          <w:i/>
        </w:rPr>
        <w:t>the 1-year lagged Pacific Decadal Oscillation (</w:t>
      </w:r>
      <w:r w:rsidRPr="00207935">
        <w:rPr>
          <w:rFonts w:asciiTheme="minorHAnsi" w:hAnsiTheme="minorHAnsi"/>
          <w:i/>
        </w:rPr>
        <w:t>PDO+1</w:t>
      </w:r>
      <w:r w:rsidR="00EA5880" w:rsidRPr="00207935">
        <w:rPr>
          <w:rFonts w:asciiTheme="minorHAnsi" w:hAnsiTheme="minorHAnsi"/>
          <w:i/>
        </w:rPr>
        <w:t>)</w:t>
      </w:r>
      <w:r w:rsidRPr="00207935">
        <w:rPr>
          <w:rFonts w:asciiTheme="minorHAnsi" w:hAnsiTheme="minorHAnsi"/>
          <w:i/>
        </w:rPr>
        <w:t xml:space="preserve"> in the recent and +2°C time periods, with the ratio of the overlapping significant areas of effect shown in the right-hand column.</w:t>
      </w:r>
    </w:p>
    <w:p w14:paraId="4FEFE978" w14:textId="35F543B7" w:rsidR="007918E9" w:rsidRPr="00A410DB" w:rsidRDefault="00C71C2D" w:rsidP="00192F9B">
      <w:pPr>
        <w:spacing w:before="160" w:after="80"/>
        <w:jc w:val="center"/>
        <w:rPr>
          <w:rFonts w:asciiTheme="minorHAnsi" w:hAnsiTheme="minorHAnsi"/>
          <w:iCs/>
        </w:rPr>
      </w:pPr>
      <w:r>
        <w:rPr>
          <w:rFonts w:ascii="Aptos" w:hAnsi="Aptos"/>
          <w:i/>
          <w:iCs/>
          <w:noProof/>
          <w:color w:val="156082" w:themeColor="accent1"/>
          <w:lang w:val="en-IN" w:eastAsia="en-IN"/>
          <w14:ligatures w14:val="standardContextual"/>
        </w:rPr>
        <w:drawing>
          <wp:inline distT="0" distB="0" distL="0" distR="0" wp14:anchorId="1AC630BB" wp14:editId="4048340D">
            <wp:extent cx="5731510" cy="1862455"/>
            <wp:effectExtent l="0" t="0" r="0" b="4445"/>
            <wp:docPr id="1524603136" name="Picture 13"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603136" name="Picture 13" descr="A map of the united states&#10;&#10;AI-generated content may be incorrect."/>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6FE6D6AE" w14:textId="46DEA0BE" w:rsidR="00207935" w:rsidRDefault="007918E9" w:rsidP="00207935">
      <w:pPr>
        <w:spacing w:before="160" w:after="80"/>
        <w:jc w:val="both"/>
        <w:rPr>
          <w:rFonts w:asciiTheme="minorHAnsi" w:hAnsiTheme="minorHAnsi"/>
          <w:i/>
        </w:rPr>
      </w:pPr>
      <w:r w:rsidRPr="00207935">
        <w:rPr>
          <w:rFonts w:asciiTheme="minorHAnsi" w:hAnsiTheme="minorHAnsi"/>
          <w:bCs/>
          <w:i/>
        </w:rPr>
        <w:t xml:space="preserve">Supplementary Figure </w:t>
      </w:r>
      <w:r w:rsidR="000921E4">
        <w:rPr>
          <w:rFonts w:asciiTheme="minorHAnsi" w:hAnsiTheme="minorHAnsi"/>
          <w:bCs/>
          <w:i/>
        </w:rPr>
        <w:t>11</w:t>
      </w:r>
      <w:r w:rsidR="004027C6" w:rsidRPr="00207935">
        <w:rPr>
          <w:rFonts w:asciiTheme="minorHAnsi" w:hAnsiTheme="minorHAnsi"/>
          <w:bCs/>
          <w:i/>
        </w:rPr>
        <w:t>.6</w:t>
      </w:r>
      <w:r w:rsidRPr="00207935">
        <w:rPr>
          <w:rFonts w:asciiTheme="minorHAnsi" w:hAnsiTheme="minorHAnsi"/>
          <w:i/>
        </w:rPr>
        <w:t xml:space="preserve">: A comparison of the significant areas of effect of </w:t>
      </w:r>
      <w:r w:rsidR="00EA5880" w:rsidRPr="00207935">
        <w:rPr>
          <w:rFonts w:asciiTheme="minorHAnsi" w:hAnsiTheme="minorHAnsi"/>
          <w:i/>
        </w:rPr>
        <w:t>the North Atlantic Oscillation (</w:t>
      </w:r>
      <w:r w:rsidRPr="00207935">
        <w:rPr>
          <w:rFonts w:asciiTheme="minorHAnsi" w:hAnsiTheme="minorHAnsi"/>
          <w:i/>
        </w:rPr>
        <w:t>NAO</w:t>
      </w:r>
      <w:r w:rsidR="00EA5880" w:rsidRPr="00207935">
        <w:rPr>
          <w:rFonts w:asciiTheme="minorHAnsi" w:hAnsiTheme="minorHAnsi"/>
          <w:i/>
        </w:rPr>
        <w:t>)</w:t>
      </w:r>
      <w:r w:rsidRPr="00207935">
        <w:rPr>
          <w:rFonts w:asciiTheme="minorHAnsi" w:hAnsiTheme="minorHAnsi"/>
          <w:i/>
        </w:rPr>
        <w:t xml:space="preserve"> in the recent and +2°C time periods, with the ratio of the overlapping significant areas of effect shown in the right-hand column.</w:t>
      </w:r>
    </w:p>
    <w:p w14:paraId="543EBCF6" w14:textId="65C9843E" w:rsidR="007918E9" w:rsidRPr="00A410DB" w:rsidRDefault="00C71C2D" w:rsidP="00192F9B">
      <w:pPr>
        <w:spacing w:before="160" w:after="80"/>
        <w:jc w:val="center"/>
        <w:rPr>
          <w:rFonts w:asciiTheme="minorHAnsi" w:hAnsiTheme="minorHAnsi"/>
          <w:iCs/>
        </w:rPr>
      </w:pPr>
      <w:r>
        <w:rPr>
          <w:rFonts w:ascii="Aptos" w:hAnsi="Aptos"/>
          <w:i/>
          <w:iCs/>
          <w:noProof/>
          <w:color w:val="156082" w:themeColor="accent1"/>
          <w:lang w:val="en-IN" w:eastAsia="en-IN"/>
          <w14:ligatures w14:val="standardContextual"/>
        </w:rPr>
        <w:drawing>
          <wp:inline distT="0" distB="0" distL="0" distR="0" wp14:anchorId="51FEF406" wp14:editId="3CE45B67">
            <wp:extent cx="5731510" cy="1862455"/>
            <wp:effectExtent l="0" t="0" r="0" b="4445"/>
            <wp:docPr id="1118288381" name="Picture 14"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288381" name="Picture 14" descr="A map of the united states&#10;&#10;AI-generated content may be incorrect."/>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78736922" w14:textId="51842565" w:rsidR="00013C12" w:rsidRDefault="007918E9" w:rsidP="00207935">
      <w:pPr>
        <w:spacing w:before="160" w:after="80"/>
        <w:jc w:val="both"/>
        <w:rPr>
          <w:rFonts w:asciiTheme="minorHAnsi" w:hAnsiTheme="minorHAnsi"/>
          <w:i/>
        </w:rPr>
      </w:pPr>
      <w:r w:rsidRPr="00207935">
        <w:rPr>
          <w:rFonts w:asciiTheme="minorHAnsi" w:hAnsiTheme="minorHAnsi"/>
          <w:bCs/>
          <w:i/>
        </w:rPr>
        <w:t xml:space="preserve">Supplementary Figure </w:t>
      </w:r>
      <w:r w:rsidR="000921E4">
        <w:rPr>
          <w:rFonts w:asciiTheme="minorHAnsi" w:hAnsiTheme="minorHAnsi"/>
          <w:bCs/>
          <w:i/>
        </w:rPr>
        <w:t>11</w:t>
      </w:r>
      <w:r w:rsidR="004027C6" w:rsidRPr="00207935">
        <w:rPr>
          <w:rFonts w:asciiTheme="minorHAnsi" w:hAnsiTheme="minorHAnsi"/>
          <w:bCs/>
          <w:i/>
        </w:rPr>
        <w:t>.7</w:t>
      </w:r>
      <w:r w:rsidRPr="00207935">
        <w:rPr>
          <w:rFonts w:asciiTheme="minorHAnsi" w:hAnsiTheme="minorHAnsi"/>
          <w:i/>
        </w:rPr>
        <w:t xml:space="preserve">: A comparison of the significant areas of effect of </w:t>
      </w:r>
      <w:r w:rsidR="00671647" w:rsidRPr="00207935">
        <w:rPr>
          <w:rFonts w:asciiTheme="minorHAnsi" w:hAnsiTheme="minorHAnsi"/>
          <w:i/>
        </w:rPr>
        <w:t>the Indian Ocean Dipole (</w:t>
      </w:r>
      <w:r w:rsidRPr="00207935">
        <w:rPr>
          <w:rFonts w:asciiTheme="minorHAnsi" w:hAnsiTheme="minorHAnsi"/>
          <w:i/>
        </w:rPr>
        <w:t>IOD</w:t>
      </w:r>
      <w:r w:rsidR="00671647" w:rsidRPr="00207935">
        <w:rPr>
          <w:rFonts w:asciiTheme="minorHAnsi" w:hAnsiTheme="minorHAnsi"/>
          <w:i/>
        </w:rPr>
        <w:t>)</w:t>
      </w:r>
      <w:r w:rsidRPr="00207935">
        <w:rPr>
          <w:rFonts w:asciiTheme="minorHAnsi" w:hAnsiTheme="minorHAnsi"/>
          <w:i/>
        </w:rPr>
        <w:t xml:space="preserve"> in the recent and +2°C time periods, with the ratio of the overlapping significant areas of effect shown in the right-hand column.</w:t>
      </w:r>
    </w:p>
    <w:p w14:paraId="74582BF6" w14:textId="77777777" w:rsidR="00013C12" w:rsidRDefault="00013C12">
      <w:pPr>
        <w:spacing w:after="160" w:line="279" w:lineRule="auto"/>
        <w:rPr>
          <w:rFonts w:asciiTheme="minorHAnsi" w:hAnsiTheme="minorHAnsi"/>
          <w:i/>
        </w:rPr>
      </w:pPr>
      <w:r>
        <w:rPr>
          <w:rFonts w:asciiTheme="minorHAnsi" w:hAnsiTheme="minorHAnsi"/>
          <w:i/>
        </w:rPr>
        <w:br w:type="page"/>
      </w:r>
    </w:p>
    <w:p w14:paraId="7E952785" w14:textId="559B82CF" w:rsidR="007918E9" w:rsidRPr="00A410DB" w:rsidRDefault="00C71C2D" w:rsidP="00192F9B">
      <w:pPr>
        <w:spacing w:before="160" w:after="80"/>
        <w:jc w:val="center"/>
        <w:rPr>
          <w:rFonts w:asciiTheme="minorHAnsi" w:hAnsiTheme="minorHAnsi"/>
          <w:iCs/>
        </w:rPr>
      </w:pPr>
      <w:r>
        <w:rPr>
          <w:rFonts w:ascii="Aptos" w:hAnsi="Aptos"/>
          <w:i/>
          <w:iCs/>
          <w:noProof/>
          <w:color w:val="156082" w:themeColor="accent1"/>
          <w:lang w:val="en-IN" w:eastAsia="en-IN"/>
          <w14:ligatures w14:val="standardContextual"/>
        </w:rPr>
        <w:drawing>
          <wp:inline distT="0" distB="0" distL="0" distR="0" wp14:anchorId="036ACFBF" wp14:editId="33B0869D">
            <wp:extent cx="5731510" cy="1862455"/>
            <wp:effectExtent l="0" t="0" r="0" b="4445"/>
            <wp:docPr id="1219352012" name="Picture 15"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52012" name="Picture 15" descr="A map of the united states&#10;&#10;AI-generated content may be incorrect."/>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34A09AD5" w14:textId="0C7E8430" w:rsidR="007918E9" w:rsidRPr="00207935" w:rsidRDefault="007918E9" w:rsidP="00207935">
      <w:pPr>
        <w:spacing w:before="160" w:after="80"/>
        <w:jc w:val="both"/>
        <w:rPr>
          <w:rFonts w:asciiTheme="minorHAnsi" w:hAnsiTheme="minorHAnsi"/>
          <w:i/>
        </w:rPr>
      </w:pPr>
      <w:r w:rsidRPr="00207935">
        <w:rPr>
          <w:rFonts w:asciiTheme="minorHAnsi" w:hAnsiTheme="minorHAnsi"/>
          <w:bCs/>
          <w:i/>
        </w:rPr>
        <w:t xml:space="preserve">Supplementary Figure </w:t>
      </w:r>
      <w:r w:rsidR="000921E4">
        <w:rPr>
          <w:rFonts w:asciiTheme="minorHAnsi" w:hAnsiTheme="minorHAnsi"/>
          <w:bCs/>
          <w:i/>
        </w:rPr>
        <w:t>11</w:t>
      </w:r>
      <w:r w:rsidR="004027C6" w:rsidRPr="00207935">
        <w:rPr>
          <w:rFonts w:asciiTheme="minorHAnsi" w:hAnsiTheme="minorHAnsi"/>
          <w:bCs/>
          <w:i/>
        </w:rPr>
        <w:t>.8</w:t>
      </w:r>
      <w:r w:rsidRPr="00207935">
        <w:rPr>
          <w:rFonts w:asciiTheme="minorHAnsi" w:hAnsiTheme="minorHAnsi"/>
          <w:i/>
        </w:rPr>
        <w:t xml:space="preserve">: A comparison of the significant areas of effect of </w:t>
      </w:r>
      <w:r w:rsidR="00E30466" w:rsidRPr="00207935">
        <w:rPr>
          <w:rFonts w:asciiTheme="minorHAnsi" w:hAnsiTheme="minorHAnsi"/>
          <w:i/>
        </w:rPr>
        <w:t>El Niño Southern Oscillation (</w:t>
      </w:r>
      <w:r w:rsidRPr="00207935">
        <w:rPr>
          <w:rFonts w:asciiTheme="minorHAnsi" w:hAnsiTheme="minorHAnsi"/>
          <w:i/>
        </w:rPr>
        <w:t>ENSO</w:t>
      </w:r>
      <w:r w:rsidR="00E30466" w:rsidRPr="00207935">
        <w:rPr>
          <w:rFonts w:asciiTheme="minorHAnsi" w:hAnsiTheme="minorHAnsi"/>
          <w:i/>
        </w:rPr>
        <w:t>)</w:t>
      </w:r>
      <w:r w:rsidRPr="00207935">
        <w:rPr>
          <w:rFonts w:asciiTheme="minorHAnsi" w:hAnsiTheme="minorHAnsi"/>
          <w:i/>
        </w:rPr>
        <w:t xml:space="preserve"> in the recent and +2°C time periods, with the ratio of the overlapping significant areas of effect shown in the right-hand column.</w:t>
      </w:r>
    </w:p>
    <w:p w14:paraId="6FDD8D85" w14:textId="6CA1D47D" w:rsidR="007918E9" w:rsidRPr="00A410DB" w:rsidRDefault="00C71C2D" w:rsidP="00192F9B">
      <w:pPr>
        <w:spacing w:before="160" w:after="80"/>
        <w:jc w:val="center"/>
        <w:rPr>
          <w:rFonts w:asciiTheme="minorHAnsi" w:hAnsiTheme="minorHAnsi"/>
          <w:iCs/>
        </w:rPr>
      </w:pPr>
      <w:r>
        <w:rPr>
          <w:rFonts w:ascii="Aptos" w:hAnsi="Aptos"/>
          <w:i/>
          <w:iCs/>
          <w:noProof/>
          <w:color w:val="156082" w:themeColor="accent1"/>
          <w:lang w:val="en-IN" w:eastAsia="en-IN"/>
          <w14:ligatures w14:val="standardContextual"/>
        </w:rPr>
        <w:drawing>
          <wp:inline distT="0" distB="0" distL="0" distR="0" wp14:anchorId="683CF602" wp14:editId="05B6A05E">
            <wp:extent cx="5731510" cy="1862455"/>
            <wp:effectExtent l="0" t="0" r="0" b="4445"/>
            <wp:docPr id="1593453432" name="Picture 16" descr="A map of the united states with different colors of the same col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453432" name="Picture 16" descr="A map of the united states with different colors of the same color&#10;&#10;AI-generated content may be incorrect."/>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455FECC2" w14:textId="1559B6D4" w:rsidR="001701B5" w:rsidRDefault="007918E9" w:rsidP="001701B5">
      <w:pPr>
        <w:spacing w:before="160" w:after="80"/>
        <w:jc w:val="both"/>
        <w:rPr>
          <w:rFonts w:asciiTheme="minorHAnsi" w:hAnsiTheme="minorHAnsi"/>
          <w:i/>
        </w:rPr>
      </w:pPr>
      <w:r w:rsidRPr="00207935">
        <w:rPr>
          <w:rFonts w:asciiTheme="minorHAnsi" w:hAnsiTheme="minorHAnsi"/>
          <w:bCs/>
          <w:i/>
        </w:rPr>
        <w:t xml:space="preserve">Supplementary Figure </w:t>
      </w:r>
      <w:r w:rsidR="000921E4">
        <w:rPr>
          <w:rFonts w:asciiTheme="minorHAnsi" w:hAnsiTheme="minorHAnsi"/>
          <w:bCs/>
          <w:i/>
        </w:rPr>
        <w:t>11</w:t>
      </w:r>
      <w:r w:rsidR="004027C6" w:rsidRPr="00207935">
        <w:rPr>
          <w:rFonts w:asciiTheme="minorHAnsi" w:hAnsiTheme="minorHAnsi"/>
          <w:bCs/>
          <w:i/>
        </w:rPr>
        <w:t>.9</w:t>
      </w:r>
      <w:r w:rsidRPr="00207935">
        <w:rPr>
          <w:rFonts w:asciiTheme="minorHAnsi" w:hAnsiTheme="minorHAnsi"/>
          <w:i/>
        </w:rPr>
        <w:t xml:space="preserve">: A comparison of the significant areas of effect of </w:t>
      </w:r>
      <w:r w:rsidR="004948C6" w:rsidRPr="00207935">
        <w:rPr>
          <w:rFonts w:asciiTheme="minorHAnsi" w:hAnsiTheme="minorHAnsi"/>
          <w:i/>
        </w:rPr>
        <w:t>the Arctic Oscillation (</w:t>
      </w:r>
      <w:r w:rsidRPr="00207935">
        <w:rPr>
          <w:rFonts w:asciiTheme="minorHAnsi" w:hAnsiTheme="minorHAnsi"/>
          <w:i/>
        </w:rPr>
        <w:t>AO</w:t>
      </w:r>
      <w:r w:rsidR="004948C6" w:rsidRPr="00207935">
        <w:rPr>
          <w:rFonts w:asciiTheme="minorHAnsi" w:hAnsiTheme="minorHAnsi"/>
          <w:i/>
        </w:rPr>
        <w:t>)</w:t>
      </w:r>
      <w:r w:rsidRPr="00207935">
        <w:rPr>
          <w:rFonts w:asciiTheme="minorHAnsi" w:hAnsiTheme="minorHAnsi"/>
          <w:i/>
        </w:rPr>
        <w:t xml:space="preserve"> in the recent and +2°C time periods, with the ratio of the overlapping significant areas of effect shown in the right-hand column.</w:t>
      </w:r>
      <w:r w:rsidR="001701B5">
        <w:rPr>
          <w:rFonts w:asciiTheme="minorHAnsi" w:hAnsiTheme="minorHAnsi"/>
          <w:i/>
        </w:rPr>
        <w:br w:type="page"/>
      </w:r>
    </w:p>
    <w:p w14:paraId="28BFC3A0" w14:textId="77777777" w:rsidR="003F4F62" w:rsidRDefault="003F4F62" w:rsidP="003F4F62">
      <w:pPr>
        <w:spacing w:after="160" w:line="279" w:lineRule="auto"/>
        <w:jc w:val="center"/>
        <w:rPr>
          <w:rFonts w:asciiTheme="minorHAnsi" w:hAnsiTheme="minorHAnsi"/>
          <w:bCs/>
          <w:iCs/>
          <w:color w:val="000000" w:themeColor="text1"/>
        </w:rPr>
      </w:pPr>
      <w:r>
        <w:rPr>
          <w:noProof/>
          <w:lang w:val="en-IN" w:eastAsia="en-IN"/>
        </w:rPr>
        <w:drawing>
          <wp:inline distT="0" distB="0" distL="0" distR="0" wp14:anchorId="7B019334" wp14:editId="06793552">
            <wp:extent cx="5061098" cy="1391157"/>
            <wp:effectExtent l="0" t="0" r="0" b="6350"/>
            <wp:docPr id="280790511" name="Picture 1" descr="A map of the united states with a temperature sca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790511" name="Picture 1" descr="A map of the united states with a temperature scale&#10;&#10;AI-generated content may be incorrec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94951" cy="1400462"/>
                    </a:xfrm>
                    <a:prstGeom prst="rect">
                      <a:avLst/>
                    </a:prstGeom>
                    <a:noFill/>
                    <a:ln>
                      <a:noFill/>
                    </a:ln>
                  </pic:spPr>
                </pic:pic>
              </a:graphicData>
            </a:graphic>
          </wp:inline>
        </w:drawing>
      </w:r>
    </w:p>
    <w:p w14:paraId="66938F21" w14:textId="2FF3157F" w:rsidR="00A07B57" w:rsidRPr="0049536F" w:rsidRDefault="003F4F62" w:rsidP="0049536F">
      <w:pPr>
        <w:spacing w:after="160" w:line="279" w:lineRule="auto"/>
        <w:jc w:val="both"/>
        <w:rPr>
          <w:rFonts w:asciiTheme="minorHAnsi" w:hAnsiTheme="minorHAnsi"/>
          <w:bCs/>
          <w:i/>
          <w:color w:val="000000" w:themeColor="text1"/>
        </w:rPr>
      </w:pPr>
      <w:r w:rsidRPr="00FD434A">
        <w:rPr>
          <w:rFonts w:asciiTheme="minorHAnsi" w:hAnsiTheme="minorHAnsi"/>
          <w:bCs/>
          <w:i/>
          <w:color w:val="000000" w:themeColor="text1"/>
        </w:rPr>
        <w:t xml:space="preserve">Supplementary Figure </w:t>
      </w:r>
      <w:r w:rsidR="000921E4" w:rsidRPr="00FD434A">
        <w:rPr>
          <w:rFonts w:asciiTheme="minorHAnsi" w:hAnsiTheme="minorHAnsi"/>
          <w:bCs/>
          <w:i/>
          <w:color w:val="000000" w:themeColor="text1"/>
        </w:rPr>
        <w:t>11</w:t>
      </w:r>
      <w:r w:rsidRPr="00FD434A">
        <w:rPr>
          <w:rFonts w:asciiTheme="minorHAnsi" w:hAnsiTheme="minorHAnsi"/>
          <w:bCs/>
          <w:i/>
          <w:color w:val="000000" w:themeColor="text1"/>
        </w:rPr>
        <w:t>.10: The magnitude of internal variability in annual fire occurrences due to a climate mode state (La Niña) relative to the mean number of fires in the recent and +2°C warmer climates in comparison to the difference between the recent and future climates. Left: the difference between the average annual number of wildfires in La Niña years and across all years in the recent (2000-2009) climate. Centre: the difference between the average annual number of wildfires in La Niña years and across all years in the +2°C warmer climate. Right: the difference between the average annual number of wildfires across all years in the recent (2000-2009) and future (+2°C warmer) climates.</w:t>
      </w:r>
      <w:r w:rsidR="00A07B57">
        <w:rPr>
          <w:rFonts w:asciiTheme="minorHAnsi" w:hAnsiTheme="minorHAnsi"/>
          <w:i/>
        </w:rPr>
        <w:br w:type="page"/>
      </w:r>
    </w:p>
    <w:p w14:paraId="1C10C4C7" w14:textId="46FC714E" w:rsidR="00D45EF6" w:rsidRDefault="002E3254" w:rsidP="00D40E8A">
      <w:pPr>
        <w:pStyle w:val="Heading3"/>
      </w:pPr>
      <w:r>
        <w:rPr>
          <w:rFonts w:asciiTheme="minorHAnsi" w:hAnsiTheme="minorHAnsi"/>
          <w:b/>
          <w:iCs/>
          <w:color w:val="000000" w:themeColor="text1"/>
        </w:rPr>
        <w:t xml:space="preserve">Supplementary </w:t>
      </w:r>
      <w:r w:rsidR="00B95580">
        <w:rPr>
          <w:rFonts w:asciiTheme="minorHAnsi" w:hAnsiTheme="minorHAnsi"/>
          <w:b/>
          <w:iCs/>
          <w:color w:val="000000" w:themeColor="text1"/>
        </w:rPr>
        <w:t>References</w:t>
      </w:r>
    </w:p>
    <w:p w14:paraId="70A6485F" w14:textId="20301683"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Ascoli D, Hacket-Pain A, LaMontagne JM, </w:t>
      </w:r>
      <w:proofErr w:type="spellStart"/>
      <w:r w:rsidRPr="00D45EF6">
        <w:rPr>
          <w:rFonts w:asciiTheme="minorHAnsi" w:hAnsiTheme="minorHAnsi"/>
          <w:iCs/>
        </w:rPr>
        <w:t>Cardil</w:t>
      </w:r>
      <w:proofErr w:type="spellEnd"/>
      <w:r w:rsidRPr="00D45EF6">
        <w:rPr>
          <w:rFonts w:asciiTheme="minorHAnsi" w:hAnsiTheme="minorHAnsi"/>
          <w:iCs/>
        </w:rPr>
        <w:t xml:space="preserve"> A, </w:t>
      </w:r>
      <w:proofErr w:type="spellStart"/>
      <w:r w:rsidRPr="00D45EF6">
        <w:rPr>
          <w:rFonts w:asciiTheme="minorHAnsi" w:hAnsiTheme="minorHAnsi"/>
          <w:iCs/>
        </w:rPr>
        <w:t>Conedera</w:t>
      </w:r>
      <w:proofErr w:type="spellEnd"/>
      <w:r w:rsidRPr="00D45EF6">
        <w:rPr>
          <w:rFonts w:asciiTheme="minorHAnsi" w:hAnsiTheme="minorHAnsi"/>
          <w:iCs/>
        </w:rPr>
        <w:t xml:space="preserve"> M, </w:t>
      </w:r>
      <w:proofErr w:type="spellStart"/>
      <w:r w:rsidRPr="00D45EF6">
        <w:rPr>
          <w:rFonts w:asciiTheme="minorHAnsi" w:hAnsiTheme="minorHAnsi"/>
          <w:iCs/>
        </w:rPr>
        <w:t>Maringer</w:t>
      </w:r>
      <w:proofErr w:type="spellEnd"/>
      <w:r w:rsidRPr="00D45EF6">
        <w:rPr>
          <w:rFonts w:asciiTheme="minorHAnsi" w:hAnsiTheme="minorHAnsi"/>
          <w:iCs/>
        </w:rPr>
        <w:t xml:space="preserve"> J, Motta R, Pearse IS, Vacchiano G (2020) Climate teleconnections synchronize Picea glauca masting and fire disturbance: evidence for a fire-related form of environmental pre- diction. J. Ecol. 108:1186–1198. </w:t>
      </w:r>
      <w:hyperlink r:id="rId69" w:history="1">
        <w:r w:rsidR="00FC4B8D" w:rsidRPr="00831F77">
          <w:rPr>
            <w:rStyle w:val="Hyperlink"/>
            <w:rFonts w:asciiTheme="minorHAnsi" w:hAnsiTheme="minorHAnsi"/>
            <w:iCs/>
          </w:rPr>
          <w:t>https://doi.org/10.1111/1365-2745.13308</w:t>
        </w:r>
      </w:hyperlink>
      <w:r w:rsidR="00FC4B8D">
        <w:rPr>
          <w:rFonts w:asciiTheme="minorHAnsi" w:hAnsiTheme="minorHAnsi"/>
          <w:iCs/>
        </w:rPr>
        <w:t xml:space="preserve"> </w:t>
      </w:r>
      <w:r w:rsidRPr="00D45EF6">
        <w:rPr>
          <w:rFonts w:asciiTheme="minorHAnsi" w:hAnsiTheme="minorHAnsi"/>
          <w:iCs/>
        </w:rPr>
        <w:t xml:space="preserve"> </w:t>
      </w:r>
    </w:p>
    <w:p w14:paraId="36335D72" w14:textId="6FDC6100"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Ault T, </w:t>
      </w:r>
      <w:proofErr w:type="spellStart"/>
      <w:r w:rsidRPr="00D45EF6">
        <w:rPr>
          <w:rFonts w:asciiTheme="minorHAnsi" w:hAnsiTheme="minorHAnsi"/>
          <w:iCs/>
        </w:rPr>
        <w:t>Macalady</w:t>
      </w:r>
      <w:proofErr w:type="spellEnd"/>
      <w:r w:rsidRPr="00D45EF6">
        <w:rPr>
          <w:rFonts w:asciiTheme="minorHAnsi" w:hAnsiTheme="minorHAnsi"/>
          <w:iCs/>
        </w:rPr>
        <w:t xml:space="preserve"> A, Pederson G, Betancourt J, Schwartz M (2011) Northern hemisphere modes of variability and the timing of spring in western North America. J. Clim. 24:4003–4014. </w:t>
      </w:r>
      <w:hyperlink r:id="rId70" w:history="1">
        <w:r w:rsidR="00FC4B8D" w:rsidRPr="00831F77">
          <w:rPr>
            <w:rStyle w:val="Hyperlink"/>
            <w:rFonts w:asciiTheme="minorHAnsi" w:hAnsiTheme="minorHAnsi"/>
            <w:iCs/>
          </w:rPr>
          <w:t>https://doi.org/10.1175/2011JCLI4069.1</w:t>
        </w:r>
      </w:hyperlink>
      <w:r w:rsidR="00FC4B8D">
        <w:rPr>
          <w:rFonts w:asciiTheme="minorHAnsi" w:hAnsiTheme="minorHAnsi"/>
          <w:iCs/>
        </w:rPr>
        <w:t xml:space="preserve"> </w:t>
      </w:r>
      <w:r w:rsidRPr="00D45EF6">
        <w:rPr>
          <w:rFonts w:asciiTheme="minorHAnsi" w:hAnsiTheme="minorHAnsi"/>
          <w:iCs/>
        </w:rPr>
        <w:t xml:space="preserve"> </w:t>
      </w:r>
    </w:p>
    <w:p w14:paraId="6B94BEB2" w14:textId="74822CCA"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Barbero R, Abatzoglou JT, Brown TJ (2015) Seasonal reversal of the influence of El Niño–Southern Oscillation on very large wildfire occurrence in the interior northwestern United States. Geophys. Res. Lett. 42:3538–3545. </w:t>
      </w:r>
      <w:hyperlink r:id="rId71" w:history="1">
        <w:r w:rsidR="00FC4B8D" w:rsidRPr="00831F77">
          <w:rPr>
            <w:rStyle w:val="Hyperlink"/>
            <w:rFonts w:asciiTheme="minorHAnsi" w:hAnsiTheme="minorHAnsi"/>
            <w:iCs/>
          </w:rPr>
          <w:t>https://doi.org/10.1002/2015GL063428</w:t>
        </w:r>
      </w:hyperlink>
      <w:r w:rsidR="00FC4B8D">
        <w:rPr>
          <w:rFonts w:asciiTheme="minorHAnsi" w:hAnsiTheme="minorHAnsi"/>
          <w:iCs/>
        </w:rPr>
        <w:t xml:space="preserve"> </w:t>
      </w:r>
      <w:r w:rsidRPr="00D45EF6">
        <w:rPr>
          <w:rFonts w:asciiTheme="minorHAnsi" w:hAnsiTheme="minorHAnsi"/>
          <w:iCs/>
        </w:rPr>
        <w:t xml:space="preserve"> </w:t>
      </w:r>
    </w:p>
    <w:p w14:paraId="44649C2A" w14:textId="40FD41E3"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Cardil A, Rodrigues M, Tapia M, Barbero R, </w:t>
      </w:r>
      <w:proofErr w:type="spellStart"/>
      <w:r w:rsidRPr="00D45EF6">
        <w:rPr>
          <w:rFonts w:asciiTheme="minorHAnsi" w:hAnsiTheme="minorHAnsi"/>
          <w:iCs/>
        </w:rPr>
        <w:t>Ramírez</w:t>
      </w:r>
      <w:proofErr w:type="spellEnd"/>
      <w:r w:rsidRPr="00D45EF6">
        <w:rPr>
          <w:rFonts w:asciiTheme="minorHAnsi" w:hAnsiTheme="minorHAnsi"/>
          <w:iCs/>
        </w:rPr>
        <w:t xml:space="preserve"> J, </w:t>
      </w:r>
      <w:proofErr w:type="spellStart"/>
      <w:r w:rsidRPr="00D45EF6">
        <w:rPr>
          <w:rFonts w:asciiTheme="minorHAnsi" w:hAnsiTheme="minorHAnsi"/>
          <w:iCs/>
        </w:rPr>
        <w:t>Stoof</w:t>
      </w:r>
      <w:proofErr w:type="spellEnd"/>
      <w:r w:rsidRPr="00D45EF6">
        <w:rPr>
          <w:rFonts w:asciiTheme="minorHAnsi" w:hAnsiTheme="minorHAnsi"/>
          <w:iCs/>
        </w:rPr>
        <w:t xml:space="preserve"> CR, Silva CA, Mohan M, de-Miguel S (2023) Climate teleconnections modulate global burned area. Nat Commun. 14:427. </w:t>
      </w:r>
      <w:hyperlink r:id="rId72" w:history="1">
        <w:r w:rsidR="00FC4B8D" w:rsidRPr="00831F77">
          <w:rPr>
            <w:rStyle w:val="Hyperlink"/>
            <w:rFonts w:asciiTheme="minorHAnsi" w:hAnsiTheme="minorHAnsi"/>
            <w:iCs/>
          </w:rPr>
          <w:t>https://doi.org/10.1038/s41467-023-36052-8</w:t>
        </w:r>
      </w:hyperlink>
      <w:r w:rsidR="00FC4B8D">
        <w:rPr>
          <w:rFonts w:asciiTheme="minorHAnsi" w:hAnsiTheme="minorHAnsi"/>
          <w:iCs/>
        </w:rPr>
        <w:t xml:space="preserve"> </w:t>
      </w:r>
      <w:r w:rsidRPr="00D45EF6">
        <w:rPr>
          <w:rFonts w:asciiTheme="minorHAnsi" w:hAnsiTheme="minorHAnsi"/>
          <w:iCs/>
        </w:rPr>
        <w:t xml:space="preserve">   </w:t>
      </w:r>
    </w:p>
    <w:p w14:paraId="62C7C781" w14:textId="4ED568B9" w:rsidR="00D45EF6" w:rsidRDefault="00D45EF6" w:rsidP="00192F9B">
      <w:pPr>
        <w:spacing w:before="160" w:after="80"/>
        <w:rPr>
          <w:rFonts w:asciiTheme="minorHAnsi" w:hAnsiTheme="minorHAnsi"/>
          <w:iCs/>
        </w:rPr>
      </w:pPr>
      <w:r w:rsidRPr="00D45EF6">
        <w:rPr>
          <w:rFonts w:asciiTheme="minorHAnsi" w:hAnsiTheme="minorHAnsi"/>
          <w:iCs/>
        </w:rPr>
        <w:t xml:space="preserve">Cardil A, Rodrigues M, Ramirez J, de-Miguel S, Silva CA, Mariani M, Ascoli D (2021) Coupled effects of climate teleconnections on drought, Santa Ana winds and wildfires in southern California, Sci. Tot. Env. 765:142788. </w:t>
      </w:r>
      <w:hyperlink r:id="rId73" w:history="1">
        <w:r w:rsidR="00FC4B8D" w:rsidRPr="00831F77">
          <w:rPr>
            <w:rStyle w:val="Hyperlink"/>
            <w:rFonts w:asciiTheme="minorHAnsi" w:hAnsiTheme="minorHAnsi"/>
            <w:iCs/>
          </w:rPr>
          <w:t>https://doi.org/10.1016/j.scitotenv.2020.142788</w:t>
        </w:r>
      </w:hyperlink>
      <w:r w:rsidR="00FC4B8D">
        <w:rPr>
          <w:rFonts w:asciiTheme="minorHAnsi" w:hAnsiTheme="minorHAnsi"/>
          <w:iCs/>
        </w:rPr>
        <w:t xml:space="preserve"> </w:t>
      </w:r>
      <w:r w:rsidRPr="00D45EF6">
        <w:rPr>
          <w:rFonts w:asciiTheme="minorHAnsi" w:hAnsiTheme="minorHAnsi"/>
          <w:iCs/>
        </w:rPr>
        <w:t xml:space="preserve">  </w:t>
      </w:r>
    </w:p>
    <w:p w14:paraId="017271D4" w14:textId="0286B229" w:rsidR="008C69FB" w:rsidRPr="00D45EF6" w:rsidRDefault="008C69FB" w:rsidP="00192F9B">
      <w:pPr>
        <w:spacing w:before="160" w:after="80"/>
        <w:rPr>
          <w:rFonts w:asciiTheme="minorHAnsi" w:hAnsiTheme="minorHAnsi"/>
          <w:iCs/>
        </w:rPr>
      </w:pPr>
      <w:r w:rsidRPr="00A943E5">
        <w:rPr>
          <w:rFonts w:asciiTheme="minorHAnsi" w:hAnsiTheme="minorHAnsi"/>
          <w:iCs/>
        </w:rPr>
        <w:t xml:space="preserve">Dai A </w:t>
      </w:r>
      <w:r>
        <w:rPr>
          <w:rFonts w:asciiTheme="minorHAnsi" w:hAnsiTheme="minorHAnsi"/>
          <w:iCs/>
        </w:rPr>
        <w:t>(</w:t>
      </w:r>
      <w:r w:rsidRPr="00A943E5">
        <w:rPr>
          <w:rFonts w:asciiTheme="minorHAnsi" w:hAnsiTheme="minorHAnsi"/>
          <w:iCs/>
        </w:rPr>
        <w:t>2013</w:t>
      </w:r>
      <w:r>
        <w:rPr>
          <w:rFonts w:asciiTheme="minorHAnsi" w:hAnsiTheme="minorHAnsi"/>
          <w:iCs/>
        </w:rPr>
        <w:t>)</w:t>
      </w:r>
      <w:r w:rsidRPr="00A943E5">
        <w:rPr>
          <w:rFonts w:asciiTheme="minorHAnsi" w:hAnsiTheme="minorHAnsi"/>
          <w:iCs/>
        </w:rPr>
        <w:t xml:space="preserve"> The influence of the inter-decadal Pacific oscillation on US precipitation during 1923–2010. </w:t>
      </w:r>
      <w:r>
        <w:rPr>
          <w:rFonts w:asciiTheme="minorHAnsi" w:hAnsiTheme="minorHAnsi"/>
          <w:iCs/>
        </w:rPr>
        <w:t>Clim. Dyn.</w:t>
      </w:r>
      <w:r w:rsidRPr="00A943E5">
        <w:rPr>
          <w:rFonts w:asciiTheme="minorHAnsi" w:hAnsiTheme="minorHAnsi"/>
          <w:iCs/>
        </w:rPr>
        <w:t xml:space="preserve"> 41(3)</w:t>
      </w:r>
      <w:r>
        <w:rPr>
          <w:rFonts w:asciiTheme="minorHAnsi" w:hAnsiTheme="minorHAnsi"/>
          <w:iCs/>
        </w:rPr>
        <w:t>:</w:t>
      </w:r>
      <w:r w:rsidRPr="00A943E5">
        <w:rPr>
          <w:rFonts w:asciiTheme="minorHAnsi" w:hAnsiTheme="minorHAnsi"/>
          <w:iCs/>
        </w:rPr>
        <w:t>633-646.</w:t>
      </w:r>
      <w:r>
        <w:rPr>
          <w:rFonts w:asciiTheme="minorHAnsi" w:hAnsiTheme="minorHAnsi"/>
          <w:iCs/>
        </w:rPr>
        <w:t xml:space="preserve"> </w:t>
      </w:r>
      <w:hyperlink r:id="rId74" w:history="1">
        <w:r w:rsidRPr="004B2A77">
          <w:rPr>
            <w:rStyle w:val="Hyperlink"/>
            <w:rFonts w:asciiTheme="minorHAnsi" w:hAnsiTheme="minorHAnsi"/>
            <w:iCs/>
          </w:rPr>
          <w:t>https://doi.org/10.1007/s00382-012-1446-5</w:t>
        </w:r>
      </w:hyperlink>
      <w:r>
        <w:rPr>
          <w:rFonts w:asciiTheme="minorHAnsi" w:hAnsiTheme="minorHAnsi"/>
          <w:iCs/>
        </w:rPr>
        <w:t xml:space="preserve"> </w:t>
      </w:r>
    </w:p>
    <w:p w14:paraId="253D8E4F" w14:textId="6C1F5114"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Dannenberg MP, Wise EK, Janko M, Hwang T, Smith WK (2018) Atmospheric teleconnection influence on North American land surface phenology. Environ. Res. Lett. 13. </w:t>
      </w:r>
      <w:hyperlink r:id="rId75" w:history="1">
        <w:r w:rsidR="00FC4B8D" w:rsidRPr="00831F77">
          <w:rPr>
            <w:rStyle w:val="Hyperlink"/>
            <w:rFonts w:asciiTheme="minorHAnsi" w:hAnsiTheme="minorHAnsi"/>
            <w:iCs/>
          </w:rPr>
          <w:t>https://doi.org/10.1088/1748-9326/aaa85a</w:t>
        </w:r>
      </w:hyperlink>
      <w:r w:rsidR="00FC4B8D">
        <w:rPr>
          <w:rFonts w:asciiTheme="minorHAnsi" w:hAnsiTheme="minorHAnsi"/>
          <w:iCs/>
        </w:rPr>
        <w:t xml:space="preserve"> </w:t>
      </w:r>
      <w:r w:rsidRPr="00D45EF6">
        <w:rPr>
          <w:rFonts w:asciiTheme="minorHAnsi" w:hAnsiTheme="minorHAnsi"/>
          <w:iCs/>
        </w:rPr>
        <w:t xml:space="preserve">   </w:t>
      </w:r>
    </w:p>
    <w:p w14:paraId="45893C7F" w14:textId="08765E3C" w:rsidR="00D45EF6" w:rsidRDefault="00D45EF6" w:rsidP="00192F9B">
      <w:pPr>
        <w:spacing w:before="160" w:after="80"/>
        <w:rPr>
          <w:rFonts w:asciiTheme="minorHAnsi" w:hAnsiTheme="minorHAnsi"/>
          <w:iCs/>
        </w:rPr>
      </w:pPr>
      <w:r w:rsidRPr="00D45EF6">
        <w:rPr>
          <w:rFonts w:asciiTheme="minorHAnsi" w:hAnsiTheme="minorHAnsi"/>
          <w:iCs/>
        </w:rPr>
        <w:t xml:space="preserve">Dixon PG, Goodrich GB, Cooke WH (2008) Using teleconnections to predict wildfires in Mississippi. Mon. Weather. Rev. 136:2804–2811. </w:t>
      </w:r>
      <w:hyperlink r:id="rId76" w:history="1">
        <w:r w:rsidR="00FC4B8D" w:rsidRPr="00831F77">
          <w:rPr>
            <w:rStyle w:val="Hyperlink"/>
            <w:rFonts w:asciiTheme="minorHAnsi" w:hAnsiTheme="minorHAnsi"/>
            <w:iCs/>
          </w:rPr>
          <w:t>https://doi.org/10.1175/2007MWR2297.1</w:t>
        </w:r>
      </w:hyperlink>
      <w:r w:rsidR="00FC4B8D">
        <w:rPr>
          <w:rFonts w:asciiTheme="minorHAnsi" w:hAnsiTheme="minorHAnsi"/>
          <w:iCs/>
        </w:rPr>
        <w:t xml:space="preserve"> </w:t>
      </w:r>
      <w:r w:rsidRPr="00D45EF6">
        <w:rPr>
          <w:rFonts w:asciiTheme="minorHAnsi" w:hAnsiTheme="minorHAnsi"/>
          <w:iCs/>
        </w:rPr>
        <w:t xml:space="preserve"> </w:t>
      </w:r>
    </w:p>
    <w:p w14:paraId="3A6185DA" w14:textId="4F24E553" w:rsidR="00355015" w:rsidRPr="00D45EF6" w:rsidRDefault="00355015" w:rsidP="00192F9B">
      <w:pPr>
        <w:spacing w:before="160" w:after="80"/>
        <w:rPr>
          <w:rFonts w:asciiTheme="minorHAnsi" w:hAnsiTheme="minorHAnsi"/>
          <w:iCs/>
        </w:rPr>
      </w:pPr>
      <w:r w:rsidRPr="00D45EF6">
        <w:rPr>
          <w:rFonts w:asciiTheme="minorHAnsi" w:hAnsiTheme="minorHAnsi"/>
          <w:iCs/>
        </w:rPr>
        <w:t xml:space="preserve">Fauria M, Johnson EA (2008) Climate and wildfires in the North American boreal forest. </w:t>
      </w:r>
      <w:proofErr w:type="spellStart"/>
      <w:r w:rsidRPr="00D45EF6">
        <w:rPr>
          <w:rFonts w:asciiTheme="minorHAnsi" w:hAnsiTheme="minorHAnsi"/>
          <w:iCs/>
        </w:rPr>
        <w:t>Philos</w:t>
      </w:r>
      <w:proofErr w:type="spellEnd"/>
      <w:r w:rsidRPr="00D45EF6">
        <w:rPr>
          <w:rFonts w:asciiTheme="minorHAnsi" w:hAnsiTheme="minorHAnsi"/>
          <w:iCs/>
        </w:rPr>
        <w:t xml:space="preserve"> Trans R </w:t>
      </w:r>
      <w:proofErr w:type="spellStart"/>
      <w:r w:rsidRPr="00D45EF6">
        <w:rPr>
          <w:rFonts w:asciiTheme="minorHAnsi" w:hAnsiTheme="minorHAnsi"/>
          <w:iCs/>
        </w:rPr>
        <w:t>Soc</w:t>
      </w:r>
      <w:proofErr w:type="spellEnd"/>
      <w:r w:rsidRPr="00D45EF6">
        <w:rPr>
          <w:rFonts w:asciiTheme="minorHAnsi" w:hAnsiTheme="minorHAnsi"/>
          <w:iCs/>
        </w:rPr>
        <w:t xml:space="preserve"> </w:t>
      </w:r>
      <w:proofErr w:type="spellStart"/>
      <w:r w:rsidRPr="00D45EF6">
        <w:rPr>
          <w:rFonts w:asciiTheme="minorHAnsi" w:hAnsiTheme="minorHAnsi"/>
          <w:iCs/>
        </w:rPr>
        <w:t>Lond</w:t>
      </w:r>
      <w:proofErr w:type="spellEnd"/>
      <w:r w:rsidRPr="00D45EF6">
        <w:rPr>
          <w:rFonts w:asciiTheme="minorHAnsi" w:hAnsiTheme="minorHAnsi"/>
          <w:iCs/>
        </w:rPr>
        <w:t xml:space="preserve"> B </w:t>
      </w:r>
      <w:proofErr w:type="spellStart"/>
      <w:r w:rsidRPr="00D45EF6">
        <w:rPr>
          <w:rFonts w:asciiTheme="minorHAnsi" w:hAnsiTheme="minorHAnsi"/>
          <w:iCs/>
        </w:rPr>
        <w:t>Biol</w:t>
      </w:r>
      <w:proofErr w:type="spellEnd"/>
      <w:r w:rsidRPr="00D45EF6">
        <w:rPr>
          <w:rFonts w:asciiTheme="minorHAnsi" w:hAnsiTheme="minorHAnsi"/>
          <w:iCs/>
        </w:rPr>
        <w:t xml:space="preserve"> Sci. 363:2317-29. </w:t>
      </w:r>
      <w:hyperlink r:id="rId77" w:history="1">
        <w:r w:rsidRPr="00831F77">
          <w:rPr>
            <w:rStyle w:val="Hyperlink"/>
            <w:rFonts w:asciiTheme="minorHAnsi" w:hAnsiTheme="minorHAnsi"/>
            <w:iCs/>
          </w:rPr>
          <w:t>https://doi.org/10.1098/rstb.2007.2202</w:t>
        </w:r>
      </w:hyperlink>
      <w:r>
        <w:rPr>
          <w:rFonts w:asciiTheme="minorHAnsi" w:hAnsiTheme="minorHAnsi"/>
          <w:iCs/>
        </w:rPr>
        <w:t xml:space="preserve"> </w:t>
      </w:r>
      <w:r w:rsidRPr="00D45EF6">
        <w:rPr>
          <w:rFonts w:asciiTheme="minorHAnsi" w:hAnsiTheme="minorHAnsi"/>
          <w:iCs/>
        </w:rPr>
        <w:t xml:space="preserve"> </w:t>
      </w:r>
    </w:p>
    <w:p w14:paraId="3CE2BF23" w14:textId="46D84C63"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Goodrick SL, Hanley DE (2009) Florida wildfire activity and atmospheric teleconnections. Int. J Wild. Fire 18:476-482. </w:t>
      </w:r>
      <w:hyperlink r:id="rId78" w:history="1">
        <w:r w:rsidR="00FC4B8D" w:rsidRPr="00831F77">
          <w:rPr>
            <w:rStyle w:val="Hyperlink"/>
            <w:rFonts w:asciiTheme="minorHAnsi" w:hAnsiTheme="minorHAnsi"/>
            <w:iCs/>
          </w:rPr>
          <w:t>https://doi.org/10.1071/WF07034</w:t>
        </w:r>
      </w:hyperlink>
      <w:r w:rsidR="00FC4B8D">
        <w:rPr>
          <w:rFonts w:asciiTheme="minorHAnsi" w:hAnsiTheme="minorHAnsi"/>
          <w:iCs/>
        </w:rPr>
        <w:t xml:space="preserve"> </w:t>
      </w:r>
      <w:r w:rsidRPr="00D45EF6">
        <w:rPr>
          <w:rFonts w:asciiTheme="minorHAnsi" w:hAnsiTheme="minorHAnsi"/>
          <w:iCs/>
        </w:rPr>
        <w:t xml:space="preserve"> </w:t>
      </w:r>
    </w:p>
    <w:p w14:paraId="61CB63E0" w14:textId="562C97BC"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Hessl AE, McKenzie DE, Schellhaas R (2004) Drought and Pacific Decadal Oscillation linked to fire occurrence in the inland Pacific Northwest, Ecol. Appl. 14(2):425–442. </w:t>
      </w:r>
      <w:hyperlink r:id="rId79" w:history="1">
        <w:r w:rsidR="00FC4B8D" w:rsidRPr="00831F77">
          <w:rPr>
            <w:rStyle w:val="Hyperlink"/>
            <w:rFonts w:asciiTheme="minorHAnsi" w:hAnsiTheme="minorHAnsi"/>
            <w:iCs/>
          </w:rPr>
          <w:t>https://doi.org/10.1890/03-5019</w:t>
        </w:r>
      </w:hyperlink>
      <w:r w:rsidR="00FC4B8D">
        <w:rPr>
          <w:rFonts w:asciiTheme="minorHAnsi" w:hAnsiTheme="minorHAnsi"/>
          <w:iCs/>
        </w:rPr>
        <w:t xml:space="preserve"> </w:t>
      </w:r>
      <w:r w:rsidRPr="00D45EF6">
        <w:rPr>
          <w:rFonts w:asciiTheme="minorHAnsi" w:hAnsiTheme="minorHAnsi"/>
          <w:iCs/>
        </w:rPr>
        <w:t xml:space="preserve"> </w:t>
      </w:r>
    </w:p>
    <w:p w14:paraId="52C37120" w14:textId="07C5FD50"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Heyerdahl EK, Brubaker LB, Agee JK (2002) Annual and decadal climate forcing of historical fire regimes in the interior Pacific Northwest, USA. Holocene 12:597–604. </w:t>
      </w:r>
      <w:hyperlink r:id="rId80" w:history="1">
        <w:r w:rsidR="00FC4B8D" w:rsidRPr="00831F77">
          <w:rPr>
            <w:rStyle w:val="Hyperlink"/>
            <w:rFonts w:asciiTheme="minorHAnsi" w:hAnsiTheme="minorHAnsi"/>
            <w:iCs/>
          </w:rPr>
          <w:t>https://doi.org/10.1191/0959683602hl570rp</w:t>
        </w:r>
      </w:hyperlink>
      <w:r w:rsidR="00FC4B8D">
        <w:rPr>
          <w:rFonts w:asciiTheme="minorHAnsi" w:hAnsiTheme="minorHAnsi"/>
          <w:iCs/>
        </w:rPr>
        <w:t xml:space="preserve"> </w:t>
      </w:r>
      <w:r w:rsidRPr="00D45EF6">
        <w:rPr>
          <w:rFonts w:asciiTheme="minorHAnsi" w:hAnsiTheme="minorHAnsi"/>
          <w:iCs/>
        </w:rPr>
        <w:t xml:space="preserve"> </w:t>
      </w:r>
    </w:p>
    <w:p w14:paraId="6307B30B" w14:textId="209E372E" w:rsidR="0059170C" w:rsidRDefault="00D45EF6" w:rsidP="00192F9B">
      <w:pPr>
        <w:spacing w:before="160" w:after="80"/>
        <w:rPr>
          <w:rFonts w:asciiTheme="minorHAnsi" w:hAnsiTheme="minorHAnsi"/>
          <w:iCs/>
        </w:rPr>
      </w:pPr>
      <w:r w:rsidRPr="00D45EF6">
        <w:rPr>
          <w:rFonts w:asciiTheme="minorHAnsi" w:hAnsiTheme="minorHAnsi"/>
          <w:iCs/>
        </w:rPr>
        <w:t xml:space="preserve">Heyerdahl EK, McKenzie D, Daniels LD, Hessl AE, Littell JS, Mantua NJ (2008) Climate drivers of regionally synchronous fires in the inland northwest (1651–1900). Int. J. Wildland Fire, 17(1):40–49. </w:t>
      </w:r>
      <w:hyperlink r:id="rId81" w:history="1">
        <w:r w:rsidR="00FC4B8D" w:rsidRPr="00831F77">
          <w:rPr>
            <w:rStyle w:val="Hyperlink"/>
            <w:rFonts w:asciiTheme="minorHAnsi" w:hAnsiTheme="minorHAnsi"/>
            <w:iCs/>
          </w:rPr>
          <w:t>https://doi.org/10.1071/WF07024</w:t>
        </w:r>
      </w:hyperlink>
      <w:r w:rsidR="00FC4B8D">
        <w:rPr>
          <w:rFonts w:asciiTheme="minorHAnsi" w:hAnsiTheme="minorHAnsi"/>
          <w:iCs/>
        </w:rPr>
        <w:t xml:space="preserve"> </w:t>
      </w:r>
      <w:r w:rsidRPr="00D45EF6">
        <w:rPr>
          <w:rFonts w:asciiTheme="minorHAnsi" w:hAnsiTheme="minorHAnsi"/>
          <w:iCs/>
        </w:rPr>
        <w:t xml:space="preserve"> </w:t>
      </w:r>
    </w:p>
    <w:p w14:paraId="57C45F5B" w14:textId="4B4B948D" w:rsidR="008C69FB" w:rsidRDefault="0059170C" w:rsidP="00192F9B">
      <w:pPr>
        <w:spacing w:before="160" w:after="80"/>
        <w:rPr>
          <w:rFonts w:asciiTheme="minorHAnsi" w:hAnsiTheme="minorHAnsi"/>
          <w:iCs/>
        </w:rPr>
      </w:pPr>
      <w:r w:rsidRPr="0059170C">
        <w:rPr>
          <w:rFonts w:asciiTheme="minorHAnsi" w:hAnsiTheme="minorHAnsi"/>
          <w:iCs/>
        </w:rPr>
        <w:t xml:space="preserve">Hu Q, Feng S (2010) Influence of the Arctic oscillation on central United States summer rainfall. J. </w:t>
      </w:r>
      <w:proofErr w:type="spellStart"/>
      <w:r w:rsidRPr="0059170C">
        <w:rPr>
          <w:rFonts w:asciiTheme="minorHAnsi" w:hAnsiTheme="minorHAnsi"/>
          <w:iCs/>
        </w:rPr>
        <w:t>Geophy</w:t>
      </w:r>
      <w:proofErr w:type="spellEnd"/>
      <w:r w:rsidRPr="0059170C">
        <w:rPr>
          <w:rFonts w:asciiTheme="minorHAnsi" w:hAnsiTheme="minorHAnsi"/>
          <w:iCs/>
        </w:rPr>
        <w:t xml:space="preserve">. Res. Atmos, 115(D1). </w:t>
      </w:r>
      <w:hyperlink r:id="rId82" w:history="1">
        <w:r w:rsidRPr="004B2A77">
          <w:rPr>
            <w:rStyle w:val="Hyperlink"/>
            <w:rFonts w:asciiTheme="minorHAnsi" w:hAnsiTheme="minorHAnsi"/>
            <w:iCs/>
          </w:rPr>
          <w:t>https://doi.org/10.1029/2009JD011805</w:t>
        </w:r>
      </w:hyperlink>
      <w:r>
        <w:rPr>
          <w:rFonts w:asciiTheme="minorHAnsi" w:hAnsiTheme="minorHAnsi"/>
          <w:iCs/>
        </w:rPr>
        <w:t xml:space="preserve"> </w:t>
      </w:r>
    </w:p>
    <w:p w14:paraId="38B1B437" w14:textId="119F86C8" w:rsidR="00243843" w:rsidRDefault="00243843" w:rsidP="00192F9B">
      <w:pPr>
        <w:spacing w:before="160" w:after="80"/>
        <w:rPr>
          <w:rFonts w:asciiTheme="minorHAnsi" w:hAnsiTheme="minorHAnsi"/>
          <w:iCs/>
        </w:rPr>
      </w:pPr>
      <w:r w:rsidRPr="00243843">
        <w:rPr>
          <w:rFonts w:asciiTheme="minorHAnsi" w:hAnsiTheme="minorHAnsi"/>
          <w:iCs/>
        </w:rPr>
        <w:t xml:space="preserve">Hu Q, Feng S, Oglesby RJ (2011) Variations in North American summer precipitation driven by the Atlantic multidecadal oscillation. J. Clim. 24(21):5555-5570. </w:t>
      </w:r>
      <w:hyperlink r:id="rId83" w:history="1">
        <w:r w:rsidRPr="004B2A77">
          <w:rPr>
            <w:rStyle w:val="Hyperlink"/>
            <w:rFonts w:asciiTheme="minorHAnsi" w:hAnsiTheme="minorHAnsi"/>
            <w:iCs/>
          </w:rPr>
          <w:t>https://doi.org/10.1175/2011JCLI4060.1</w:t>
        </w:r>
      </w:hyperlink>
      <w:r>
        <w:rPr>
          <w:rFonts w:asciiTheme="minorHAnsi" w:hAnsiTheme="minorHAnsi"/>
          <w:iCs/>
        </w:rPr>
        <w:t xml:space="preserve"> </w:t>
      </w:r>
    </w:p>
    <w:p w14:paraId="2ED7AFEB" w14:textId="51939CC2" w:rsidR="00D45EF6" w:rsidRPr="00D45EF6" w:rsidRDefault="008C69FB" w:rsidP="00192F9B">
      <w:pPr>
        <w:spacing w:before="160" w:after="80"/>
        <w:rPr>
          <w:rFonts w:asciiTheme="minorHAnsi" w:hAnsiTheme="minorHAnsi"/>
          <w:iCs/>
        </w:rPr>
      </w:pPr>
      <w:r w:rsidRPr="009047E3">
        <w:rPr>
          <w:rFonts w:asciiTheme="minorHAnsi" w:hAnsiTheme="minorHAnsi"/>
          <w:iCs/>
        </w:rPr>
        <w:t>Hu ZZ, Kumar A, Jha B, Chen M</w:t>
      </w:r>
      <w:r>
        <w:rPr>
          <w:rFonts w:asciiTheme="minorHAnsi" w:hAnsiTheme="minorHAnsi"/>
          <w:iCs/>
        </w:rPr>
        <w:t>,</w:t>
      </w:r>
      <w:r w:rsidRPr="009047E3">
        <w:rPr>
          <w:rFonts w:asciiTheme="minorHAnsi" w:hAnsiTheme="minorHAnsi"/>
          <w:iCs/>
        </w:rPr>
        <w:t xml:space="preserve"> Wang W </w:t>
      </w:r>
      <w:r>
        <w:rPr>
          <w:rFonts w:asciiTheme="minorHAnsi" w:hAnsiTheme="minorHAnsi"/>
          <w:iCs/>
        </w:rPr>
        <w:t>(</w:t>
      </w:r>
      <w:r w:rsidRPr="009047E3">
        <w:rPr>
          <w:rFonts w:asciiTheme="minorHAnsi" w:hAnsiTheme="minorHAnsi"/>
          <w:iCs/>
        </w:rPr>
        <w:t>2023</w:t>
      </w:r>
      <w:r>
        <w:rPr>
          <w:rFonts w:asciiTheme="minorHAnsi" w:hAnsiTheme="minorHAnsi"/>
          <w:iCs/>
        </w:rPr>
        <w:t>)</w:t>
      </w:r>
      <w:r w:rsidRPr="009047E3">
        <w:rPr>
          <w:rFonts w:asciiTheme="minorHAnsi" w:hAnsiTheme="minorHAnsi"/>
          <w:iCs/>
        </w:rPr>
        <w:t xml:space="preserve"> The tropical Indian Ocean matters for US winter precipitation variability and predictability. </w:t>
      </w:r>
      <w:r>
        <w:rPr>
          <w:rFonts w:asciiTheme="minorHAnsi" w:hAnsiTheme="minorHAnsi"/>
          <w:iCs/>
        </w:rPr>
        <w:t>Env. Res. Lett.</w:t>
      </w:r>
      <w:r w:rsidRPr="009047E3">
        <w:rPr>
          <w:rFonts w:asciiTheme="minorHAnsi" w:hAnsiTheme="minorHAnsi"/>
          <w:iCs/>
        </w:rPr>
        <w:t xml:space="preserve"> 18(7)</w:t>
      </w:r>
      <w:r>
        <w:rPr>
          <w:rFonts w:asciiTheme="minorHAnsi" w:hAnsiTheme="minorHAnsi"/>
          <w:iCs/>
        </w:rPr>
        <w:t>:</w:t>
      </w:r>
      <w:r w:rsidRPr="009047E3">
        <w:rPr>
          <w:rFonts w:asciiTheme="minorHAnsi" w:hAnsiTheme="minorHAnsi"/>
          <w:iCs/>
        </w:rPr>
        <w:t>074033.</w:t>
      </w:r>
      <w:r>
        <w:rPr>
          <w:rFonts w:asciiTheme="minorHAnsi" w:hAnsiTheme="minorHAnsi"/>
          <w:iCs/>
        </w:rPr>
        <w:t xml:space="preserve"> </w:t>
      </w:r>
      <w:hyperlink r:id="rId84" w:history="1">
        <w:r w:rsidRPr="004B2A77">
          <w:rPr>
            <w:rStyle w:val="Hyperlink"/>
            <w:rFonts w:asciiTheme="minorHAnsi" w:hAnsiTheme="minorHAnsi"/>
            <w:iCs/>
          </w:rPr>
          <w:t>https://doi.org/10.1088/1748-9326/ace06e</w:t>
        </w:r>
      </w:hyperlink>
      <w:r>
        <w:rPr>
          <w:rFonts w:asciiTheme="minorHAnsi" w:hAnsiTheme="minorHAnsi"/>
          <w:iCs/>
        </w:rPr>
        <w:t xml:space="preserve"> </w:t>
      </w:r>
    </w:p>
    <w:p w14:paraId="2384954D" w14:textId="26F1AF3F"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Johnston JD, Bailey JD, Dunn CJ (2017) Historical fire-climate relationships in contrasting interior Pacific Northwest forest types. Fire Ecol. 13:18–36. </w:t>
      </w:r>
      <w:hyperlink r:id="rId85" w:history="1">
        <w:r w:rsidR="00FC4B8D" w:rsidRPr="00831F77">
          <w:rPr>
            <w:rStyle w:val="Hyperlink"/>
            <w:rFonts w:asciiTheme="minorHAnsi" w:hAnsiTheme="minorHAnsi"/>
            <w:iCs/>
          </w:rPr>
          <w:t>https://doi.org/10.4996/fireecology.130257453</w:t>
        </w:r>
      </w:hyperlink>
      <w:r w:rsidR="00FC4B8D">
        <w:rPr>
          <w:rFonts w:asciiTheme="minorHAnsi" w:hAnsiTheme="minorHAnsi"/>
          <w:iCs/>
        </w:rPr>
        <w:t xml:space="preserve"> </w:t>
      </w:r>
      <w:r w:rsidRPr="00D45EF6">
        <w:rPr>
          <w:rFonts w:asciiTheme="minorHAnsi" w:hAnsiTheme="minorHAnsi"/>
          <w:iCs/>
        </w:rPr>
        <w:t xml:space="preserve"> </w:t>
      </w:r>
    </w:p>
    <w:p w14:paraId="30607707" w14:textId="20DCC587"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Justino F, Bromwich DH, Schumacher V. (2022) Arctic Oscillation and Pacific-North American pattern dominated-modulation of fire danger and wildfire occurrence. NPJ Clim. Atmos. Sci. 5:52. </w:t>
      </w:r>
      <w:hyperlink r:id="rId86" w:history="1">
        <w:r w:rsidR="00FC4B8D" w:rsidRPr="00831F77">
          <w:rPr>
            <w:rStyle w:val="Hyperlink"/>
            <w:rFonts w:asciiTheme="minorHAnsi" w:hAnsiTheme="minorHAnsi"/>
            <w:iCs/>
          </w:rPr>
          <w:t>https://doi.org/10.1038/s41612-022-00274-2</w:t>
        </w:r>
      </w:hyperlink>
      <w:r w:rsidR="00FC4B8D">
        <w:rPr>
          <w:rFonts w:asciiTheme="minorHAnsi" w:hAnsiTheme="minorHAnsi"/>
          <w:iCs/>
        </w:rPr>
        <w:t xml:space="preserve"> </w:t>
      </w:r>
      <w:r w:rsidRPr="00D45EF6">
        <w:rPr>
          <w:rFonts w:asciiTheme="minorHAnsi" w:hAnsiTheme="minorHAnsi"/>
          <w:iCs/>
        </w:rPr>
        <w:t xml:space="preserve">   </w:t>
      </w:r>
    </w:p>
    <w:p w14:paraId="7FC30907" w14:textId="50928404"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Kipfmueller KF, Larson ER, St. George S (2012) Does proxy uncertainty affect the relations inferred between the Pacific Decadal Oscillation and wildfire activity in the western United States?, Geophys. Res. Lett. 39:04703, </w:t>
      </w:r>
      <w:hyperlink r:id="rId87" w:history="1">
        <w:r w:rsidR="00FC4B8D" w:rsidRPr="00831F77">
          <w:rPr>
            <w:rStyle w:val="Hyperlink"/>
            <w:rFonts w:asciiTheme="minorHAnsi" w:hAnsiTheme="minorHAnsi"/>
            <w:iCs/>
          </w:rPr>
          <w:t>https://doi.org/10.1029/2011GL050645</w:t>
        </w:r>
      </w:hyperlink>
      <w:r w:rsidR="00FC4B8D">
        <w:rPr>
          <w:rFonts w:asciiTheme="minorHAnsi" w:hAnsiTheme="minorHAnsi"/>
          <w:iCs/>
        </w:rPr>
        <w:t xml:space="preserve"> </w:t>
      </w:r>
      <w:r w:rsidRPr="00D45EF6">
        <w:rPr>
          <w:rFonts w:asciiTheme="minorHAnsi" w:hAnsiTheme="minorHAnsi"/>
          <w:iCs/>
        </w:rPr>
        <w:t xml:space="preserve">    </w:t>
      </w:r>
    </w:p>
    <w:p w14:paraId="2F0E5630" w14:textId="1FDF5B3B"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Kitzberger T, Brown PM, Heyerdahl EK, Swetnam TW, Veblen TT (2007) Contingent Pacific-Atlantic Ocean influence on multicentury wildfire synchrony over western North America. PNAS 104:543-548, </w:t>
      </w:r>
      <w:hyperlink r:id="rId88" w:history="1">
        <w:r w:rsidR="00FC4B8D" w:rsidRPr="00831F77">
          <w:rPr>
            <w:rStyle w:val="Hyperlink"/>
            <w:rFonts w:asciiTheme="minorHAnsi" w:hAnsiTheme="minorHAnsi"/>
            <w:iCs/>
          </w:rPr>
          <w:t>https://doi.org/10.1073/pnas.0606078104</w:t>
        </w:r>
      </w:hyperlink>
      <w:r w:rsidR="00FC4B8D">
        <w:rPr>
          <w:rFonts w:asciiTheme="minorHAnsi" w:hAnsiTheme="minorHAnsi"/>
          <w:iCs/>
        </w:rPr>
        <w:t xml:space="preserve"> </w:t>
      </w:r>
      <w:r w:rsidRPr="00D45EF6">
        <w:rPr>
          <w:rFonts w:asciiTheme="minorHAnsi" w:hAnsiTheme="minorHAnsi"/>
          <w:iCs/>
        </w:rPr>
        <w:t xml:space="preserve">  </w:t>
      </w:r>
    </w:p>
    <w:p w14:paraId="53B2DDAA" w14:textId="49ADB99D" w:rsidR="008C69FB" w:rsidRDefault="00D45EF6" w:rsidP="00192F9B">
      <w:pPr>
        <w:spacing w:before="160" w:after="80"/>
        <w:rPr>
          <w:rFonts w:asciiTheme="minorHAnsi" w:hAnsiTheme="minorHAnsi"/>
          <w:iCs/>
        </w:rPr>
      </w:pPr>
      <w:r w:rsidRPr="00D45EF6">
        <w:rPr>
          <w:rFonts w:asciiTheme="minorHAnsi" w:hAnsiTheme="minorHAnsi"/>
          <w:iCs/>
        </w:rPr>
        <w:t xml:space="preserve">Kitzberger T, Swetnam TW, Veblen TT (2001) Inter-hemispheric synchrony of forest fires and the El Niño-Southern Oscillation, Glob. Ecol. </w:t>
      </w:r>
      <w:proofErr w:type="spellStart"/>
      <w:r w:rsidRPr="00D45EF6">
        <w:rPr>
          <w:rFonts w:asciiTheme="minorHAnsi" w:hAnsiTheme="minorHAnsi"/>
          <w:iCs/>
        </w:rPr>
        <w:t>Biogeogr</w:t>
      </w:r>
      <w:proofErr w:type="spellEnd"/>
      <w:r w:rsidRPr="00D45EF6">
        <w:rPr>
          <w:rFonts w:asciiTheme="minorHAnsi" w:hAnsiTheme="minorHAnsi"/>
          <w:iCs/>
        </w:rPr>
        <w:t xml:space="preserve">. 10(3):315–326, </w:t>
      </w:r>
      <w:hyperlink r:id="rId89" w:history="1">
        <w:r w:rsidR="00FC4B8D" w:rsidRPr="00831F77">
          <w:rPr>
            <w:rStyle w:val="Hyperlink"/>
            <w:rFonts w:asciiTheme="minorHAnsi" w:hAnsiTheme="minorHAnsi"/>
            <w:iCs/>
          </w:rPr>
          <w:t>https://doi.org/10.1046/j.1466-822X.2001.00234.x</w:t>
        </w:r>
      </w:hyperlink>
      <w:r w:rsidR="00FC4B8D">
        <w:rPr>
          <w:rFonts w:asciiTheme="minorHAnsi" w:hAnsiTheme="minorHAnsi"/>
          <w:iCs/>
        </w:rPr>
        <w:t xml:space="preserve"> </w:t>
      </w:r>
      <w:r w:rsidRPr="00D45EF6">
        <w:rPr>
          <w:rFonts w:asciiTheme="minorHAnsi" w:hAnsiTheme="minorHAnsi"/>
          <w:iCs/>
        </w:rPr>
        <w:t xml:space="preserve">    </w:t>
      </w:r>
    </w:p>
    <w:p w14:paraId="783E484D" w14:textId="56BBAEBD" w:rsidR="00D45EF6" w:rsidRDefault="008C69FB" w:rsidP="00192F9B">
      <w:pPr>
        <w:spacing w:before="160" w:after="80"/>
        <w:rPr>
          <w:rFonts w:asciiTheme="minorHAnsi" w:hAnsiTheme="minorHAnsi"/>
          <w:iCs/>
        </w:rPr>
      </w:pPr>
      <w:r w:rsidRPr="00A943E5">
        <w:rPr>
          <w:rFonts w:asciiTheme="minorHAnsi" w:hAnsiTheme="minorHAnsi"/>
          <w:iCs/>
        </w:rPr>
        <w:t>Kumar A</w:t>
      </w:r>
      <w:r>
        <w:rPr>
          <w:rFonts w:asciiTheme="minorHAnsi" w:hAnsiTheme="minorHAnsi"/>
          <w:iCs/>
        </w:rPr>
        <w:t>,</w:t>
      </w:r>
      <w:r w:rsidRPr="00A943E5">
        <w:rPr>
          <w:rFonts w:asciiTheme="minorHAnsi" w:hAnsiTheme="minorHAnsi"/>
          <w:iCs/>
        </w:rPr>
        <w:t xml:space="preserve"> Wang H, Wang W, Xue Y</w:t>
      </w:r>
      <w:r>
        <w:rPr>
          <w:rFonts w:asciiTheme="minorHAnsi" w:hAnsiTheme="minorHAnsi"/>
          <w:iCs/>
        </w:rPr>
        <w:t>,</w:t>
      </w:r>
      <w:r w:rsidRPr="00A943E5">
        <w:rPr>
          <w:rFonts w:asciiTheme="minorHAnsi" w:hAnsiTheme="minorHAnsi"/>
          <w:iCs/>
        </w:rPr>
        <w:t xml:space="preserve"> Hu ZZ</w:t>
      </w:r>
      <w:r>
        <w:rPr>
          <w:rFonts w:asciiTheme="minorHAnsi" w:hAnsiTheme="minorHAnsi"/>
          <w:iCs/>
        </w:rPr>
        <w:t xml:space="preserve"> (</w:t>
      </w:r>
      <w:r w:rsidRPr="00A943E5">
        <w:rPr>
          <w:rFonts w:asciiTheme="minorHAnsi" w:hAnsiTheme="minorHAnsi"/>
          <w:iCs/>
        </w:rPr>
        <w:t>2013</w:t>
      </w:r>
      <w:r>
        <w:rPr>
          <w:rFonts w:asciiTheme="minorHAnsi" w:hAnsiTheme="minorHAnsi"/>
          <w:iCs/>
        </w:rPr>
        <w:t>)</w:t>
      </w:r>
      <w:r w:rsidRPr="00A943E5">
        <w:rPr>
          <w:rFonts w:asciiTheme="minorHAnsi" w:hAnsiTheme="minorHAnsi"/>
          <w:iCs/>
        </w:rPr>
        <w:t>. Does knowing the oceanic PDO phase help predict the atmospheric anomalies in subsequent months</w:t>
      </w:r>
      <w:proofErr w:type="gramStart"/>
      <w:r w:rsidRPr="00A943E5">
        <w:rPr>
          <w:rFonts w:asciiTheme="minorHAnsi" w:hAnsiTheme="minorHAnsi"/>
          <w:iCs/>
        </w:rPr>
        <w:t>?.</w:t>
      </w:r>
      <w:proofErr w:type="gramEnd"/>
      <w:r w:rsidRPr="00A943E5">
        <w:rPr>
          <w:rFonts w:asciiTheme="minorHAnsi" w:hAnsiTheme="minorHAnsi"/>
          <w:iCs/>
        </w:rPr>
        <w:t xml:space="preserve"> </w:t>
      </w:r>
      <w:r>
        <w:rPr>
          <w:rFonts w:asciiTheme="minorHAnsi" w:hAnsiTheme="minorHAnsi"/>
          <w:iCs/>
        </w:rPr>
        <w:t>J. Clim.</w:t>
      </w:r>
      <w:r w:rsidRPr="00A943E5">
        <w:rPr>
          <w:rFonts w:asciiTheme="minorHAnsi" w:hAnsiTheme="minorHAnsi"/>
          <w:iCs/>
        </w:rPr>
        <w:t xml:space="preserve"> 26(4)</w:t>
      </w:r>
      <w:r>
        <w:rPr>
          <w:rFonts w:asciiTheme="minorHAnsi" w:hAnsiTheme="minorHAnsi"/>
          <w:iCs/>
        </w:rPr>
        <w:t>:</w:t>
      </w:r>
      <w:r w:rsidRPr="00A943E5">
        <w:rPr>
          <w:rFonts w:asciiTheme="minorHAnsi" w:hAnsiTheme="minorHAnsi"/>
          <w:iCs/>
        </w:rPr>
        <w:t>1268-1285.</w:t>
      </w:r>
      <w:r>
        <w:rPr>
          <w:rFonts w:asciiTheme="minorHAnsi" w:hAnsiTheme="minorHAnsi"/>
          <w:iCs/>
        </w:rPr>
        <w:t xml:space="preserve"> </w:t>
      </w:r>
      <w:hyperlink r:id="rId90" w:history="1">
        <w:r w:rsidRPr="004B2A77">
          <w:rPr>
            <w:rStyle w:val="Hyperlink"/>
            <w:rFonts w:asciiTheme="minorHAnsi" w:hAnsiTheme="minorHAnsi"/>
            <w:iCs/>
          </w:rPr>
          <w:t>https://doi.org/10.1175/JCLI-D-12-00057.1</w:t>
        </w:r>
      </w:hyperlink>
      <w:r>
        <w:rPr>
          <w:rFonts w:asciiTheme="minorHAnsi" w:hAnsiTheme="minorHAnsi"/>
          <w:iCs/>
        </w:rPr>
        <w:t xml:space="preserve"> </w:t>
      </w:r>
    </w:p>
    <w:p w14:paraId="4285A15F" w14:textId="2E489BD6" w:rsidR="00DC158E" w:rsidRPr="00D45EF6" w:rsidRDefault="00DC158E" w:rsidP="00192F9B">
      <w:pPr>
        <w:spacing w:before="160" w:after="80"/>
        <w:rPr>
          <w:rFonts w:asciiTheme="minorHAnsi" w:hAnsiTheme="minorHAnsi"/>
          <w:iCs/>
        </w:rPr>
      </w:pPr>
      <w:r w:rsidRPr="00DC158E">
        <w:rPr>
          <w:rFonts w:asciiTheme="minorHAnsi" w:hAnsiTheme="minorHAnsi"/>
          <w:iCs/>
        </w:rPr>
        <w:t>Kushnir Y, Seager R, Ting M, Naik N</w:t>
      </w:r>
      <w:r>
        <w:rPr>
          <w:rFonts w:asciiTheme="minorHAnsi" w:hAnsiTheme="minorHAnsi"/>
          <w:iCs/>
        </w:rPr>
        <w:t>,</w:t>
      </w:r>
      <w:r w:rsidRPr="00DC158E">
        <w:rPr>
          <w:rFonts w:asciiTheme="minorHAnsi" w:hAnsiTheme="minorHAnsi"/>
          <w:iCs/>
        </w:rPr>
        <w:t xml:space="preserve"> Nakamura J </w:t>
      </w:r>
      <w:r>
        <w:rPr>
          <w:rFonts w:asciiTheme="minorHAnsi" w:hAnsiTheme="minorHAnsi"/>
          <w:iCs/>
        </w:rPr>
        <w:t>(</w:t>
      </w:r>
      <w:r w:rsidRPr="00DC158E">
        <w:rPr>
          <w:rFonts w:asciiTheme="minorHAnsi" w:hAnsiTheme="minorHAnsi"/>
          <w:iCs/>
        </w:rPr>
        <w:t>2010</w:t>
      </w:r>
      <w:r>
        <w:rPr>
          <w:rFonts w:asciiTheme="minorHAnsi" w:hAnsiTheme="minorHAnsi"/>
          <w:iCs/>
        </w:rPr>
        <w:t>)</w:t>
      </w:r>
      <w:r w:rsidRPr="00DC158E">
        <w:rPr>
          <w:rFonts w:asciiTheme="minorHAnsi" w:hAnsiTheme="minorHAnsi"/>
          <w:iCs/>
        </w:rPr>
        <w:t xml:space="preserve"> Mechanisms of tropical Atlantic SST influence on North American precipitation variability. </w:t>
      </w:r>
      <w:r>
        <w:rPr>
          <w:rFonts w:asciiTheme="minorHAnsi" w:hAnsiTheme="minorHAnsi"/>
          <w:iCs/>
        </w:rPr>
        <w:t>J. Clim.</w:t>
      </w:r>
      <w:r w:rsidRPr="00DC158E">
        <w:rPr>
          <w:rFonts w:asciiTheme="minorHAnsi" w:hAnsiTheme="minorHAnsi"/>
          <w:iCs/>
        </w:rPr>
        <w:t xml:space="preserve"> 23(21)</w:t>
      </w:r>
      <w:r>
        <w:rPr>
          <w:rFonts w:asciiTheme="minorHAnsi" w:hAnsiTheme="minorHAnsi"/>
          <w:iCs/>
        </w:rPr>
        <w:t>:</w:t>
      </w:r>
      <w:r w:rsidRPr="00DC158E">
        <w:rPr>
          <w:rFonts w:asciiTheme="minorHAnsi" w:hAnsiTheme="minorHAnsi"/>
          <w:iCs/>
        </w:rPr>
        <w:t>5610-5628.</w:t>
      </w:r>
      <w:r>
        <w:rPr>
          <w:rFonts w:asciiTheme="minorHAnsi" w:hAnsiTheme="minorHAnsi"/>
          <w:iCs/>
        </w:rPr>
        <w:t xml:space="preserve"> </w:t>
      </w:r>
      <w:hyperlink r:id="rId91" w:history="1">
        <w:r w:rsidRPr="004B2A77">
          <w:rPr>
            <w:rStyle w:val="Hyperlink"/>
            <w:rFonts w:asciiTheme="minorHAnsi" w:hAnsiTheme="minorHAnsi"/>
            <w:iCs/>
          </w:rPr>
          <w:t>https://doi.org/10.1175/2010JCLI3172.1</w:t>
        </w:r>
      </w:hyperlink>
      <w:r>
        <w:rPr>
          <w:rFonts w:asciiTheme="minorHAnsi" w:hAnsiTheme="minorHAnsi"/>
          <w:iCs/>
        </w:rPr>
        <w:t xml:space="preserve"> </w:t>
      </w:r>
    </w:p>
    <w:p w14:paraId="0868AE6F" w14:textId="792B6D5C"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Le Goff H, Flannigan MD, Bergeron Y, Girardin MP (2007) Historical fire regime shifts related to climate teleconnections in the Waswanipi area, central Quebec, Canada. Int. J. Wild. Fire 16:607-618. </w:t>
      </w:r>
      <w:hyperlink r:id="rId92" w:history="1">
        <w:r w:rsidR="00FC4B8D" w:rsidRPr="00831F77">
          <w:rPr>
            <w:rStyle w:val="Hyperlink"/>
            <w:rFonts w:asciiTheme="minorHAnsi" w:hAnsiTheme="minorHAnsi"/>
            <w:iCs/>
          </w:rPr>
          <w:t>https://doi.org/10.1071/WF06151</w:t>
        </w:r>
      </w:hyperlink>
      <w:r w:rsidR="00FC4B8D">
        <w:rPr>
          <w:rFonts w:asciiTheme="minorHAnsi" w:hAnsiTheme="minorHAnsi"/>
          <w:iCs/>
        </w:rPr>
        <w:t xml:space="preserve"> </w:t>
      </w:r>
      <w:r w:rsidRPr="00D45EF6">
        <w:rPr>
          <w:rFonts w:asciiTheme="minorHAnsi" w:hAnsiTheme="minorHAnsi"/>
          <w:iCs/>
        </w:rPr>
        <w:t xml:space="preserve"> </w:t>
      </w:r>
    </w:p>
    <w:p w14:paraId="32F88090" w14:textId="120F676C" w:rsidR="00D45EF6" w:rsidRPr="00D45EF6" w:rsidRDefault="0059170C" w:rsidP="00192F9B">
      <w:pPr>
        <w:spacing w:before="160" w:after="80"/>
        <w:rPr>
          <w:rFonts w:asciiTheme="minorHAnsi" w:hAnsiTheme="minorHAnsi"/>
          <w:iCs/>
        </w:rPr>
      </w:pPr>
      <w:r w:rsidRPr="0059170C">
        <w:rPr>
          <w:rFonts w:asciiTheme="minorHAnsi" w:hAnsiTheme="minorHAnsi"/>
          <w:iCs/>
        </w:rPr>
        <w:t xml:space="preserve">Leathers DJ, Yarnal B, Palecki MA (1991) The Pacific/North American teleconnection pattern and United States climate. Part I: Regional temperature and precipitation associations. J. Clim. 4(5):517-528. </w:t>
      </w:r>
      <w:hyperlink r:id="rId93" w:history="1">
        <w:r w:rsidRPr="004B2A77">
          <w:rPr>
            <w:rStyle w:val="Hyperlink"/>
            <w:rFonts w:asciiTheme="minorHAnsi" w:hAnsiTheme="minorHAnsi"/>
            <w:iCs/>
          </w:rPr>
          <w:t>https://doi.org/10.1175/1520-0442(1991)004&lt;0517:TPATPA&gt;2.0.CO;2</w:t>
        </w:r>
      </w:hyperlink>
      <w:r>
        <w:rPr>
          <w:rFonts w:asciiTheme="minorHAnsi" w:hAnsiTheme="minorHAnsi"/>
          <w:iCs/>
        </w:rPr>
        <w:t xml:space="preserve"> </w:t>
      </w:r>
    </w:p>
    <w:p w14:paraId="0FAED894" w14:textId="1F2C35FD" w:rsidR="006D3C53" w:rsidRDefault="006D3C53" w:rsidP="00192F9B">
      <w:pPr>
        <w:spacing w:before="160" w:after="80"/>
        <w:rPr>
          <w:rFonts w:asciiTheme="minorHAnsi" w:hAnsiTheme="minorHAnsi"/>
          <w:iCs/>
        </w:rPr>
      </w:pPr>
      <w:r w:rsidRPr="006D3C53">
        <w:rPr>
          <w:rFonts w:asciiTheme="minorHAnsi" w:hAnsiTheme="minorHAnsi"/>
          <w:iCs/>
        </w:rPr>
        <w:t xml:space="preserve">Mason SJ, Goddard L (2001) Probabilistic precipitation anomalies associated with ENSO. Bull. A. Met. Soc. 82(4):619-638. </w:t>
      </w:r>
      <w:hyperlink r:id="rId94" w:history="1">
        <w:r w:rsidRPr="004B2A77">
          <w:rPr>
            <w:rStyle w:val="Hyperlink"/>
            <w:rFonts w:asciiTheme="minorHAnsi" w:hAnsiTheme="minorHAnsi"/>
            <w:iCs/>
          </w:rPr>
          <w:t>https://doi.org/10.1175/1520-0477(2001)082&lt;0619:PPAAWE&gt;2.3.CO;2</w:t>
        </w:r>
      </w:hyperlink>
      <w:r w:rsidRPr="006D3C53">
        <w:rPr>
          <w:rFonts w:asciiTheme="minorHAnsi" w:hAnsiTheme="minorHAnsi"/>
          <w:iCs/>
        </w:rPr>
        <w:t xml:space="preserve"> </w:t>
      </w:r>
    </w:p>
    <w:p w14:paraId="0268DC8C" w14:textId="73FF5D98"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Margolis EQ, Swetnam TW (2013) Historical fire–climate relationships of upper elevation fire regimes in the south-western United States. Int. J. of Wild. Fire 22:588–598. </w:t>
      </w:r>
      <w:hyperlink r:id="rId95" w:history="1">
        <w:r w:rsidR="00FC4B8D" w:rsidRPr="00831F77">
          <w:rPr>
            <w:rStyle w:val="Hyperlink"/>
            <w:rFonts w:asciiTheme="minorHAnsi" w:hAnsiTheme="minorHAnsi"/>
            <w:iCs/>
          </w:rPr>
          <w:t>https://doi.org/10.1071/WF12064</w:t>
        </w:r>
      </w:hyperlink>
      <w:r w:rsidR="00FC4B8D">
        <w:rPr>
          <w:rFonts w:asciiTheme="minorHAnsi" w:hAnsiTheme="minorHAnsi"/>
          <w:iCs/>
        </w:rPr>
        <w:t xml:space="preserve"> </w:t>
      </w:r>
      <w:r w:rsidRPr="00D45EF6">
        <w:rPr>
          <w:rFonts w:asciiTheme="minorHAnsi" w:hAnsiTheme="minorHAnsi"/>
          <w:iCs/>
        </w:rPr>
        <w:t xml:space="preserve"> </w:t>
      </w:r>
    </w:p>
    <w:p w14:paraId="0BE19E3C" w14:textId="26B67560"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Mason SA, Hamlington PE, Hamlington BD, Jolly MW, Hoffman CM (2017) Effects of climate oscillations on wildland fire potential in the continental United States. Geophys. Res. Lett. 44:7002–7010. </w:t>
      </w:r>
      <w:hyperlink r:id="rId96" w:history="1">
        <w:r w:rsidR="00FC4B8D" w:rsidRPr="00831F77">
          <w:rPr>
            <w:rStyle w:val="Hyperlink"/>
            <w:rFonts w:asciiTheme="minorHAnsi" w:hAnsiTheme="minorHAnsi"/>
            <w:iCs/>
          </w:rPr>
          <w:t>https://doi.org/10.1002/2017gl074111</w:t>
        </w:r>
      </w:hyperlink>
      <w:r w:rsidR="00FC4B8D">
        <w:rPr>
          <w:rFonts w:asciiTheme="minorHAnsi" w:hAnsiTheme="minorHAnsi"/>
          <w:iCs/>
        </w:rPr>
        <w:t xml:space="preserve"> </w:t>
      </w:r>
      <w:r w:rsidRPr="00D45EF6">
        <w:rPr>
          <w:rFonts w:asciiTheme="minorHAnsi" w:hAnsiTheme="minorHAnsi"/>
          <w:iCs/>
        </w:rPr>
        <w:t xml:space="preserve"> </w:t>
      </w:r>
    </w:p>
    <w:p w14:paraId="69802030" w14:textId="40C19FBE" w:rsidR="00D45EF6" w:rsidRDefault="00D45EF6" w:rsidP="00192F9B">
      <w:pPr>
        <w:spacing w:before="160" w:after="80"/>
        <w:rPr>
          <w:rFonts w:asciiTheme="minorHAnsi" w:hAnsiTheme="minorHAnsi"/>
          <w:iCs/>
        </w:rPr>
      </w:pPr>
      <w:r w:rsidRPr="00D45EF6">
        <w:rPr>
          <w:rFonts w:asciiTheme="minorHAnsi" w:hAnsiTheme="minorHAnsi"/>
          <w:iCs/>
        </w:rPr>
        <w:t xml:space="preserve">Moody TJ, Fites-Kaufman J, Stephens SL (2006) Fire history and climate influences from forests in the Northern Sierra Nevada, USA. Fire </w:t>
      </w:r>
      <w:proofErr w:type="spellStart"/>
      <w:r w:rsidRPr="00D45EF6">
        <w:rPr>
          <w:rFonts w:asciiTheme="minorHAnsi" w:hAnsiTheme="minorHAnsi"/>
          <w:iCs/>
        </w:rPr>
        <w:t>Ecol</w:t>
      </w:r>
      <w:proofErr w:type="spellEnd"/>
      <w:r w:rsidRPr="00D45EF6">
        <w:rPr>
          <w:rFonts w:asciiTheme="minorHAnsi" w:hAnsiTheme="minorHAnsi"/>
          <w:iCs/>
        </w:rPr>
        <w:t xml:space="preserve"> 2:115–141. </w:t>
      </w:r>
      <w:hyperlink r:id="rId97" w:history="1">
        <w:r w:rsidR="00FC4B8D" w:rsidRPr="00831F77">
          <w:rPr>
            <w:rStyle w:val="Hyperlink"/>
            <w:rFonts w:asciiTheme="minorHAnsi" w:hAnsiTheme="minorHAnsi"/>
            <w:iCs/>
          </w:rPr>
          <w:t>https://doi.org/10.4996/fireecology.0201115</w:t>
        </w:r>
      </w:hyperlink>
      <w:r w:rsidR="00FC4B8D">
        <w:rPr>
          <w:rFonts w:asciiTheme="minorHAnsi" w:hAnsiTheme="minorHAnsi"/>
          <w:iCs/>
        </w:rPr>
        <w:t xml:space="preserve"> </w:t>
      </w:r>
      <w:r w:rsidRPr="00D45EF6">
        <w:rPr>
          <w:rFonts w:asciiTheme="minorHAnsi" w:hAnsiTheme="minorHAnsi"/>
          <w:iCs/>
        </w:rPr>
        <w:t xml:space="preserve">   </w:t>
      </w:r>
    </w:p>
    <w:p w14:paraId="5F610A8A" w14:textId="433C059B" w:rsidR="008E38BA" w:rsidRPr="00D45EF6" w:rsidRDefault="008E38BA" w:rsidP="00192F9B">
      <w:pPr>
        <w:spacing w:before="160" w:after="80"/>
        <w:rPr>
          <w:rFonts w:asciiTheme="minorHAnsi" w:hAnsiTheme="minorHAnsi"/>
          <w:iCs/>
        </w:rPr>
      </w:pPr>
      <w:r w:rsidRPr="008E38BA">
        <w:rPr>
          <w:rFonts w:asciiTheme="minorHAnsi" w:hAnsiTheme="minorHAnsi"/>
          <w:iCs/>
        </w:rPr>
        <w:t>Ning L</w:t>
      </w:r>
      <w:r>
        <w:rPr>
          <w:rFonts w:asciiTheme="minorHAnsi" w:hAnsiTheme="minorHAnsi"/>
          <w:iCs/>
        </w:rPr>
        <w:t>,</w:t>
      </w:r>
      <w:r w:rsidRPr="008E38BA">
        <w:rPr>
          <w:rFonts w:asciiTheme="minorHAnsi" w:hAnsiTheme="minorHAnsi"/>
          <w:iCs/>
        </w:rPr>
        <w:t xml:space="preserve"> Bradley RS </w:t>
      </w:r>
      <w:r>
        <w:rPr>
          <w:rFonts w:asciiTheme="minorHAnsi" w:hAnsiTheme="minorHAnsi"/>
          <w:iCs/>
        </w:rPr>
        <w:t>(</w:t>
      </w:r>
      <w:r w:rsidRPr="008E38BA">
        <w:rPr>
          <w:rFonts w:asciiTheme="minorHAnsi" w:hAnsiTheme="minorHAnsi"/>
          <w:iCs/>
        </w:rPr>
        <w:t>2014</w:t>
      </w:r>
      <w:r>
        <w:rPr>
          <w:rFonts w:asciiTheme="minorHAnsi" w:hAnsiTheme="minorHAnsi"/>
          <w:iCs/>
        </w:rPr>
        <w:t>)</w:t>
      </w:r>
      <w:r w:rsidRPr="008E38BA">
        <w:rPr>
          <w:rFonts w:asciiTheme="minorHAnsi" w:hAnsiTheme="minorHAnsi"/>
          <w:iCs/>
        </w:rPr>
        <w:t xml:space="preserve"> Winter precipitation variability and corresponding teleconnections over the northeastern United States. </w:t>
      </w:r>
      <w:r>
        <w:rPr>
          <w:rFonts w:asciiTheme="minorHAnsi" w:hAnsiTheme="minorHAnsi"/>
          <w:iCs/>
        </w:rPr>
        <w:t xml:space="preserve">J. Geo. Res. Atmos. </w:t>
      </w:r>
      <w:r w:rsidRPr="008E38BA">
        <w:rPr>
          <w:rFonts w:asciiTheme="minorHAnsi" w:hAnsiTheme="minorHAnsi"/>
          <w:iCs/>
        </w:rPr>
        <w:t>119(13)</w:t>
      </w:r>
      <w:r>
        <w:rPr>
          <w:rFonts w:asciiTheme="minorHAnsi" w:hAnsiTheme="minorHAnsi"/>
          <w:iCs/>
        </w:rPr>
        <w:t>:</w:t>
      </w:r>
      <w:r w:rsidRPr="008E38BA">
        <w:rPr>
          <w:rFonts w:asciiTheme="minorHAnsi" w:hAnsiTheme="minorHAnsi"/>
          <w:iCs/>
        </w:rPr>
        <w:t>7931-7945.</w:t>
      </w:r>
      <w:r>
        <w:rPr>
          <w:rFonts w:asciiTheme="minorHAnsi" w:hAnsiTheme="minorHAnsi"/>
          <w:iCs/>
        </w:rPr>
        <w:t xml:space="preserve"> </w:t>
      </w:r>
      <w:hyperlink r:id="rId98" w:history="1">
        <w:r w:rsidRPr="00D67C4A">
          <w:rPr>
            <w:rStyle w:val="Hyperlink"/>
            <w:rFonts w:asciiTheme="minorHAnsi" w:hAnsiTheme="minorHAnsi"/>
            <w:iCs/>
          </w:rPr>
          <w:t>https://doi.org/10.1002/2014JD021591</w:t>
        </w:r>
      </w:hyperlink>
      <w:r>
        <w:rPr>
          <w:rFonts w:asciiTheme="minorHAnsi" w:hAnsiTheme="minorHAnsi"/>
          <w:iCs/>
        </w:rPr>
        <w:t xml:space="preserve">  </w:t>
      </w:r>
    </w:p>
    <w:p w14:paraId="7F47F435" w14:textId="686A4DAA" w:rsidR="006D3C53" w:rsidRDefault="00D45EF6" w:rsidP="00192F9B">
      <w:pPr>
        <w:spacing w:before="160" w:after="80"/>
        <w:rPr>
          <w:rFonts w:asciiTheme="minorHAnsi" w:hAnsiTheme="minorHAnsi"/>
          <w:iCs/>
        </w:rPr>
      </w:pPr>
      <w:r w:rsidRPr="00D45EF6">
        <w:rPr>
          <w:rFonts w:asciiTheme="minorHAnsi" w:hAnsiTheme="minorHAnsi"/>
          <w:iCs/>
        </w:rPr>
        <w:t xml:space="preserve">Norman SP, Taylor AH (2003). Tropical and north Pacific teleconnections influence fire regimes in pine-dominated forests of north-eastern California, USA. J Biogeog. 30:1081–1092. </w:t>
      </w:r>
      <w:hyperlink r:id="rId99" w:history="1">
        <w:r w:rsidR="00FC4B8D" w:rsidRPr="00831F77">
          <w:rPr>
            <w:rStyle w:val="Hyperlink"/>
            <w:rFonts w:asciiTheme="minorHAnsi" w:hAnsiTheme="minorHAnsi"/>
            <w:iCs/>
          </w:rPr>
          <w:t>https://doi.org/10.1046/j.1365-2699.2003.00889.x</w:t>
        </w:r>
      </w:hyperlink>
      <w:r w:rsidR="00FC4B8D">
        <w:rPr>
          <w:rFonts w:asciiTheme="minorHAnsi" w:hAnsiTheme="minorHAnsi"/>
          <w:iCs/>
        </w:rPr>
        <w:t xml:space="preserve"> </w:t>
      </w:r>
      <w:r w:rsidRPr="00D45EF6">
        <w:rPr>
          <w:rFonts w:asciiTheme="minorHAnsi" w:hAnsiTheme="minorHAnsi"/>
          <w:iCs/>
        </w:rPr>
        <w:t xml:space="preserve">    </w:t>
      </w:r>
    </w:p>
    <w:p w14:paraId="3CA32306" w14:textId="6624FFBB" w:rsidR="0023310B" w:rsidRDefault="0023310B" w:rsidP="00192F9B">
      <w:pPr>
        <w:spacing w:before="160" w:after="80"/>
        <w:rPr>
          <w:rFonts w:asciiTheme="minorHAnsi" w:hAnsiTheme="minorHAnsi"/>
          <w:iCs/>
        </w:rPr>
      </w:pPr>
      <w:r w:rsidRPr="0023310B">
        <w:rPr>
          <w:rFonts w:asciiTheme="minorHAnsi" w:hAnsiTheme="minorHAnsi"/>
          <w:iCs/>
        </w:rPr>
        <w:t xml:space="preserve">Rodrigo FS (2021) Exploring combined influences of seasonal East Atlantic (EA) and North Atlantic Oscillation (NAO) on the temperature-precipitation relationship in the Iberian Peninsula. Geosci. 11(5):211. </w:t>
      </w:r>
      <w:hyperlink r:id="rId100" w:history="1">
        <w:r w:rsidR="009E58EC" w:rsidRPr="004B2A77">
          <w:rPr>
            <w:rStyle w:val="Hyperlink"/>
            <w:rFonts w:asciiTheme="minorHAnsi" w:hAnsiTheme="minorHAnsi"/>
            <w:iCs/>
          </w:rPr>
          <w:t>https://doi.org/10.3390/geosciences11050211</w:t>
        </w:r>
      </w:hyperlink>
      <w:r w:rsidR="009E58EC">
        <w:rPr>
          <w:rFonts w:asciiTheme="minorHAnsi" w:hAnsiTheme="minorHAnsi"/>
          <w:iCs/>
        </w:rPr>
        <w:t xml:space="preserve"> </w:t>
      </w:r>
    </w:p>
    <w:p w14:paraId="735FD1B4" w14:textId="5F1A1AE2" w:rsidR="00D45EF6" w:rsidRPr="00D45EF6" w:rsidRDefault="006D3C53" w:rsidP="00192F9B">
      <w:pPr>
        <w:spacing w:before="160" w:after="80"/>
        <w:rPr>
          <w:rFonts w:asciiTheme="minorHAnsi" w:hAnsiTheme="minorHAnsi"/>
          <w:iCs/>
        </w:rPr>
      </w:pPr>
      <w:r w:rsidRPr="006D3C53">
        <w:rPr>
          <w:rFonts w:asciiTheme="minorHAnsi" w:hAnsiTheme="minorHAnsi"/>
          <w:iCs/>
        </w:rPr>
        <w:t xml:space="preserve">Ropelewski CF, Halpert MS (1987) Global and regional scale precipitation patterns associated with the El Niño/Southern Oscillation. Mon. </w:t>
      </w:r>
      <w:proofErr w:type="spellStart"/>
      <w:r w:rsidRPr="006D3C53">
        <w:rPr>
          <w:rFonts w:asciiTheme="minorHAnsi" w:hAnsiTheme="minorHAnsi"/>
          <w:iCs/>
        </w:rPr>
        <w:t>Weath</w:t>
      </w:r>
      <w:proofErr w:type="spellEnd"/>
      <w:r w:rsidRPr="006D3C53">
        <w:rPr>
          <w:rFonts w:asciiTheme="minorHAnsi" w:hAnsiTheme="minorHAnsi"/>
          <w:iCs/>
        </w:rPr>
        <w:t>. Rev. 115(8):1606-1626. https://doi.org/10.1175/1520-</w:t>
      </w:r>
      <w:proofErr w:type="gramStart"/>
      <w:r w:rsidRPr="006D3C53">
        <w:rPr>
          <w:rFonts w:asciiTheme="minorHAnsi" w:hAnsiTheme="minorHAnsi"/>
          <w:iCs/>
        </w:rPr>
        <w:t>0493(</w:t>
      </w:r>
      <w:proofErr w:type="gramEnd"/>
      <w:r w:rsidRPr="006D3C53">
        <w:rPr>
          <w:rFonts w:asciiTheme="minorHAnsi" w:hAnsiTheme="minorHAnsi"/>
          <w:iCs/>
        </w:rPr>
        <w:t>1987)115&lt;1606:GARSPP&gt;2.0.CO;2</w:t>
      </w:r>
    </w:p>
    <w:p w14:paraId="3DFCD61C" w14:textId="0786284C"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Schoennagel T, Veblen TT, Romme WH, Sibold JS, Cook ER (2005) ENSO and PDO variability affect drought-induced fire occurrence in Rocky Mountain subalpine forests. Ecol. Appl. 15:2000-2014. </w:t>
      </w:r>
      <w:hyperlink r:id="rId101" w:history="1">
        <w:r w:rsidR="00FC4B8D" w:rsidRPr="00831F77">
          <w:rPr>
            <w:rStyle w:val="Hyperlink"/>
            <w:rFonts w:asciiTheme="minorHAnsi" w:hAnsiTheme="minorHAnsi"/>
            <w:iCs/>
          </w:rPr>
          <w:t>https://doi.org/10.1890/04-1579</w:t>
        </w:r>
      </w:hyperlink>
      <w:r w:rsidR="00FC4B8D">
        <w:rPr>
          <w:rFonts w:asciiTheme="minorHAnsi" w:hAnsiTheme="minorHAnsi"/>
          <w:iCs/>
        </w:rPr>
        <w:t xml:space="preserve"> </w:t>
      </w:r>
      <w:r w:rsidRPr="00D45EF6">
        <w:rPr>
          <w:rFonts w:asciiTheme="minorHAnsi" w:hAnsiTheme="minorHAnsi"/>
          <w:iCs/>
        </w:rPr>
        <w:t xml:space="preserve">     </w:t>
      </w:r>
    </w:p>
    <w:p w14:paraId="27AEC36B" w14:textId="40C49711"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Sibold JS, Veblen TT (2006) Relationships of subalpine forest fires in the Colorado Front Range with interannual and multidecadal-scale climatic variation, J. </w:t>
      </w:r>
      <w:proofErr w:type="spellStart"/>
      <w:r w:rsidRPr="00D45EF6">
        <w:rPr>
          <w:rFonts w:asciiTheme="minorHAnsi" w:hAnsiTheme="minorHAnsi"/>
          <w:iCs/>
        </w:rPr>
        <w:t>Biogeogr</w:t>
      </w:r>
      <w:proofErr w:type="spellEnd"/>
      <w:r w:rsidRPr="00D45EF6">
        <w:rPr>
          <w:rFonts w:asciiTheme="minorHAnsi" w:hAnsiTheme="minorHAnsi"/>
          <w:iCs/>
        </w:rPr>
        <w:t xml:space="preserve">., 33(5):833–842. </w:t>
      </w:r>
      <w:hyperlink r:id="rId102" w:history="1">
        <w:r w:rsidR="00FC4B8D" w:rsidRPr="00831F77">
          <w:rPr>
            <w:rStyle w:val="Hyperlink"/>
            <w:rFonts w:asciiTheme="minorHAnsi" w:hAnsiTheme="minorHAnsi"/>
            <w:iCs/>
          </w:rPr>
          <w:t>https://doi.org/10.1111/j.1365-2699.2006.01456.x</w:t>
        </w:r>
      </w:hyperlink>
      <w:r w:rsidR="00FC4B8D">
        <w:rPr>
          <w:rFonts w:asciiTheme="minorHAnsi" w:hAnsiTheme="minorHAnsi"/>
          <w:iCs/>
        </w:rPr>
        <w:t xml:space="preserve"> </w:t>
      </w:r>
      <w:r w:rsidRPr="00D45EF6">
        <w:rPr>
          <w:rFonts w:asciiTheme="minorHAnsi" w:hAnsiTheme="minorHAnsi"/>
          <w:iCs/>
        </w:rPr>
        <w:t xml:space="preserve"> </w:t>
      </w:r>
    </w:p>
    <w:p w14:paraId="1E9B2054" w14:textId="0DAA9490" w:rsidR="0059170C" w:rsidRDefault="00D45EF6" w:rsidP="00192F9B">
      <w:pPr>
        <w:spacing w:before="160" w:after="80"/>
        <w:rPr>
          <w:rFonts w:asciiTheme="minorHAnsi" w:hAnsiTheme="minorHAnsi"/>
          <w:iCs/>
        </w:rPr>
      </w:pPr>
      <w:r w:rsidRPr="00D45EF6">
        <w:rPr>
          <w:rFonts w:asciiTheme="minorHAnsi" w:hAnsiTheme="minorHAnsi"/>
          <w:iCs/>
        </w:rPr>
        <w:t xml:space="preserve">Simard AJ, Haines DA, Main WA (1985) Relations between El Nino/Southern Oscillation anomalies and wildland fire activity in the United States. </w:t>
      </w:r>
      <w:proofErr w:type="spellStart"/>
      <w:r w:rsidRPr="00D45EF6">
        <w:rPr>
          <w:rFonts w:asciiTheme="minorHAnsi" w:hAnsiTheme="minorHAnsi"/>
          <w:iCs/>
        </w:rPr>
        <w:t>Agr.For</w:t>
      </w:r>
      <w:proofErr w:type="spellEnd"/>
      <w:r w:rsidRPr="00D45EF6">
        <w:rPr>
          <w:rFonts w:asciiTheme="minorHAnsi" w:hAnsiTheme="minorHAnsi"/>
          <w:iCs/>
        </w:rPr>
        <w:t xml:space="preserve">. Met. 36:93-104, </w:t>
      </w:r>
      <w:hyperlink r:id="rId103" w:history="1">
        <w:r w:rsidR="00FC4B8D" w:rsidRPr="00831F77">
          <w:rPr>
            <w:rStyle w:val="Hyperlink"/>
            <w:rFonts w:asciiTheme="minorHAnsi" w:hAnsiTheme="minorHAnsi"/>
            <w:iCs/>
          </w:rPr>
          <w:t>https://doi.org/10.1016/0168-1923(85)90001-2</w:t>
        </w:r>
      </w:hyperlink>
      <w:r w:rsidR="00FC4B8D">
        <w:rPr>
          <w:rFonts w:asciiTheme="minorHAnsi" w:hAnsiTheme="minorHAnsi"/>
          <w:iCs/>
        </w:rPr>
        <w:t xml:space="preserve"> </w:t>
      </w:r>
      <w:r w:rsidRPr="00D45EF6">
        <w:rPr>
          <w:rFonts w:asciiTheme="minorHAnsi" w:hAnsiTheme="minorHAnsi"/>
          <w:iCs/>
        </w:rPr>
        <w:t xml:space="preserve"> </w:t>
      </w:r>
      <w:r w:rsidR="00FC4B8D">
        <w:rPr>
          <w:rFonts w:asciiTheme="minorHAnsi" w:hAnsiTheme="minorHAnsi"/>
          <w:iCs/>
        </w:rPr>
        <w:t xml:space="preserve"> </w:t>
      </w:r>
      <w:r w:rsidRPr="00D45EF6">
        <w:rPr>
          <w:rFonts w:asciiTheme="minorHAnsi" w:hAnsiTheme="minorHAnsi"/>
          <w:iCs/>
        </w:rPr>
        <w:t xml:space="preserve">  </w:t>
      </w:r>
    </w:p>
    <w:p w14:paraId="0B02ED72" w14:textId="4EC3BC3B" w:rsidR="0023310B" w:rsidRDefault="0023310B" w:rsidP="00192F9B">
      <w:pPr>
        <w:spacing w:before="160" w:after="80"/>
        <w:rPr>
          <w:rFonts w:asciiTheme="minorHAnsi" w:hAnsiTheme="minorHAnsi"/>
          <w:iCs/>
        </w:rPr>
      </w:pPr>
      <w:r w:rsidRPr="0023310B">
        <w:rPr>
          <w:rFonts w:asciiTheme="minorHAnsi" w:hAnsiTheme="minorHAnsi"/>
          <w:iCs/>
        </w:rPr>
        <w:t xml:space="preserve">Simpkins G (2021). Breaking down the NAO–AO connection. Nat. Rev. Earth Env. 2(2):88-88. </w:t>
      </w:r>
      <w:hyperlink r:id="rId104" w:history="1">
        <w:r w:rsidRPr="004B2A77">
          <w:rPr>
            <w:rStyle w:val="Hyperlink"/>
            <w:rFonts w:asciiTheme="minorHAnsi" w:hAnsiTheme="minorHAnsi"/>
            <w:iCs/>
          </w:rPr>
          <w:t>https://doi.org/10.1038/s43017-021-00139-x</w:t>
        </w:r>
      </w:hyperlink>
      <w:r>
        <w:rPr>
          <w:rFonts w:asciiTheme="minorHAnsi" w:hAnsiTheme="minorHAnsi"/>
          <w:iCs/>
        </w:rPr>
        <w:t xml:space="preserve"> </w:t>
      </w:r>
    </w:p>
    <w:p w14:paraId="768BB224" w14:textId="50E44E80" w:rsidR="00D45EF6" w:rsidRPr="00D45EF6" w:rsidRDefault="0059170C" w:rsidP="00192F9B">
      <w:pPr>
        <w:spacing w:before="160" w:after="80"/>
        <w:rPr>
          <w:rFonts w:asciiTheme="minorHAnsi" w:hAnsiTheme="minorHAnsi"/>
          <w:iCs/>
        </w:rPr>
      </w:pPr>
      <w:r w:rsidRPr="0059170C">
        <w:rPr>
          <w:rFonts w:asciiTheme="minorHAnsi" w:hAnsiTheme="minorHAnsi"/>
          <w:iCs/>
        </w:rPr>
        <w:t xml:space="preserve">Soulard N, Lin H, Yu B (2019) The changing relationship between ENSO and its extratropical response patterns. Sci. Rep. 9(1):6507. </w:t>
      </w:r>
      <w:hyperlink r:id="rId105" w:history="1">
        <w:r w:rsidRPr="004B2A77">
          <w:rPr>
            <w:rStyle w:val="Hyperlink"/>
            <w:rFonts w:asciiTheme="minorHAnsi" w:hAnsiTheme="minorHAnsi"/>
            <w:iCs/>
          </w:rPr>
          <w:t>https://doi.org/10.1038/s41598-019-42922-3</w:t>
        </w:r>
      </w:hyperlink>
      <w:r>
        <w:rPr>
          <w:rFonts w:asciiTheme="minorHAnsi" w:hAnsiTheme="minorHAnsi"/>
          <w:iCs/>
        </w:rPr>
        <w:t xml:space="preserve"> </w:t>
      </w:r>
    </w:p>
    <w:p w14:paraId="683DF9D9" w14:textId="61A470D8"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Swetnam TW, Betancourt JL (1998) Mesoscale disturbance and ecological response to decadal climatic variability in the American Southwest. J. Clim. 11:3128–3147. </w:t>
      </w:r>
      <w:hyperlink r:id="rId106" w:history="1">
        <w:r w:rsidR="00FC4B8D" w:rsidRPr="00831F77">
          <w:rPr>
            <w:rStyle w:val="Hyperlink"/>
            <w:rFonts w:asciiTheme="minorHAnsi" w:hAnsiTheme="minorHAnsi"/>
            <w:iCs/>
          </w:rPr>
          <w:t>https://doi.org/10.1175/1520-0442(1998)011&lt;3128:MDAERT&gt;2.0.CO;2</w:t>
        </w:r>
      </w:hyperlink>
      <w:r w:rsidR="00FC4B8D">
        <w:rPr>
          <w:rFonts w:asciiTheme="minorHAnsi" w:hAnsiTheme="minorHAnsi"/>
          <w:iCs/>
        </w:rPr>
        <w:t xml:space="preserve"> </w:t>
      </w:r>
      <w:r w:rsidRPr="00D45EF6">
        <w:rPr>
          <w:rFonts w:asciiTheme="minorHAnsi" w:hAnsiTheme="minorHAnsi"/>
          <w:iCs/>
        </w:rPr>
        <w:t xml:space="preserve"> </w:t>
      </w:r>
    </w:p>
    <w:p w14:paraId="0E4B904D" w14:textId="1A1A1417" w:rsidR="00AF6CB9" w:rsidRDefault="00D45EF6" w:rsidP="00192F9B">
      <w:pPr>
        <w:spacing w:before="160" w:after="80"/>
        <w:rPr>
          <w:rFonts w:asciiTheme="minorHAnsi" w:hAnsiTheme="minorHAnsi"/>
          <w:iCs/>
        </w:rPr>
      </w:pPr>
      <w:r w:rsidRPr="00D45EF6">
        <w:rPr>
          <w:rFonts w:asciiTheme="minorHAnsi" w:hAnsiTheme="minorHAnsi"/>
          <w:iCs/>
        </w:rPr>
        <w:t xml:space="preserve">Swetnam TW, Betancourt JL (1990) Fire-southern oscillation relations in the southwestern United States. Science 249:1017–1020, </w:t>
      </w:r>
      <w:hyperlink r:id="rId107" w:history="1">
        <w:r w:rsidR="00FC4B8D" w:rsidRPr="00831F77">
          <w:rPr>
            <w:rStyle w:val="Hyperlink"/>
            <w:rFonts w:asciiTheme="minorHAnsi" w:hAnsiTheme="minorHAnsi"/>
            <w:iCs/>
          </w:rPr>
          <w:t>https://doi.org/10.1126/science.249.4972.1017</w:t>
        </w:r>
      </w:hyperlink>
      <w:r w:rsidR="00FC4B8D">
        <w:rPr>
          <w:rFonts w:asciiTheme="minorHAnsi" w:hAnsiTheme="minorHAnsi"/>
          <w:iCs/>
        </w:rPr>
        <w:t xml:space="preserve"> </w:t>
      </w:r>
      <w:r w:rsidRPr="00D45EF6">
        <w:rPr>
          <w:rFonts w:asciiTheme="minorHAnsi" w:hAnsiTheme="minorHAnsi"/>
          <w:iCs/>
        </w:rPr>
        <w:t xml:space="preserve"> </w:t>
      </w:r>
    </w:p>
    <w:p w14:paraId="2CA6F3E4" w14:textId="7C8A0155" w:rsidR="00D45EF6" w:rsidRPr="00D45EF6" w:rsidRDefault="00AF6CB9" w:rsidP="00192F9B">
      <w:pPr>
        <w:spacing w:before="160" w:after="80"/>
        <w:rPr>
          <w:rFonts w:asciiTheme="minorHAnsi" w:hAnsiTheme="minorHAnsi"/>
          <w:iCs/>
        </w:rPr>
      </w:pPr>
      <w:r w:rsidRPr="00AF6CB9">
        <w:rPr>
          <w:rFonts w:asciiTheme="minorHAnsi" w:hAnsiTheme="minorHAnsi"/>
          <w:iCs/>
        </w:rPr>
        <w:t>Tang X, Li J, Zhang Y, Li Y</w:t>
      </w:r>
      <w:r>
        <w:rPr>
          <w:rFonts w:asciiTheme="minorHAnsi" w:hAnsiTheme="minorHAnsi"/>
          <w:iCs/>
        </w:rPr>
        <w:t>,</w:t>
      </w:r>
      <w:r w:rsidRPr="00AF6CB9">
        <w:rPr>
          <w:rFonts w:asciiTheme="minorHAnsi" w:hAnsiTheme="minorHAnsi"/>
          <w:iCs/>
        </w:rPr>
        <w:t xml:space="preserve"> Zhao S </w:t>
      </w:r>
      <w:r>
        <w:rPr>
          <w:rFonts w:asciiTheme="minorHAnsi" w:hAnsiTheme="minorHAnsi"/>
          <w:iCs/>
        </w:rPr>
        <w:t>(</w:t>
      </w:r>
      <w:r w:rsidRPr="00AF6CB9">
        <w:rPr>
          <w:rFonts w:asciiTheme="minorHAnsi" w:hAnsiTheme="minorHAnsi"/>
          <w:iCs/>
        </w:rPr>
        <w:t>2023</w:t>
      </w:r>
      <w:r>
        <w:rPr>
          <w:rFonts w:asciiTheme="minorHAnsi" w:hAnsiTheme="minorHAnsi"/>
          <w:iCs/>
        </w:rPr>
        <w:t>)</w:t>
      </w:r>
      <w:r w:rsidRPr="00AF6CB9">
        <w:rPr>
          <w:rFonts w:asciiTheme="minorHAnsi" w:hAnsiTheme="minorHAnsi"/>
          <w:iCs/>
        </w:rPr>
        <w:t xml:space="preserve"> Synergistic effect of El Niño and negative phase of North Atlantic Oscillation on winter precipitation in the southeastern United States. </w:t>
      </w:r>
      <w:r>
        <w:rPr>
          <w:rFonts w:asciiTheme="minorHAnsi" w:hAnsiTheme="minorHAnsi"/>
          <w:iCs/>
        </w:rPr>
        <w:t>J. Clim.</w:t>
      </w:r>
      <w:r w:rsidRPr="00AF6CB9">
        <w:rPr>
          <w:rFonts w:asciiTheme="minorHAnsi" w:hAnsiTheme="minorHAnsi"/>
          <w:iCs/>
        </w:rPr>
        <w:t xml:space="preserve"> 36(6)</w:t>
      </w:r>
      <w:r>
        <w:rPr>
          <w:rFonts w:asciiTheme="minorHAnsi" w:hAnsiTheme="minorHAnsi"/>
          <w:iCs/>
        </w:rPr>
        <w:t>:</w:t>
      </w:r>
      <w:r w:rsidRPr="00AF6CB9">
        <w:rPr>
          <w:rFonts w:asciiTheme="minorHAnsi" w:hAnsiTheme="minorHAnsi"/>
          <w:iCs/>
        </w:rPr>
        <w:t>1767-1791.</w:t>
      </w:r>
      <w:r>
        <w:rPr>
          <w:rFonts w:asciiTheme="minorHAnsi" w:hAnsiTheme="minorHAnsi"/>
          <w:iCs/>
        </w:rPr>
        <w:t xml:space="preserve"> </w:t>
      </w:r>
      <w:hyperlink r:id="rId108" w:history="1">
        <w:r w:rsidRPr="004B2A77">
          <w:rPr>
            <w:rStyle w:val="Hyperlink"/>
            <w:rFonts w:asciiTheme="minorHAnsi" w:hAnsiTheme="minorHAnsi"/>
            <w:iCs/>
          </w:rPr>
          <w:t>https://doi.org/10.1175/JCLI-D-22-0293.1</w:t>
        </w:r>
      </w:hyperlink>
      <w:r>
        <w:rPr>
          <w:rFonts w:asciiTheme="minorHAnsi" w:hAnsiTheme="minorHAnsi"/>
          <w:iCs/>
        </w:rPr>
        <w:t xml:space="preserve"> </w:t>
      </w:r>
    </w:p>
    <w:p w14:paraId="1BE7478C" w14:textId="5562052D" w:rsidR="00D45EF6" w:rsidRPr="00D45EF6" w:rsidRDefault="00D45EF6" w:rsidP="00192F9B">
      <w:pPr>
        <w:spacing w:before="160" w:after="80"/>
        <w:rPr>
          <w:rFonts w:asciiTheme="minorHAnsi" w:hAnsiTheme="minorHAnsi"/>
          <w:iCs/>
        </w:rPr>
      </w:pPr>
      <w:r w:rsidRPr="00D45EF6">
        <w:rPr>
          <w:rFonts w:asciiTheme="minorHAnsi" w:hAnsiTheme="minorHAnsi"/>
          <w:iCs/>
        </w:rPr>
        <w:t xml:space="preserve">Trouet V, Taylor AH, Wahl ER, Skinner CN, Stephens SL (2010) Fire-climate interactions in the American West since 1400 CE. Geophys. Res. Lett. 37:L04702 </w:t>
      </w:r>
      <w:hyperlink r:id="rId109" w:history="1">
        <w:r w:rsidR="00FC4B8D" w:rsidRPr="00831F77">
          <w:rPr>
            <w:rStyle w:val="Hyperlink"/>
            <w:rFonts w:asciiTheme="minorHAnsi" w:hAnsiTheme="minorHAnsi"/>
            <w:iCs/>
          </w:rPr>
          <w:t>https://doi.org/10.1029/2009GL041695</w:t>
        </w:r>
      </w:hyperlink>
      <w:r w:rsidR="00FC4B8D">
        <w:rPr>
          <w:rFonts w:asciiTheme="minorHAnsi" w:hAnsiTheme="minorHAnsi"/>
          <w:iCs/>
        </w:rPr>
        <w:t xml:space="preserve"> </w:t>
      </w:r>
      <w:r w:rsidRPr="00D45EF6">
        <w:rPr>
          <w:rFonts w:asciiTheme="minorHAnsi" w:hAnsiTheme="minorHAnsi"/>
          <w:iCs/>
        </w:rPr>
        <w:t xml:space="preserve">   </w:t>
      </w:r>
    </w:p>
    <w:p w14:paraId="2F3EE474" w14:textId="7D0A20DD" w:rsidR="0EA9B482" w:rsidRPr="00A410DB" w:rsidRDefault="00D45EF6" w:rsidP="00192F9B">
      <w:pPr>
        <w:spacing w:before="160" w:after="80"/>
        <w:rPr>
          <w:rFonts w:asciiTheme="minorHAnsi" w:hAnsiTheme="minorHAnsi"/>
          <w:bCs/>
          <w:iCs/>
        </w:rPr>
      </w:pPr>
      <w:r w:rsidRPr="00D45EF6">
        <w:rPr>
          <w:rFonts w:asciiTheme="minorHAnsi" w:hAnsiTheme="minorHAnsi"/>
          <w:iCs/>
        </w:rPr>
        <w:t xml:space="preserve">Westerling AL, Swetnam TW (2003) Interannual to decadal drought and wildfire in the western United States. Trans. AGU 84(49):545-555. </w:t>
      </w:r>
      <w:hyperlink r:id="rId110" w:history="1">
        <w:r w:rsidR="00FC4B8D" w:rsidRPr="00831F77">
          <w:rPr>
            <w:rStyle w:val="Hyperlink"/>
            <w:rFonts w:asciiTheme="minorHAnsi" w:hAnsiTheme="minorHAnsi"/>
            <w:iCs/>
          </w:rPr>
          <w:t>https://doi.org/10.1029/2003EO490001</w:t>
        </w:r>
      </w:hyperlink>
      <w:r w:rsidR="00FC4B8D">
        <w:rPr>
          <w:rFonts w:asciiTheme="minorHAnsi" w:hAnsiTheme="minorHAnsi"/>
          <w:iCs/>
        </w:rPr>
        <w:t xml:space="preserve"> </w:t>
      </w:r>
      <w:r w:rsidRPr="00D45EF6">
        <w:rPr>
          <w:rFonts w:asciiTheme="minorHAnsi" w:hAnsiTheme="minorHAnsi"/>
          <w:iCs/>
        </w:rPr>
        <w:t xml:space="preserve"> </w:t>
      </w:r>
      <w:bookmarkStart w:id="0" w:name="_GoBack"/>
      <w:bookmarkEnd w:id="0"/>
    </w:p>
    <w:sectPr w:rsidR="0EA9B482" w:rsidRPr="00A410DB" w:rsidSect="003536EC">
      <w:footerReference w:type="even" r:id="rId111"/>
      <w:footerReference w:type="default" r:id="rId1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3614F" w14:textId="77777777" w:rsidR="00644DC3" w:rsidRDefault="00644DC3" w:rsidP="003434B8">
      <w:r>
        <w:separator/>
      </w:r>
    </w:p>
  </w:endnote>
  <w:endnote w:type="continuationSeparator" w:id="0">
    <w:p w14:paraId="63781960" w14:textId="77777777" w:rsidR="00644DC3" w:rsidRDefault="00644DC3" w:rsidP="003434B8">
      <w:r>
        <w:continuationSeparator/>
      </w:r>
    </w:p>
  </w:endnote>
  <w:endnote w:type="continuationNotice" w:id="1">
    <w:p w14:paraId="6ECBD091" w14:textId="77777777" w:rsidR="00644DC3" w:rsidRDefault="00644D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75793850"/>
      <w:docPartObj>
        <w:docPartGallery w:val="Page Numbers (Bottom of Page)"/>
        <w:docPartUnique/>
      </w:docPartObj>
    </w:sdtPr>
    <w:sdtEndPr>
      <w:rPr>
        <w:rStyle w:val="PageNumber"/>
      </w:rPr>
    </w:sdtEndPr>
    <w:sdtContent>
      <w:p w14:paraId="3E363D30" w14:textId="51DF969E" w:rsidR="00B53C14" w:rsidRDefault="00B53C14" w:rsidP="005145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3F51CC" w14:textId="77777777" w:rsidR="00B53C14" w:rsidRDefault="00B53C14" w:rsidP="00B53C1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99456677"/>
      <w:docPartObj>
        <w:docPartGallery w:val="Page Numbers (Bottom of Page)"/>
        <w:docPartUnique/>
      </w:docPartObj>
    </w:sdtPr>
    <w:sdtEndPr>
      <w:rPr>
        <w:rStyle w:val="PageNumber"/>
      </w:rPr>
    </w:sdtEndPr>
    <w:sdtContent>
      <w:p w14:paraId="445C64E0" w14:textId="65760CF9" w:rsidR="00B53C14" w:rsidRDefault="00B53C14" w:rsidP="005145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87A10">
          <w:rPr>
            <w:rStyle w:val="PageNumber"/>
            <w:noProof/>
          </w:rPr>
          <w:t>54</w:t>
        </w:r>
        <w:r>
          <w:rPr>
            <w:rStyle w:val="PageNumber"/>
          </w:rPr>
          <w:fldChar w:fldCharType="end"/>
        </w:r>
      </w:p>
    </w:sdtContent>
  </w:sdt>
  <w:p w14:paraId="531F018D" w14:textId="77777777" w:rsidR="00B957DB" w:rsidRDefault="00B957DB" w:rsidP="00B53C1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98304" w14:textId="77777777" w:rsidR="00644DC3" w:rsidRDefault="00644DC3" w:rsidP="003434B8">
      <w:r>
        <w:separator/>
      </w:r>
    </w:p>
  </w:footnote>
  <w:footnote w:type="continuationSeparator" w:id="0">
    <w:p w14:paraId="576490D8" w14:textId="77777777" w:rsidR="00644DC3" w:rsidRDefault="00644DC3" w:rsidP="003434B8">
      <w:r>
        <w:continuationSeparator/>
      </w:r>
    </w:p>
  </w:footnote>
  <w:footnote w:type="continuationNotice" w:id="1">
    <w:p w14:paraId="7F1AB959" w14:textId="77777777" w:rsidR="00644DC3" w:rsidRDefault="00644DC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600C4"/>
    <w:multiLevelType w:val="hybridMultilevel"/>
    <w:tmpl w:val="CBB8D2CA"/>
    <w:lvl w:ilvl="0" w:tplc="E0C0DE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B2A526D"/>
    <w:multiLevelType w:val="multilevel"/>
    <w:tmpl w:val="83ACFB94"/>
    <w:lvl w:ilvl="0">
      <w:start w:val="1"/>
      <w:numFmt w:val="decimal"/>
      <w:lvlText w:val="%1."/>
      <w:lvlJc w:val="left"/>
      <w:pPr>
        <w:ind w:left="107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876AB2"/>
    <w:rsid w:val="000003CD"/>
    <w:rsid w:val="00000A62"/>
    <w:rsid w:val="00000E4B"/>
    <w:rsid w:val="000038E1"/>
    <w:rsid w:val="00003BDA"/>
    <w:rsid w:val="00005CD7"/>
    <w:rsid w:val="00006995"/>
    <w:rsid w:val="00006EB7"/>
    <w:rsid w:val="000073C7"/>
    <w:rsid w:val="000120F4"/>
    <w:rsid w:val="00012249"/>
    <w:rsid w:val="00012F67"/>
    <w:rsid w:val="00013700"/>
    <w:rsid w:val="00013C12"/>
    <w:rsid w:val="00014625"/>
    <w:rsid w:val="0001572C"/>
    <w:rsid w:val="00015A41"/>
    <w:rsid w:val="0001703A"/>
    <w:rsid w:val="00017CC6"/>
    <w:rsid w:val="00017E63"/>
    <w:rsid w:val="00020AA4"/>
    <w:rsid w:val="00020CE9"/>
    <w:rsid w:val="000210A7"/>
    <w:rsid w:val="00021AF3"/>
    <w:rsid w:val="000222FB"/>
    <w:rsid w:val="0002273A"/>
    <w:rsid w:val="0002303F"/>
    <w:rsid w:val="000238FB"/>
    <w:rsid w:val="00024469"/>
    <w:rsid w:val="00027091"/>
    <w:rsid w:val="00032E96"/>
    <w:rsid w:val="00033772"/>
    <w:rsid w:val="00036409"/>
    <w:rsid w:val="00037526"/>
    <w:rsid w:val="00037F88"/>
    <w:rsid w:val="00040230"/>
    <w:rsid w:val="000408F2"/>
    <w:rsid w:val="0004194B"/>
    <w:rsid w:val="00041FA1"/>
    <w:rsid w:val="00042B43"/>
    <w:rsid w:val="00043155"/>
    <w:rsid w:val="00043AB2"/>
    <w:rsid w:val="0004418F"/>
    <w:rsid w:val="00044ADA"/>
    <w:rsid w:val="00045730"/>
    <w:rsid w:val="00045908"/>
    <w:rsid w:val="00045951"/>
    <w:rsid w:val="000459FA"/>
    <w:rsid w:val="00045E3C"/>
    <w:rsid w:val="00046255"/>
    <w:rsid w:val="0004640D"/>
    <w:rsid w:val="00046893"/>
    <w:rsid w:val="0004757B"/>
    <w:rsid w:val="00047B23"/>
    <w:rsid w:val="0004D5D5"/>
    <w:rsid w:val="0005042E"/>
    <w:rsid w:val="00050D1B"/>
    <w:rsid w:val="00050E73"/>
    <w:rsid w:val="00051EFA"/>
    <w:rsid w:val="00052211"/>
    <w:rsid w:val="00052EE9"/>
    <w:rsid w:val="000539BB"/>
    <w:rsid w:val="000552C3"/>
    <w:rsid w:val="0005542B"/>
    <w:rsid w:val="00056621"/>
    <w:rsid w:val="00056CD9"/>
    <w:rsid w:val="00057FF1"/>
    <w:rsid w:val="0005F174"/>
    <w:rsid w:val="00060B15"/>
    <w:rsid w:val="00060B3F"/>
    <w:rsid w:val="00060C94"/>
    <w:rsid w:val="00062EB8"/>
    <w:rsid w:val="00064338"/>
    <w:rsid w:val="00064A5A"/>
    <w:rsid w:val="000652C2"/>
    <w:rsid w:val="00066121"/>
    <w:rsid w:val="00070071"/>
    <w:rsid w:val="00070B62"/>
    <w:rsid w:val="000710A4"/>
    <w:rsid w:val="00072554"/>
    <w:rsid w:val="00072921"/>
    <w:rsid w:val="00073438"/>
    <w:rsid w:val="00073788"/>
    <w:rsid w:val="00074B82"/>
    <w:rsid w:val="00074D81"/>
    <w:rsid w:val="00075EB0"/>
    <w:rsid w:val="000766E7"/>
    <w:rsid w:val="00076BDA"/>
    <w:rsid w:val="000771D5"/>
    <w:rsid w:val="00077BC6"/>
    <w:rsid w:val="000810F4"/>
    <w:rsid w:val="00081442"/>
    <w:rsid w:val="0008145E"/>
    <w:rsid w:val="00082AE3"/>
    <w:rsid w:val="0008415C"/>
    <w:rsid w:val="00084530"/>
    <w:rsid w:val="00084B80"/>
    <w:rsid w:val="00085300"/>
    <w:rsid w:val="00085E8A"/>
    <w:rsid w:val="000860CC"/>
    <w:rsid w:val="00086773"/>
    <w:rsid w:val="00086F5A"/>
    <w:rsid w:val="000876AF"/>
    <w:rsid w:val="00087E0A"/>
    <w:rsid w:val="0009061D"/>
    <w:rsid w:val="00090B39"/>
    <w:rsid w:val="00090C25"/>
    <w:rsid w:val="00090EBB"/>
    <w:rsid w:val="0009129C"/>
    <w:rsid w:val="000921E4"/>
    <w:rsid w:val="0009258E"/>
    <w:rsid w:val="00092625"/>
    <w:rsid w:val="000934DA"/>
    <w:rsid w:val="00093796"/>
    <w:rsid w:val="000948F7"/>
    <w:rsid w:val="00095092"/>
    <w:rsid w:val="000956A1"/>
    <w:rsid w:val="00095AE3"/>
    <w:rsid w:val="000977B6"/>
    <w:rsid w:val="00097A52"/>
    <w:rsid w:val="000A0274"/>
    <w:rsid w:val="000A03FF"/>
    <w:rsid w:val="000A1212"/>
    <w:rsid w:val="000A1751"/>
    <w:rsid w:val="000A1E7F"/>
    <w:rsid w:val="000A1F68"/>
    <w:rsid w:val="000A24A6"/>
    <w:rsid w:val="000A2841"/>
    <w:rsid w:val="000A28FE"/>
    <w:rsid w:val="000A31DC"/>
    <w:rsid w:val="000A3A35"/>
    <w:rsid w:val="000A3ED4"/>
    <w:rsid w:val="000A4010"/>
    <w:rsid w:val="000A45FC"/>
    <w:rsid w:val="000A608F"/>
    <w:rsid w:val="000A6CEE"/>
    <w:rsid w:val="000A7241"/>
    <w:rsid w:val="000A72C2"/>
    <w:rsid w:val="000A7556"/>
    <w:rsid w:val="000A79AB"/>
    <w:rsid w:val="000A7A54"/>
    <w:rsid w:val="000B024D"/>
    <w:rsid w:val="000B0623"/>
    <w:rsid w:val="000B1419"/>
    <w:rsid w:val="000B1816"/>
    <w:rsid w:val="000B2030"/>
    <w:rsid w:val="000B24CA"/>
    <w:rsid w:val="000B2AFE"/>
    <w:rsid w:val="000B3302"/>
    <w:rsid w:val="000B3645"/>
    <w:rsid w:val="000B5A7A"/>
    <w:rsid w:val="000B6E40"/>
    <w:rsid w:val="000C0193"/>
    <w:rsid w:val="000C0FC8"/>
    <w:rsid w:val="000C1469"/>
    <w:rsid w:val="000C3C2E"/>
    <w:rsid w:val="000C429D"/>
    <w:rsid w:val="000C4ED9"/>
    <w:rsid w:val="000C4F7E"/>
    <w:rsid w:val="000C5B95"/>
    <w:rsid w:val="000C749F"/>
    <w:rsid w:val="000C7FC5"/>
    <w:rsid w:val="000D0744"/>
    <w:rsid w:val="000D09AC"/>
    <w:rsid w:val="000D1639"/>
    <w:rsid w:val="000D1934"/>
    <w:rsid w:val="000D19A8"/>
    <w:rsid w:val="000D1DB5"/>
    <w:rsid w:val="000D2861"/>
    <w:rsid w:val="000D29C8"/>
    <w:rsid w:val="000D2ED1"/>
    <w:rsid w:val="000D432A"/>
    <w:rsid w:val="000D5F64"/>
    <w:rsid w:val="000D7B01"/>
    <w:rsid w:val="000D7DA9"/>
    <w:rsid w:val="000E0520"/>
    <w:rsid w:val="000E0FC1"/>
    <w:rsid w:val="000E10E1"/>
    <w:rsid w:val="000E1F99"/>
    <w:rsid w:val="000E221B"/>
    <w:rsid w:val="000E24A0"/>
    <w:rsid w:val="000E3111"/>
    <w:rsid w:val="000E3699"/>
    <w:rsid w:val="000E4156"/>
    <w:rsid w:val="000E47DF"/>
    <w:rsid w:val="000E4EA7"/>
    <w:rsid w:val="000E54CD"/>
    <w:rsid w:val="000E59A5"/>
    <w:rsid w:val="000E5CCB"/>
    <w:rsid w:val="000E5EC4"/>
    <w:rsid w:val="000E6895"/>
    <w:rsid w:val="000E788F"/>
    <w:rsid w:val="000F04BF"/>
    <w:rsid w:val="000F0AD7"/>
    <w:rsid w:val="000F1228"/>
    <w:rsid w:val="000F1A68"/>
    <w:rsid w:val="000F1C41"/>
    <w:rsid w:val="000F1E9C"/>
    <w:rsid w:val="000F22DE"/>
    <w:rsid w:val="000F37DA"/>
    <w:rsid w:val="000F437F"/>
    <w:rsid w:val="000F43E3"/>
    <w:rsid w:val="000F45D0"/>
    <w:rsid w:val="000F4E4C"/>
    <w:rsid w:val="000F510C"/>
    <w:rsid w:val="000F515E"/>
    <w:rsid w:val="000F60C8"/>
    <w:rsid w:val="000F6171"/>
    <w:rsid w:val="0010077F"/>
    <w:rsid w:val="00101062"/>
    <w:rsid w:val="00102341"/>
    <w:rsid w:val="00103291"/>
    <w:rsid w:val="001034C5"/>
    <w:rsid w:val="001040E2"/>
    <w:rsid w:val="0010486A"/>
    <w:rsid w:val="001051F1"/>
    <w:rsid w:val="00105EBD"/>
    <w:rsid w:val="001062F8"/>
    <w:rsid w:val="001071B7"/>
    <w:rsid w:val="0010788B"/>
    <w:rsid w:val="0010793C"/>
    <w:rsid w:val="00107B08"/>
    <w:rsid w:val="0011108C"/>
    <w:rsid w:val="00111F7E"/>
    <w:rsid w:val="00112004"/>
    <w:rsid w:val="00113B6D"/>
    <w:rsid w:val="00113E8B"/>
    <w:rsid w:val="00114779"/>
    <w:rsid w:val="001150CF"/>
    <w:rsid w:val="001151B2"/>
    <w:rsid w:val="001169E5"/>
    <w:rsid w:val="00116E1E"/>
    <w:rsid w:val="00117706"/>
    <w:rsid w:val="0012024F"/>
    <w:rsid w:val="00121FDB"/>
    <w:rsid w:val="001229E3"/>
    <w:rsid w:val="00122D2F"/>
    <w:rsid w:val="00124305"/>
    <w:rsid w:val="00124C14"/>
    <w:rsid w:val="00124D91"/>
    <w:rsid w:val="00124ED6"/>
    <w:rsid w:val="00125465"/>
    <w:rsid w:val="0012552F"/>
    <w:rsid w:val="00125605"/>
    <w:rsid w:val="00127BBA"/>
    <w:rsid w:val="00132140"/>
    <w:rsid w:val="00132E05"/>
    <w:rsid w:val="0013328C"/>
    <w:rsid w:val="00133445"/>
    <w:rsid w:val="00133A58"/>
    <w:rsid w:val="001343A5"/>
    <w:rsid w:val="0013448A"/>
    <w:rsid w:val="001345F0"/>
    <w:rsid w:val="00135735"/>
    <w:rsid w:val="0013668C"/>
    <w:rsid w:val="00136A94"/>
    <w:rsid w:val="00137605"/>
    <w:rsid w:val="00140230"/>
    <w:rsid w:val="0014024B"/>
    <w:rsid w:val="001404ED"/>
    <w:rsid w:val="00140682"/>
    <w:rsid w:val="00140CAC"/>
    <w:rsid w:val="00140D7D"/>
    <w:rsid w:val="001415AD"/>
    <w:rsid w:val="00143242"/>
    <w:rsid w:val="00143CB1"/>
    <w:rsid w:val="00143CFA"/>
    <w:rsid w:val="0014432C"/>
    <w:rsid w:val="001445AE"/>
    <w:rsid w:val="0014463F"/>
    <w:rsid w:val="00144CD4"/>
    <w:rsid w:val="00144E71"/>
    <w:rsid w:val="00145298"/>
    <w:rsid w:val="001454E8"/>
    <w:rsid w:val="001468F8"/>
    <w:rsid w:val="00146CA7"/>
    <w:rsid w:val="00146CF0"/>
    <w:rsid w:val="0014724A"/>
    <w:rsid w:val="0015020E"/>
    <w:rsid w:val="00150D89"/>
    <w:rsid w:val="00150F69"/>
    <w:rsid w:val="00151345"/>
    <w:rsid w:val="001515AB"/>
    <w:rsid w:val="00151F3D"/>
    <w:rsid w:val="00152468"/>
    <w:rsid w:val="001536A7"/>
    <w:rsid w:val="00154004"/>
    <w:rsid w:val="001557B6"/>
    <w:rsid w:val="00155828"/>
    <w:rsid w:val="0015665F"/>
    <w:rsid w:val="00156B1A"/>
    <w:rsid w:val="00160084"/>
    <w:rsid w:val="00160F84"/>
    <w:rsid w:val="00160FF2"/>
    <w:rsid w:val="001617A9"/>
    <w:rsid w:val="00162129"/>
    <w:rsid w:val="001626B6"/>
    <w:rsid w:val="00163706"/>
    <w:rsid w:val="00163AC0"/>
    <w:rsid w:val="00164BDA"/>
    <w:rsid w:val="00164F17"/>
    <w:rsid w:val="00165A67"/>
    <w:rsid w:val="00166DFA"/>
    <w:rsid w:val="00167F9A"/>
    <w:rsid w:val="001701B5"/>
    <w:rsid w:val="00170D48"/>
    <w:rsid w:val="001712AD"/>
    <w:rsid w:val="0017135A"/>
    <w:rsid w:val="00171BD0"/>
    <w:rsid w:val="0017218B"/>
    <w:rsid w:val="00172896"/>
    <w:rsid w:val="00173CB8"/>
    <w:rsid w:val="0017400B"/>
    <w:rsid w:val="0017405A"/>
    <w:rsid w:val="0017449E"/>
    <w:rsid w:val="00174FF6"/>
    <w:rsid w:val="00175320"/>
    <w:rsid w:val="001753C0"/>
    <w:rsid w:val="00175651"/>
    <w:rsid w:val="001768BA"/>
    <w:rsid w:val="00176B98"/>
    <w:rsid w:val="00177819"/>
    <w:rsid w:val="00177B73"/>
    <w:rsid w:val="001804AF"/>
    <w:rsid w:val="00180720"/>
    <w:rsid w:val="00180CF6"/>
    <w:rsid w:val="00180F83"/>
    <w:rsid w:val="00181140"/>
    <w:rsid w:val="0018115B"/>
    <w:rsid w:val="001817BF"/>
    <w:rsid w:val="00181DE2"/>
    <w:rsid w:val="00184D08"/>
    <w:rsid w:val="00184FB0"/>
    <w:rsid w:val="00185259"/>
    <w:rsid w:val="00185299"/>
    <w:rsid w:val="00185C0B"/>
    <w:rsid w:val="0018603A"/>
    <w:rsid w:val="00186268"/>
    <w:rsid w:val="00186594"/>
    <w:rsid w:val="00187EE2"/>
    <w:rsid w:val="00190BEB"/>
    <w:rsid w:val="001919A5"/>
    <w:rsid w:val="00191E8F"/>
    <w:rsid w:val="00192E6E"/>
    <w:rsid w:val="00192F9B"/>
    <w:rsid w:val="00193318"/>
    <w:rsid w:val="00194EFA"/>
    <w:rsid w:val="00195056"/>
    <w:rsid w:val="001952DF"/>
    <w:rsid w:val="00196759"/>
    <w:rsid w:val="001967DE"/>
    <w:rsid w:val="001968A3"/>
    <w:rsid w:val="001A03A5"/>
    <w:rsid w:val="001A202A"/>
    <w:rsid w:val="001A28FE"/>
    <w:rsid w:val="001A3862"/>
    <w:rsid w:val="001A58E8"/>
    <w:rsid w:val="001A5DB1"/>
    <w:rsid w:val="001A63AF"/>
    <w:rsid w:val="001A68E8"/>
    <w:rsid w:val="001A7432"/>
    <w:rsid w:val="001A7D81"/>
    <w:rsid w:val="001B00EE"/>
    <w:rsid w:val="001B0676"/>
    <w:rsid w:val="001B2AD3"/>
    <w:rsid w:val="001B3465"/>
    <w:rsid w:val="001B373E"/>
    <w:rsid w:val="001B3B81"/>
    <w:rsid w:val="001B3C6E"/>
    <w:rsid w:val="001B4387"/>
    <w:rsid w:val="001B55CE"/>
    <w:rsid w:val="001B63B0"/>
    <w:rsid w:val="001B7168"/>
    <w:rsid w:val="001B74D8"/>
    <w:rsid w:val="001B75BD"/>
    <w:rsid w:val="001B7A7B"/>
    <w:rsid w:val="001C0961"/>
    <w:rsid w:val="001C0A67"/>
    <w:rsid w:val="001C12A9"/>
    <w:rsid w:val="001C15E3"/>
    <w:rsid w:val="001C4071"/>
    <w:rsid w:val="001C4DD0"/>
    <w:rsid w:val="001C623E"/>
    <w:rsid w:val="001C639A"/>
    <w:rsid w:val="001C6B71"/>
    <w:rsid w:val="001C7C88"/>
    <w:rsid w:val="001D06F8"/>
    <w:rsid w:val="001D0972"/>
    <w:rsid w:val="001D0A1C"/>
    <w:rsid w:val="001D171D"/>
    <w:rsid w:val="001D19AC"/>
    <w:rsid w:val="001D1A05"/>
    <w:rsid w:val="001D2214"/>
    <w:rsid w:val="001D26EC"/>
    <w:rsid w:val="001D298C"/>
    <w:rsid w:val="001D2BBB"/>
    <w:rsid w:val="001D31D4"/>
    <w:rsid w:val="001D3E4D"/>
    <w:rsid w:val="001D63C7"/>
    <w:rsid w:val="001D7165"/>
    <w:rsid w:val="001D72F7"/>
    <w:rsid w:val="001D7F9D"/>
    <w:rsid w:val="001E017F"/>
    <w:rsid w:val="001E1142"/>
    <w:rsid w:val="001E138A"/>
    <w:rsid w:val="001E1A1C"/>
    <w:rsid w:val="001E24EE"/>
    <w:rsid w:val="001E2C4E"/>
    <w:rsid w:val="001E36D1"/>
    <w:rsid w:val="001E43D3"/>
    <w:rsid w:val="001E4CED"/>
    <w:rsid w:val="001E4FFA"/>
    <w:rsid w:val="001E5765"/>
    <w:rsid w:val="001E6516"/>
    <w:rsid w:val="001E6886"/>
    <w:rsid w:val="001E7493"/>
    <w:rsid w:val="001E769A"/>
    <w:rsid w:val="001F1620"/>
    <w:rsid w:val="001F179E"/>
    <w:rsid w:val="001F2554"/>
    <w:rsid w:val="001F57EE"/>
    <w:rsid w:val="001F5CB4"/>
    <w:rsid w:val="001F5D22"/>
    <w:rsid w:val="001F6238"/>
    <w:rsid w:val="001F65FE"/>
    <w:rsid w:val="001F71A1"/>
    <w:rsid w:val="001F7B5E"/>
    <w:rsid w:val="002000F1"/>
    <w:rsid w:val="00201339"/>
    <w:rsid w:val="00201A43"/>
    <w:rsid w:val="00201EED"/>
    <w:rsid w:val="00202045"/>
    <w:rsid w:val="0020268A"/>
    <w:rsid w:val="002026B7"/>
    <w:rsid w:val="00202B6A"/>
    <w:rsid w:val="00202BE0"/>
    <w:rsid w:val="00203C9C"/>
    <w:rsid w:val="0020577E"/>
    <w:rsid w:val="00205E5D"/>
    <w:rsid w:val="00205F62"/>
    <w:rsid w:val="0020684A"/>
    <w:rsid w:val="00206851"/>
    <w:rsid w:val="0020747C"/>
    <w:rsid w:val="00207935"/>
    <w:rsid w:val="0021159C"/>
    <w:rsid w:val="0021194D"/>
    <w:rsid w:val="002119D3"/>
    <w:rsid w:val="00211CC5"/>
    <w:rsid w:val="002123F2"/>
    <w:rsid w:val="00212980"/>
    <w:rsid w:val="00212C1C"/>
    <w:rsid w:val="00212DA8"/>
    <w:rsid w:val="00213A04"/>
    <w:rsid w:val="00217B57"/>
    <w:rsid w:val="002202E1"/>
    <w:rsid w:val="00220649"/>
    <w:rsid w:val="00220672"/>
    <w:rsid w:val="00220E78"/>
    <w:rsid w:val="00221D7A"/>
    <w:rsid w:val="00221EBA"/>
    <w:rsid w:val="002223C0"/>
    <w:rsid w:val="00222B72"/>
    <w:rsid w:val="00222DB9"/>
    <w:rsid w:val="00222F88"/>
    <w:rsid w:val="002239C8"/>
    <w:rsid w:val="00224087"/>
    <w:rsid w:val="002248C6"/>
    <w:rsid w:val="002249F3"/>
    <w:rsid w:val="00225099"/>
    <w:rsid w:val="002250E7"/>
    <w:rsid w:val="0022525F"/>
    <w:rsid w:val="00225FE2"/>
    <w:rsid w:val="00226850"/>
    <w:rsid w:val="00227A7A"/>
    <w:rsid w:val="00227DC0"/>
    <w:rsid w:val="00227E70"/>
    <w:rsid w:val="00230ADA"/>
    <w:rsid w:val="00231924"/>
    <w:rsid w:val="00231A7B"/>
    <w:rsid w:val="002324EF"/>
    <w:rsid w:val="00232BC4"/>
    <w:rsid w:val="00232DB1"/>
    <w:rsid w:val="0023310B"/>
    <w:rsid w:val="00233126"/>
    <w:rsid w:val="002348C0"/>
    <w:rsid w:val="00235DF2"/>
    <w:rsid w:val="00236654"/>
    <w:rsid w:val="002369E8"/>
    <w:rsid w:val="002371E7"/>
    <w:rsid w:val="002374BB"/>
    <w:rsid w:val="00237B5F"/>
    <w:rsid w:val="00237F3D"/>
    <w:rsid w:val="0024052A"/>
    <w:rsid w:val="0024125F"/>
    <w:rsid w:val="00243843"/>
    <w:rsid w:val="00243956"/>
    <w:rsid w:val="00243D6F"/>
    <w:rsid w:val="00243F36"/>
    <w:rsid w:val="00244267"/>
    <w:rsid w:val="0024468B"/>
    <w:rsid w:val="002446C0"/>
    <w:rsid w:val="002458B9"/>
    <w:rsid w:val="0024674D"/>
    <w:rsid w:val="00246F9E"/>
    <w:rsid w:val="002472F1"/>
    <w:rsid w:val="00247367"/>
    <w:rsid w:val="00247B93"/>
    <w:rsid w:val="00251B83"/>
    <w:rsid w:val="002525E4"/>
    <w:rsid w:val="00252DE5"/>
    <w:rsid w:val="002551A7"/>
    <w:rsid w:val="0025576B"/>
    <w:rsid w:val="00255BFF"/>
    <w:rsid w:val="00255F08"/>
    <w:rsid w:val="002562DC"/>
    <w:rsid w:val="00256FF2"/>
    <w:rsid w:val="00257385"/>
    <w:rsid w:val="0026049C"/>
    <w:rsid w:val="0026071B"/>
    <w:rsid w:val="00260A8C"/>
    <w:rsid w:val="00260C5E"/>
    <w:rsid w:val="0026118F"/>
    <w:rsid w:val="002619AB"/>
    <w:rsid w:val="0026246D"/>
    <w:rsid w:val="002627BF"/>
    <w:rsid w:val="00262CC3"/>
    <w:rsid w:val="00263AFC"/>
    <w:rsid w:val="00263B1E"/>
    <w:rsid w:val="00263B56"/>
    <w:rsid w:val="00263BE6"/>
    <w:rsid w:val="00264335"/>
    <w:rsid w:val="00264C23"/>
    <w:rsid w:val="00264CC8"/>
    <w:rsid w:val="00265A31"/>
    <w:rsid w:val="00265ED2"/>
    <w:rsid w:val="00266012"/>
    <w:rsid w:val="00266543"/>
    <w:rsid w:val="002674B5"/>
    <w:rsid w:val="00267D04"/>
    <w:rsid w:val="002708E7"/>
    <w:rsid w:val="00270B4F"/>
    <w:rsid w:val="00271251"/>
    <w:rsid w:val="0027177B"/>
    <w:rsid w:val="00271C51"/>
    <w:rsid w:val="00271E61"/>
    <w:rsid w:val="00273603"/>
    <w:rsid w:val="002740F3"/>
    <w:rsid w:val="0027431F"/>
    <w:rsid w:val="002745B3"/>
    <w:rsid w:val="002747FA"/>
    <w:rsid w:val="00274862"/>
    <w:rsid w:val="00274BDD"/>
    <w:rsid w:val="00274F97"/>
    <w:rsid w:val="00276F4C"/>
    <w:rsid w:val="00277AB2"/>
    <w:rsid w:val="00280115"/>
    <w:rsid w:val="00280262"/>
    <w:rsid w:val="0028044A"/>
    <w:rsid w:val="00281380"/>
    <w:rsid w:val="00281B3C"/>
    <w:rsid w:val="00281E9C"/>
    <w:rsid w:val="002838B5"/>
    <w:rsid w:val="0028596F"/>
    <w:rsid w:val="00285DF8"/>
    <w:rsid w:val="0028754C"/>
    <w:rsid w:val="0028782E"/>
    <w:rsid w:val="00287B8B"/>
    <w:rsid w:val="00287B95"/>
    <w:rsid w:val="0029033E"/>
    <w:rsid w:val="00290DA8"/>
    <w:rsid w:val="00291516"/>
    <w:rsid w:val="0029175B"/>
    <w:rsid w:val="00292676"/>
    <w:rsid w:val="00292A41"/>
    <w:rsid w:val="002932D5"/>
    <w:rsid w:val="00293C8F"/>
    <w:rsid w:val="00293F24"/>
    <w:rsid w:val="00294217"/>
    <w:rsid w:val="00294D06"/>
    <w:rsid w:val="00295002"/>
    <w:rsid w:val="00296F01"/>
    <w:rsid w:val="002A063D"/>
    <w:rsid w:val="002A0D69"/>
    <w:rsid w:val="002A10CF"/>
    <w:rsid w:val="002A1198"/>
    <w:rsid w:val="002A1701"/>
    <w:rsid w:val="002A1AEB"/>
    <w:rsid w:val="002A1D83"/>
    <w:rsid w:val="002A1F20"/>
    <w:rsid w:val="002A20A4"/>
    <w:rsid w:val="002A2F0B"/>
    <w:rsid w:val="002A45BB"/>
    <w:rsid w:val="002A4B8A"/>
    <w:rsid w:val="002A56F0"/>
    <w:rsid w:val="002A7034"/>
    <w:rsid w:val="002B01B1"/>
    <w:rsid w:val="002B0564"/>
    <w:rsid w:val="002B099E"/>
    <w:rsid w:val="002B0F22"/>
    <w:rsid w:val="002B11B4"/>
    <w:rsid w:val="002B12B5"/>
    <w:rsid w:val="002B1510"/>
    <w:rsid w:val="002B1CB9"/>
    <w:rsid w:val="002B2B63"/>
    <w:rsid w:val="002B3D24"/>
    <w:rsid w:val="002B4396"/>
    <w:rsid w:val="002B4E61"/>
    <w:rsid w:val="002B5241"/>
    <w:rsid w:val="002B5CF1"/>
    <w:rsid w:val="002B6389"/>
    <w:rsid w:val="002B69CD"/>
    <w:rsid w:val="002B6DBD"/>
    <w:rsid w:val="002B6E43"/>
    <w:rsid w:val="002B73F6"/>
    <w:rsid w:val="002B75FD"/>
    <w:rsid w:val="002B7942"/>
    <w:rsid w:val="002C0FB8"/>
    <w:rsid w:val="002C1269"/>
    <w:rsid w:val="002C12EA"/>
    <w:rsid w:val="002C1436"/>
    <w:rsid w:val="002C24DF"/>
    <w:rsid w:val="002C31EC"/>
    <w:rsid w:val="002C3AC5"/>
    <w:rsid w:val="002C3AEB"/>
    <w:rsid w:val="002C3BFB"/>
    <w:rsid w:val="002C4489"/>
    <w:rsid w:val="002C4CD2"/>
    <w:rsid w:val="002C4F36"/>
    <w:rsid w:val="002C50B8"/>
    <w:rsid w:val="002C54CA"/>
    <w:rsid w:val="002C5817"/>
    <w:rsid w:val="002C6E0A"/>
    <w:rsid w:val="002D0521"/>
    <w:rsid w:val="002D0989"/>
    <w:rsid w:val="002D13AB"/>
    <w:rsid w:val="002D2783"/>
    <w:rsid w:val="002D2AE1"/>
    <w:rsid w:val="002D3383"/>
    <w:rsid w:val="002D3846"/>
    <w:rsid w:val="002D5326"/>
    <w:rsid w:val="002D558F"/>
    <w:rsid w:val="002D560C"/>
    <w:rsid w:val="002D56A0"/>
    <w:rsid w:val="002D6063"/>
    <w:rsid w:val="002D6E77"/>
    <w:rsid w:val="002D6F36"/>
    <w:rsid w:val="002D716E"/>
    <w:rsid w:val="002D71FB"/>
    <w:rsid w:val="002D7EC8"/>
    <w:rsid w:val="002E03FB"/>
    <w:rsid w:val="002E0756"/>
    <w:rsid w:val="002E10A8"/>
    <w:rsid w:val="002E1D25"/>
    <w:rsid w:val="002E1F31"/>
    <w:rsid w:val="002E2B2E"/>
    <w:rsid w:val="002E302B"/>
    <w:rsid w:val="002E3254"/>
    <w:rsid w:val="002E3973"/>
    <w:rsid w:val="002E3BEC"/>
    <w:rsid w:val="002E3F98"/>
    <w:rsid w:val="002E493B"/>
    <w:rsid w:val="002E4D45"/>
    <w:rsid w:val="002E51D3"/>
    <w:rsid w:val="002E51EA"/>
    <w:rsid w:val="002E55A2"/>
    <w:rsid w:val="002E55D3"/>
    <w:rsid w:val="002E5C5A"/>
    <w:rsid w:val="002E5DFE"/>
    <w:rsid w:val="002E685D"/>
    <w:rsid w:val="002E7034"/>
    <w:rsid w:val="002E7719"/>
    <w:rsid w:val="002E7AFC"/>
    <w:rsid w:val="002F03BE"/>
    <w:rsid w:val="002F0656"/>
    <w:rsid w:val="002F0AF1"/>
    <w:rsid w:val="002F2923"/>
    <w:rsid w:val="002F2AB7"/>
    <w:rsid w:val="002F39DA"/>
    <w:rsid w:val="002F3BD0"/>
    <w:rsid w:val="002F4421"/>
    <w:rsid w:val="002F4C52"/>
    <w:rsid w:val="002F5575"/>
    <w:rsid w:val="002F576E"/>
    <w:rsid w:val="002F5BBF"/>
    <w:rsid w:val="002F5F46"/>
    <w:rsid w:val="002F5F80"/>
    <w:rsid w:val="002F6121"/>
    <w:rsid w:val="002F624C"/>
    <w:rsid w:val="002F640D"/>
    <w:rsid w:val="002F648D"/>
    <w:rsid w:val="002F7053"/>
    <w:rsid w:val="00300AB5"/>
    <w:rsid w:val="00302226"/>
    <w:rsid w:val="0030285A"/>
    <w:rsid w:val="00302EAE"/>
    <w:rsid w:val="003034FA"/>
    <w:rsid w:val="00303C74"/>
    <w:rsid w:val="00303F48"/>
    <w:rsid w:val="00304304"/>
    <w:rsid w:val="003044C8"/>
    <w:rsid w:val="00304E4F"/>
    <w:rsid w:val="00305271"/>
    <w:rsid w:val="00305F27"/>
    <w:rsid w:val="003061CE"/>
    <w:rsid w:val="003106DA"/>
    <w:rsid w:val="00310987"/>
    <w:rsid w:val="00310A8D"/>
    <w:rsid w:val="00310B58"/>
    <w:rsid w:val="00310C4D"/>
    <w:rsid w:val="00312919"/>
    <w:rsid w:val="0031298E"/>
    <w:rsid w:val="00312A8B"/>
    <w:rsid w:val="00313C37"/>
    <w:rsid w:val="003151F3"/>
    <w:rsid w:val="003170DF"/>
    <w:rsid w:val="0031726B"/>
    <w:rsid w:val="00317697"/>
    <w:rsid w:val="00320035"/>
    <w:rsid w:val="00320222"/>
    <w:rsid w:val="0032078C"/>
    <w:rsid w:val="00320797"/>
    <w:rsid w:val="00320DBB"/>
    <w:rsid w:val="00320F49"/>
    <w:rsid w:val="003211F5"/>
    <w:rsid w:val="00322136"/>
    <w:rsid w:val="003227CC"/>
    <w:rsid w:val="0032280E"/>
    <w:rsid w:val="00322D55"/>
    <w:rsid w:val="003235FD"/>
    <w:rsid w:val="0032365B"/>
    <w:rsid w:val="003239C9"/>
    <w:rsid w:val="00323FD1"/>
    <w:rsid w:val="00324855"/>
    <w:rsid w:val="00324D40"/>
    <w:rsid w:val="003258A3"/>
    <w:rsid w:val="003258E6"/>
    <w:rsid w:val="00327220"/>
    <w:rsid w:val="00327528"/>
    <w:rsid w:val="00327B62"/>
    <w:rsid w:val="0033007F"/>
    <w:rsid w:val="003320F7"/>
    <w:rsid w:val="00332743"/>
    <w:rsid w:val="00332F40"/>
    <w:rsid w:val="0033347C"/>
    <w:rsid w:val="00333D2A"/>
    <w:rsid w:val="003368E4"/>
    <w:rsid w:val="00336B18"/>
    <w:rsid w:val="00340C18"/>
    <w:rsid w:val="00340DAD"/>
    <w:rsid w:val="00340E27"/>
    <w:rsid w:val="003413BF"/>
    <w:rsid w:val="003414A0"/>
    <w:rsid w:val="00342240"/>
    <w:rsid w:val="003431B0"/>
    <w:rsid w:val="0034346D"/>
    <w:rsid w:val="003434B8"/>
    <w:rsid w:val="003436C2"/>
    <w:rsid w:val="003439CA"/>
    <w:rsid w:val="00343B0B"/>
    <w:rsid w:val="0034484C"/>
    <w:rsid w:val="00344AC5"/>
    <w:rsid w:val="003454B8"/>
    <w:rsid w:val="00345BB6"/>
    <w:rsid w:val="00345C27"/>
    <w:rsid w:val="00346383"/>
    <w:rsid w:val="0034774C"/>
    <w:rsid w:val="00347868"/>
    <w:rsid w:val="00347D11"/>
    <w:rsid w:val="0035025D"/>
    <w:rsid w:val="00350260"/>
    <w:rsid w:val="0035027D"/>
    <w:rsid w:val="0035094B"/>
    <w:rsid w:val="00350E8A"/>
    <w:rsid w:val="00351F75"/>
    <w:rsid w:val="00351FBC"/>
    <w:rsid w:val="0035262D"/>
    <w:rsid w:val="00352E0D"/>
    <w:rsid w:val="003536EC"/>
    <w:rsid w:val="00353805"/>
    <w:rsid w:val="003542A0"/>
    <w:rsid w:val="00354329"/>
    <w:rsid w:val="003545EF"/>
    <w:rsid w:val="00354887"/>
    <w:rsid w:val="00355015"/>
    <w:rsid w:val="003550E3"/>
    <w:rsid w:val="003559DE"/>
    <w:rsid w:val="00355A1C"/>
    <w:rsid w:val="00355FF5"/>
    <w:rsid w:val="00356B9E"/>
    <w:rsid w:val="00356C53"/>
    <w:rsid w:val="003572AD"/>
    <w:rsid w:val="00357EFF"/>
    <w:rsid w:val="003604CD"/>
    <w:rsid w:val="003606E5"/>
    <w:rsid w:val="00361450"/>
    <w:rsid w:val="00361AA0"/>
    <w:rsid w:val="00361BEA"/>
    <w:rsid w:val="0036280B"/>
    <w:rsid w:val="00362B11"/>
    <w:rsid w:val="00362DF3"/>
    <w:rsid w:val="003631E8"/>
    <w:rsid w:val="00363E48"/>
    <w:rsid w:val="003644F8"/>
    <w:rsid w:val="003656FA"/>
    <w:rsid w:val="00365866"/>
    <w:rsid w:val="00365C8D"/>
    <w:rsid w:val="0036616D"/>
    <w:rsid w:val="00366472"/>
    <w:rsid w:val="00366B5B"/>
    <w:rsid w:val="0036776A"/>
    <w:rsid w:val="00370515"/>
    <w:rsid w:val="00370B80"/>
    <w:rsid w:val="0037152B"/>
    <w:rsid w:val="003717F4"/>
    <w:rsid w:val="00372762"/>
    <w:rsid w:val="00372BC1"/>
    <w:rsid w:val="00373AC3"/>
    <w:rsid w:val="00374218"/>
    <w:rsid w:val="00374434"/>
    <w:rsid w:val="00375079"/>
    <w:rsid w:val="00377E47"/>
    <w:rsid w:val="003814D8"/>
    <w:rsid w:val="003821ED"/>
    <w:rsid w:val="003839A5"/>
    <w:rsid w:val="0038407B"/>
    <w:rsid w:val="00384997"/>
    <w:rsid w:val="00384B92"/>
    <w:rsid w:val="0038504D"/>
    <w:rsid w:val="00385745"/>
    <w:rsid w:val="00385E44"/>
    <w:rsid w:val="00386377"/>
    <w:rsid w:val="003867EB"/>
    <w:rsid w:val="00387288"/>
    <w:rsid w:val="003875F6"/>
    <w:rsid w:val="00387B39"/>
    <w:rsid w:val="00387F8C"/>
    <w:rsid w:val="003904AA"/>
    <w:rsid w:val="0039067C"/>
    <w:rsid w:val="00390893"/>
    <w:rsid w:val="00392231"/>
    <w:rsid w:val="0039253C"/>
    <w:rsid w:val="00392E91"/>
    <w:rsid w:val="00392FDD"/>
    <w:rsid w:val="00393C1A"/>
    <w:rsid w:val="00393CD2"/>
    <w:rsid w:val="0039467A"/>
    <w:rsid w:val="0039508B"/>
    <w:rsid w:val="003952DA"/>
    <w:rsid w:val="00395CE5"/>
    <w:rsid w:val="003A0053"/>
    <w:rsid w:val="003A0E93"/>
    <w:rsid w:val="003A1362"/>
    <w:rsid w:val="003A2C0E"/>
    <w:rsid w:val="003A36E2"/>
    <w:rsid w:val="003A372C"/>
    <w:rsid w:val="003A4F96"/>
    <w:rsid w:val="003A5351"/>
    <w:rsid w:val="003A58C8"/>
    <w:rsid w:val="003A59B3"/>
    <w:rsid w:val="003A5D28"/>
    <w:rsid w:val="003A5DFF"/>
    <w:rsid w:val="003A6F7F"/>
    <w:rsid w:val="003A6FC9"/>
    <w:rsid w:val="003B0046"/>
    <w:rsid w:val="003B0A77"/>
    <w:rsid w:val="003B16D1"/>
    <w:rsid w:val="003B17AD"/>
    <w:rsid w:val="003B1A82"/>
    <w:rsid w:val="003B242C"/>
    <w:rsid w:val="003B2D03"/>
    <w:rsid w:val="003B425C"/>
    <w:rsid w:val="003B5088"/>
    <w:rsid w:val="003B50D0"/>
    <w:rsid w:val="003B5120"/>
    <w:rsid w:val="003B595D"/>
    <w:rsid w:val="003B67D1"/>
    <w:rsid w:val="003B6A47"/>
    <w:rsid w:val="003B6C97"/>
    <w:rsid w:val="003C0581"/>
    <w:rsid w:val="003C0A7B"/>
    <w:rsid w:val="003C1385"/>
    <w:rsid w:val="003C1D10"/>
    <w:rsid w:val="003C22E1"/>
    <w:rsid w:val="003C28D6"/>
    <w:rsid w:val="003C3A56"/>
    <w:rsid w:val="003C5027"/>
    <w:rsid w:val="003C6A5E"/>
    <w:rsid w:val="003C6C3B"/>
    <w:rsid w:val="003D18A2"/>
    <w:rsid w:val="003D194D"/>
    <w:rsid w:val="003D20BB"/>
    <w:rsid w:val="003D234A"/>
    <w:rsid w:val="003D23BD"/>
    <w:rsid w:val="003D29C9"/>
    <w:rsid w:val="003D2AD6"/>
    <w:rsid w:val="003D389A"/>
    <w:rsid w:val="003D42BE"/>
    <w:rsid w:val="003D4F97"/>
    <w:rsid w:val="003D5604"/>
    <w:rsid w:val="003D5E1E"/>
    <w:rsid w:val="003D650B"/>
    <w:rsid w:val="003D7393"/>
    <w:rsid w:val="003D7407"/>
    <w:rsid w:val="003D7B26"/>
    <w:rsid w:val="003D7C7A"/>
    <w:rsid w:val="003E03BA"/>
    <w:rsid w:val="003E21E6"/>
    <w:rsid w:val="003E3505"/>
    <w:rsid w:val="003E3514"/>
    <w:rsid w:val="003E3AC7"/>
    <w:rsid w:val="003E4222"/>
    <w:rsid w:val="003E4A02"/>
    <w:rsid w:val="003E5B4A"/>
    <w:rsid w:val="003E736C"/>
    <w:rsid w:val="003E7D10"/>
    <w:rsid w:val="003E8F6C"/>
    <w:rsid w:val="003F0C6C"/>
    <w:rsid w:val="003F1BBF"/>
    <w:rsid w:val="003F20C8"/>
    <w:rsid w:val="003F223A"/>
    <w:rsid w:val="003F2664"/>
    <w:rsid w:val="003F27A6"/>
    <w:rsid w:val="003F27CD"/>
    <w:rsid w:val="003F2C46"/>
    <w:rsid w:val="003F2FE6"/>
    <w:rsid w:val="003F348D"/>
    <w:rsid w:val="003F36CF"/>
    <w:rsid w:val="003F3B5C"/>
    <w:rsid w:val="003F3B75"/>
    <w:rsid w:val="003F4AE9"/>
    <w:rsid w:val="003F4F62"/>
    <w:rsid w:val="003F51CB"/>
    <w:rsid w:val="003F646B"/>
    <w:rsid w:val="003F648D"/>
    <w:rsid w:val="003F6E8F"/>
    <w:rsid w:val="003F7012"/>
    <w:rsid w:val="003F757C"/>
    <w:rsid w:val="003F7E94"/>
    <w:rsid w:val="00400185"/>
    <w:rsid w:val="004007D6"/>
    <w:rsid w:val="00400BFF"/>
    <w:rsid w:val="004011EA"/>
    <w:rsid w:val="00401732"/>
    <w:rsid w:val="0040202D"/>
    <w:rsid w:val="004027C6"/>
    <w:rsid w:val="00404276"/>
    <w:rsid w:val="00405EF0"/>
    <w:rsid w:val="00406B20"/>
    <w:rsid w:val="00406BA8"/>
    <w:rsid w:val="0040763E"/>
    <w:rsid w:val="004101E4"/>
    <w:rsid w:val="004102CF"/>
    <w:rsid w:val="00410574"/>
    <w:rsid w:val="00411B2F"/>
    <w:rsid w:val="00411DA7"/>
    <w:rsid w:val="00412506"/>
    <w:rsid w:val="00412613"/>
    <w:rsid w:val="004126C4"/>
    <w:rsid w:val="00412F21"/>
    <w:rsid w:val="0041392F"/>
    <w:rsid w:val="00414306"/>
    <w:rsid w:val="00414814"/>
    <w:rsid w:val="00414AD1"/>
    <w:rsid w:val="00414ED5"/>
    <w:rsid w:val="00415CC6"/>
    <w:rsid w:val="00416FD2"/>
    <w:rsid w:val="00417EB0"/>
    <w:rsid w:val="00421126"/>
    <w:rsid w:val="004214A7"/>
    <w:rsid w:val="00421E8A"/>
    <w:rsid w:val="00421E90"/>
    <w:rsid w:val="0042465F"/>
    <w:rsid w:val="00426367"/>
    <w:rsid w:val="00427408"/>
    <w:rsid w:val="004275BB"/>
    <w:rsid w:val="00427A6C"/>
    <w:rsid w:val="00430AAB"/>
    <w:rsid w:val="00430B23"/>
    <w:rsid w:val="00431063"/>
    <w:rsid w:val="0043115C"/>
    <w:rsid w:val="004319A0"/>
    <w:rsid w:val="0043210D"/>
    <w:rsid w:val="00433470"/>
    <w:rsid w:val="00433656"/>
    <w:rsid w:val="00433C7A"/>
    <w:rsid w:val="00434995"/>
    <w:rsid w:val="00434D7D"/>
    <w:rsid w:val="00435A42"/>
    <w:rsid w:val="004362B3"/>
    <w:rsid w:val="00436614"/>
    <w:rsid w:val="00437135"/>
    <w:rsid w:val="004376C3"/>
    <w:rsid w:val="0044000B"/>
    <w:rsid w:val="004404C8"/>
    <w:rsid w:val="00440777"/>
    <w:rsid w:val="0044107C"/>
    <w:rsid w:val="004412B1"/>
    <w:rsid w:val="00441A33"/>
    <w:rsid w:val="004422E8"/>
    <w:rsid w:val="00442318"/>
    <w:rsid w:val="004426F5"/>
    <w:rsid w:val="00443CC0"/>
    <w:rsid w:val="00444595"/>
    <w:rsid w:val="00444CA9"/>
    <w:rsid w:val="004452DB"/>
    <w:rsid w:val="00445A15"/>
    <w:rsid w:val="00445F52"/>
    <w:rsid w:val="00446F13"/>
    <w:rsid w:val="00446F70"/>
    <w:rsid w:val="00446FC7"/>
    <w:rsid w:val="00450C7F"/>
    <w:rsid w:val="004512A3"/>
    <w:rsid w:val="0045158D"/>
    <w:rsid w:val="00451A05"/>
    <w:rsid w:val="00452ED6"/>
    <w:rsid w:val="0045345A"/>
    <w:rsid w:val="00453C74"/>
    <w:rsid w:val="00454A2C"/>
    <w:rsid w:val="00454A4A"/>
    <w:rsid w:val="00454CE1"/>
    <w:rsid w:val="00454CE8"/>
    <w:rsid w:val="004554C2"/>
    <w:rsid w:val="004557AF"/>
    <w:rsid w:val="00455B03"/>
    <w:rsid w:val="0045738C"/>
    <w:rsid w:val="0045799F"/>
    <w:rsid w:val="00457F25"/>
    <w:rsid w:val="00457FFB"/>
    <w:rsid w:val="00461B1E"/>
    <w:rsid w:val="00462163"/>
    <w:rsid w:val="0046244C"/>
    <w:rsid w:val="004628F0"/>
    <w:rsid w:val="00463E93"/>
    <w:rsid w:val="00465F15"/>
    <w:rsid w:val="00466D4A"/>
    <w:rsid w:val="0046722F"/>
    <w:rsid w:val="00467546"/>
    <w:rsid w:val="00471283"/>
    <w:rsid w:val="00474415"/>
    <w:rsid w:val="0047474C"/>
    <w:rsid w:val="00474787"/>
    <w:rsid w:val="004754F2"/>
    <w:rsid w:val="00475A7B"/>
    <w:rsid w:val="00476DF1"/>
    <w:rsid w:val="00477A68"/>
    <w:rsid w:val="0048067E"/>
    <w:rsid w:val="00481020"/>
    <w:rsid w:val="00481044"/>
    <w:rsid w:val="00481CCE"/>
    <w:rsid w:val="00481F29"/>
    <w:rsid w:val="004826D4"/>
    <w:rsid w:val="00482B60"/>
    <w:rsid w:val="00482FF9"/>
    <w:rsid w:val="00483BE7"/>
    <w:rsid w:val="00483F0D"/>
    <w:rsid w:val="004847B5"/>
    <w:rsid w:val="00484B60"/>
    <w:rsid w:val="00487722"/>
    <w:rsid w:val="00487E86"/>
    <w:rsid w:val="004907B3"/>
    <w:rsid w:val="00491349"/>
    <w:rsid w:val="00491CCC"/>
    <w:rsid w:val="00491D30"/>
    <w:rsid w:val="00493916"/>
    <w:rsid w:val="00493C46"/>
    <w:rsid w:val="00493D29"/>
    <w:rsid w:val="00494171"/>
    <w:rsid w:val="004948C6"/>
    <w:rsid w:val="004949AE"/>
    <w:rsid w:val="0049536F"/>
    <w:rsid w:val="00495C4A"/>
    <w:rsid w:val="004973C3"/>
    <w:rsid w:val="004A0252"/>
    <w:rsid w:val="004A1041"/>
    <w:rsid w:val="004A1063"/>
    <w:rsid w:val="004A1FFE"/>
    <w:rsid w:val="004A31F5"/>
    <w:rsid w:val="004A3658"/>
    <w:rsid w:val="004A37B7"/>
    <w:rsid w:val="004A3A81"/>
    <w:rsid w:val="004A4118"/>
    <w:rsid w:val="004A4D13"/>
    <w:rsid w:val="004A4D22"/>
    <w:rsid w:val="004A5468"/>
    <w:rsid w:val="004A5ACF"/>
    <w:rsid w:val="004A5B8D"/>
    <w:rsid w:val="004A6C0C"/>
    <w:rsid w:val="004A6CEA"/>
    <w:rsid w:val="004A6E68"/>
    <w:rsid w:val="004A73ED"/>
    <w:rsid w:val="004A7882"/>
    <w:rsid w:val="004A7B29"/>
    <w:rsid w:val="004A7C65"/>
    <w:rsid w:val="004B0379"/>
    <w:rsid w:val="004B0E02"/>
    <w:rsid w:val="004B2989"/>
    <w:rsid w:val="004B4032"/>
    <w:rsid w:val="004B40C6"/>
    <w:rsid w:val="004B4306"/>
    <w:rsid w:val="004B481B"/>
    <w:rsid w:val="004B655A"/>
    <w:rsid w:val="004B6699"/>
    <w:rsid w:val="004B6801"/>
    <w:rsid w:val="004B6D72"/>
    <w:rsid w:val="004B7375"/>
    <w:rsid w:val="004C034F"/>
    <w:rsid w:val="004C0B8E"/>
    <w:rsid w:val="004C1659"/>
    <w:rsid w:val="004C2812"/>
    <w:rsid w:val="004C2F2E"/>
    <w:rsid w:val="004C4593"/>
    <w:rsid w:val="004C49D2"/>
    <w:rsid w:val="004C4CBE"/>
    <w:rsid w:val="004C5061"/>
    <w:rsid w:val="004C51DD"/>
    <w:rsid w:val="004C5201"/>
    <w:rsid w:val="004C5565"/>
    <w:rsid w:val="004C5ACE"/>
    <w:rsid w:val="004C6667"/>
    <w:rsid w:val="004C6815"/>
    <w:rsid w:val="004C7E0E"/>
    <w:rsid w:val="004D01A5"/>
    <w:rsid w:val="004D0507"/>
    <w:rsid w:val="004D0C7C"/>
    <w:rsid w:val="004D2002"/>
    <w:rsid w:val="004D2714"/>
    <w:rsid w:val="004D279E"/>
    <w:rsid w:val="004D2A7A"/>
    <w:rsid w:val="004D32ED"/>
    <w:rsid w:val="004D33AD"/>
    <w:rsid w:val="004D59BA"/>
    <w:rsid w:val="004D5D51"/>
    <w:rsid w:val="004D6B1B"/>
    <w:rsid w:val="004D6B35"/>
    <w:rsid w:val="004E23F9"/>
    <w:rsid w:val="004E27ED"/>
    <w:rsid w:val="004E2F0A"/>
    <w:rsid w:val="004E3666"/>
    <w:rsid w:val="004E3A11"/>
    <w:rsid w:val="004E3FBB"/>
    <w:rsid w:val="004E41C3"/>
    <w:rsid w:val="004E426B"/>
    <w:rsid w:val="004E44E3"/>
    <w:rsid w:val="004E4997"/>
    <w:rsid w:val="004E5599"/>
    <w:rsid w:val="004E5916"/>
    <w:rsid w:val="004E59DB"/>
    <w:rsid w:val="004E5AA2"/>
    <w:rsid w:val="004F08BD"/>
    <w:rsid w:val="004F0E70"/>
    <w:rsid w:val="004F165F"/>
    <w:rsid w:val="004F1AB5"/>
    <w:rsid w:val="004F2B57"/>
    <w:rsid w:val="004F3028"/>
    <w:rsid w:val="004F3A14"/>
    <w:rsid w:val="004F3A1E"/>
    <w:rsid w:val="004F4C25"/>
    <w:rsid w:val="004F6442"/>
    <w:rsid w:val="004F6E29"/>
    <w:rsid w:val="004F75B1"/>
    <w:rsid w:val="004F79A8"/>
    <w:rsid w:val="00500444"/>
    <w:rsid w:val="0050196A"/>
    <w:rsid w:val="005022EE"/>
    <w:rsid w:val="00502433"/>
    <w:rsid w:val="005028C1"/>
    <w:rsid w:val="00502C79"/>
    <w:rsid w:val="00503677"/>
    <w:rsid w:val="005048CE"/>
    <w:rsid w:val="00504FA6"/>
    <w:rsid w:val="00505B09"/>
    <w:rsid w:val="005061FA"/>
    <w:rsid w:val="005076A8"/>
    <w:rsid w:val="0051141F"/>
    <w:rsid w:val="005117F9"/>
    <w:rsid w:val="005118AD"/>
    <w:rsid w:val="00511A4E"/>
    <w:rsid w:val="00514585"/>
    <w:rsid w:val="0051490B"/>
    <w:rsid w:val="005161D6"/>
    <w:rsid w:val="005179E6"/>
    <w:rsid w:val="00520194"/>
    <w:rsid w:val="005216E2"/>
    <w:rsid w:val="00522EB0"/>
    <w:rsid w:val="00523221"/>
    <w:rsid w:val="00523278"/>
    <w:rsid w:val="00523634"/>
    <w:rsid w:val="005241EA"/>
    <w:rsid w:val="00524D19"/>
    <w:rsid w:val="00524F6A"/>
    <w:rsid w:val="00527B5B"/>
    <w:rsid w:val="00527C5F"/>
    <w:rsid w:val="00527D7A"/>
    <w:rsid w:val="00527E2B"/>
    <w:rsid w:val="00530F41"/>
    <w:rsid w:val="0053114B"/>
    <w:rsid w:val="00531AB7"/>
    <w:rsid w:val="00532022"/>
    <w:rsid w:val="005323E0"/>
    <w:rsid w:val="00532F2C"/>
    <w:rsid w:val="00533B33"/>
    <w:rsid w:val="00533EE7"/>
    <w:rsid w:val="005343BA"/>
    <w:rsid w:val="005367C9"/>
    <w:rsid w:val="00536942"/>
    <w:rsid w:val="0054029C"/>
    <w:rsid w:val="0054170D"/>
    <w:rsid w:val="005420E8"/>
    <w:rsid w:val="0054286F"/>
    <w:rsid w:val="00542C40"/>
    <w:rsid w:val="005430E8"/>
    <w:rsid w:val="00543885"/>
    <w:rsid w:val="0054476D"/>
    <w:rsid w:val="005447E3"/>
    <w:rsid w:val="0054619B"/>
    <w:rsid w:val="005473D7"/>
    <w:rsid w:val="00547486"/>
    <w:rsid w:val="005477A1"/>
    <w:rsid w:val="00547B2B"/>
    <w:rsid w:val="00550BB1"/>
    <w:rsid w:val="00550EB1"/>
    <w:rsid w:val="00553A80"/>
    <w:rsid w:val="00554352"/>
    <w:rsid w:val="00554929"/>
    <w:rsid w:val="00556129"/>
    <w:rsid w:val="0055649A"/>
    <w:rsid w:val="0055656E"/>
    <w:rsid w:val="0056397B"/>
    <w:rsid w:val="00564705"/>
    <w:rsid w:val="005647DC"/>
    <w:rsid w:val="00564A7C"/>
    <w:rsid w:val="00564CD3"/>
    <w:rsid w:val="00565E63"/>
    <w:rsid w:val="005668A8"/>
    <w:rsid w:val="00567937"/>
    <w:rsid w:val="00567A29"/>
    <w:rsid w:val="00567A66"/>
    <w:rsid w:val="00567C26"/>
    <w:rsid w:val="005701EF"/>
    <w:rsid w:val="00570607"/>
    <w:rsid w:val="005707C0"/>
    <w:rsid w:val="0057213E"/>
    <w:rsid w:val="00572CA1"/>
    <w:rsid w:val="00572F72"/>
    <w:rsid w:val="00573FA6"/>
    <w:rsid w:val="005747C6"/>
    <w:rsid w:val="00574A5C"/>
    <w:rsid w:val="00574AC1"/>
    <w:rsid w:val="0057561D"/>
    <w:rsid w:val="00575A7B"/>
    <w:rsid w:val="00576838"/>
    <w:rsid w:val="00576CFD"/>
    <w:rsid w:val="00577388"/>
    <w:rsid w:val="0057782C"/>
    <w:rsid w:val="00580870"/>
    <w:rsid w:val="00582176"/>
    <w:rsid w:val="0058253F"/>
    <w:rsid w:val="0058328F"/>
    <w:rsid w:val="0058446D"/>
    <w:rsid w:val="00584D0B"/>
    <w:rsid w:val="00584E7E"/>
    <w:rsid w:val="0058554A"/>
    <w:rsid w:val="00585A30"/>
    <w:rsid w:val="00585A38"/>
    <w:rsid w:val="00586E06"/>
    <w:rsid w:val="00587721"/>
    <w:rsid w:val="005878E8"/>
    <w:rsid w:val="005908B6"/>
    <w:rsid w:val="0059170C"/>
    <w:rsid w:val="005929BE"/>
    <w:rsid w:val="00592B71"/>
    <w:rsid w:val="00593AA0"/>
    <w:rsid w:val="00593B4C"/>
    <w:rsid w:val="005941AF"/>
    <w:rsid w:val="00594CA9"/>
    <w:rsid w:val="00594E63"/>
    <w:rsid w:val="0059540E"/>
    <w:rsid w:val="0059551E"/>
    <w:rsid w:val="00597E3B"/>
    <w:rsid w:val="005A10CC"/>
    <w:rsid w:val="005A1775"/>
    <w:rsid w:val="005A2996"/>
    <w:rsid w:val="005A478D"/>
    <w:rsid w:val="005A4D51"/>
    <w:rsid w:val="005A5457"/>
    <w:rsid w:val="005A6376"/>
    <w:rsid w:val="005A64D3"/>
    <w:rsid w:val="005A6809"/>
    <w:rsid w:val="005A78E6"/>
    <w:rsid w:val="005A7C50"/>
    <w:rsid w:val="005B1080"/>
    <w:rsid w:val="005B13F8"/>
    <w:rsid w:val="005B2D05"/>
    <w:rsid w:val="005B2E54"/>
    <w:rsid w:val="005B3A46"/>
    <w:rsid w:val="005B43BD"/>
    <w:rsid w:val="005B5CFA"/>
    <w:rsid w:val="005B5FDB"/>
    <w:rsid w:val="005B6035"/>
    <w:rsid w:val="005B62F8"/>
    <w:rsid w:val="005B667E"/>
    <w:rsid w:val="005B7184"/>
    <w:rsid w:val="005B721A"/>
    <w:rsid w:val="005B73F0"/>
    <w:rsid w:val="005B7F91"/>
    <w:rsid w:val="005C3340"/>
    <w:rsid w:val="005C37C7"/>
    <w:rsid w:val="005C56FD"/>
    <w:rsid w:val="005C5730"/>
    <w:rsid w:val="005C6747"/>
    <w:rsid w:val="005C6EE8"/>
    <w:rsid w:val="005C7102"/>
    <w:rsid w:val="005C73EE"/>
    <w:rsid w:val="005C79B2"/>
    <w:rsid w:val="005D0E1B"/>
    <w:rsid w:val="005D1286"/>
    <w:rsid w:val="005D21EC"/>
    <w:rsid w:val="005D2257"/>
    <w:rsid w:val="005D26EE"/>
    <w:rsid w:val="005D52A6"/>
    <w:rsid w:val="005D5A66"/>
    <w:rsid w:val="005E0279"/>
    <w:rsid w:val="005E10E5"/>
    <w:rsid w:val="005E29B9"/>
    <w:rsid w:val="005E3224"/>
    <w:rsid w:val="005E4086"/>
    <w:rsid w:val="005E40DD"/>
    <w:rsid w:val="005E4188"/>
    <w:rsid w:val="005E440D"/>
    <w:rsid w:val="005E44A7"/>
    <w:rsid w:val="005E4FAF"/>
    <w:rsid w:val="005E5CA3"/>
    <w:rsid w:val="005E76A4"/>
    <w:rsid w:val="005E78A8"/>
    <w:rsid w:val="005E7E70"/>
    <w:rsid w:val="005F0B4E"/>
    <w:rsid w:val="005F208C"/>
    <w:rsid w:val="005F27F7"/>
    <w:rsid w:val="005F372E"/>
    <w:rsid w:val="005F3E70"/>
    <w:rsid w:val="005F4137"/>
    <w:rsid w:val="005F496A"/>
    <w:rsid w:val="005F53CA"/>
    <w:rsid w:val="005F65C2"/>
    <w:rsid w:val="005F669F"/>
    <w:rsid w:val="005F66B6"/>
    <w:rsid w:val="005F6798"/>
    <w:rsid w:val="005F7346"/>
    <w:rsid w:val="005F7A4B"/>
    <w:rsid w:val="005F7AEF"/>
    <w:rsid w:val="006003A2"/>
    <w:rsid w:val="0060052D"/>
    <w:rsid w:val="00600CD1"/>
    <w:rsid w:val="006012C2"/>
    <w:rsid w:val="0060133E"/>
    <w:rsid w:val="00601A4C"/>
    <w:rsid w:val="00602015"/>
    <w:rsid w:val="00602446"/>
    <w:rsid w:val="006024F6"/>
    <w:rsid w:val="006029FB"/>
    <w:rsid w:val="00602CBF"/>
    <w:rsid w:val="006033A7"/>
    <w:rsid w:val="006039A1"/>
    <w:rsid w:val="00603BDB"/>
    <w:rsid w:val="0060415E"/>
    <w:rsid w:val="006041BF"/>
    <w:rsid w:val="00604466"/>
    <w:rsid w:val="00605A23"/>
    <w:rsid w:val="006115B0"/>
    <w:rsid w:val="00611C98"/>
    <w:rsid w:val="00612307"/>
    <w:rsid w:val="00612462"/>
    <w:rsid w:val="006127B0"/>
    <w:rsid w:val="006128A9"/>
    <w:rsid w:val="00612C1B"/>
    <w:rsid w:val="00613D57"/>
    <w:rsid w:val="00614C9E"/>
    <w:rsid w:val="00615CFE"/>
    <w:rsid w:val="00616F42"/>
    <w:rsid w:val="00617D69"/>
    <w:rsid w:val="00621CA0"/>
    <w:rsid w:val="0062205C"/>
    <w:rsid w:val="006220D8"/>
    <w:rsid w:val="00622459"/>
    <w:rsid w:val="00622D99"/>
    <w:rsid w:val="00623478"/>
    <w:rsid w:val="00624805"/>
    <w:rsid w:val="006249E8"/>
    <w:rsid w:val="00624AAE"/>
    <w:rsid w:val="006250E8"/>
    <w:rsid w:val="006265B7"/>
    <w:rsid w:val="0062664D"/>
    <w:rsid w:val="00627905"/>
    <w:rsid w:val="00630206"/>
    <w:rsid w:val="006305E0"/>
    <w:rsid w:val="0063120F"/>
    <w:rsid w:val="006318FE"/>
    <w:rsid w:val="00631A09"/>
    <w:rsid w:val="00632608"/>
    <w:rsid w:val="006344C9"/>
    <w:rsid w:val="00634BFB"/>
    <w:rsid w:val="00636415"/>
    <w:rsid w:val="006368A9"/>
    <w:rsid w:val="00636912"/>
    <w:rsid w:val="00636BCD"/>
    <w:rsid w:val="0063796A"/>
    <w:rsid w:val="00637DA5"/>
    <w:rsid w:val="00640078"/>
    <w:rsid w:val="00640239"/>
    <w:rsid w:val="006412B1"/>
    <w:rsid w:val="006419A9"/>
    <w:rsid w:val="006429A8"/>
    <w:rsid w:val="00642D45"/>
    <w:rsid w:val="00643DFC"/>
    <w:rsid w:val="00644858"/>
    <w:rsid w:val="006449E2"/>
    <w:rsid w:val="00644DC3"/>
    <w:rsid w:val="00645246"/>
    <w:rsid w:val="0064760D"/>
    <w:rsid w:val="00651C2C"/>
    <w:rsid w:val="00652338"/>
    <w:rsid w:val="00652B25"/>
    <w:rsid w:val="00653508"/>
    <w:rsid w:val="00653619"/>
    <w:rsid w:val="006539C7"/>
    <w:rsid w:val="00653B4F"/>
    <w:rsid w:val="00654DC4"/>
    <w:rsid w:val="00655389"/>
    <w:rsid w:val="00655454"/>
    <w:rsid w:val="00655E1B"/>
    <w:rsid w:val="006567DE"/>
    <w:rsid w:val="00660129"/>
    <w:rsid w:val="00661085"/>
    <w:rsid w:val="0066108E"/>
    <w:rsid w:val="00661CEA"/>
    <w:rsid w:val="0066261A"/>
    <w:rsid w:val="00662C4B"/>
    <w:rsid w:val="00662DFD"/>
    <w:rsid w:val="00663643"/>
    <w:rsid w:val="00665729"/>
    <w:rsid w:val="00666482"/>
    <w:rsid w:val="006664C2"/>
    <w:rsid w:val="00666750"/>
    <w:rsid w:val="00666A34"/>
    <w:rsid w:val="00667324"/>
    <w:rsid w:val="00667647"/>
    <w:rsid w:val="00667F57"/>
    <w:rsid w:val="00670D84"/>
    <w:rsid w:val="00671647"/>
    <w:rsid w:val="00671C7D"/>
    <w:rsid w:val="00671EEE"/>
    <w:rsid w:val="00671F56"/>
    <w:rsid w:val="006724B1"/>
    <w:rsid w:val="006724B8"/>
    <w:rsid w:val="0067259D"/>
    <w:rsid w:val="0067293D"/>
    <w:rsid w:val="006735A7"/>
    <w:rsid w:val="00673ED2"/>
    <w:rsid w:val="0067454F"/>
    <w:rsid w:val="0067496C"/>
    <w:rsid w:val="00674B1C"/>
    <w:rsid w:val="00674FEF"/>
    <w:rsid w:val="00675BB1"/>
    <w:rsid w:val="0067651B"/>
    <w:rsid w:val="00676617"/>
    <w:rsid w:val="00676A26"/>
    <w:rsid w:val="00676E4C"/>
    <w:rsid w:val="00677696"/>
    <w:rsid w:val="006778C0"/>
    <w:rsid w:val="006802B4"/>
    <w:rsid w:val="00680B7F"/>
    <w:rsid w:val="00680E9C"/>
    <w:rsid w:val="00681A5B"/>
    <w:rsid w:val="00681DCE"/>
    <w:rsid w:val="006823E1"/>
    <w:rsid w:val="00682792"/>
    <w:rsid w:val="00684A05"/>
    <w:rsid w:val="00685926"/>
    <w:rsid w:val="00685BC8"/>
    <w:rsid w:val="00685F49"/>
    <w:rsid w:val="00685F75"/>
    <w:rsid w:val="00687A10"/>
    <w:rsid w:val="00690400"/>
    <w:rsid w:val="00690715"/>
    <w:rsid w:val="006910AE"/>
    <w:rsid w:val="00691B88"/>
    <w:rsid w:val="00692ED8"/>
    <w:rsid w:val="0069361A"/>
    <w:rsid w:val="00694032"/>
    <w:rsid w:val="00695235"/>
    <w:rsid w:val="006963FD"/>
    <w:rsid w:val="00696AC9"/>
    <w:rsid w:val="00697D1D"/>
    <w:rsid w:val="006A0086"/>
    <w:rsid w:val="006A01BC"/>
    <w:rsid w:val="006A05F8"/>
    <w:rsid w:val="006A0BCA"/>
    <w:rsid w:val="006A0FBA"/>
    <w:rsid w:val="006A1932"/>
    <w:rsid w:val="006A2A2C"/>
    <w:rsid w:val="006A34C5"/>
    <w:rsid w:val="006A3676"/>
    <w:rsid w:val="006A3A38"/>
    <w:rsid w:val="006A52E6"/>
    <w:rsid w:val="006A54E5"/>
    <w:rsid w:val="006A5A1D"/>
    <w:rsid w:val="006A6B9C"/>
    <w:rsid w:val="006A6C33"/>
    <w:rsid w:val="006A6F4D"/>
    <w:rsid w:val="006A7AD9"/>
    <w:rsid w:val="006A7B2D"/>
    <w:rsid w:val="006A7D86"/>
    <w:rsid w:val="006B0EAC"/>
    <w:rsid w:val="006B1C4B"/>
    <w:rsid w:val="006B20AE"/>
    <w:rsid w:val="006B211E"/>
    <w:rsid w:val="006B357E"/>
    <w:rsid w:val="006B4A6B"/>
    <w:rsid w:val="006B53AA"/>
    <w:rsid w:val="006B7876"/>
    <w:rsid w:val="006C0240"/>
    <w:rsid w:val="006C03A7"/>
    <w:rsid w:val="006C0C8B"/>
    <w:rsid w:val="006C1691"/>
    <w:rsid w:val="006C19D8"/>
    <w:rsid w:val="006C3187"/>
    <w:rsid w:val="006C5514"/>
    <w:rsid w:val="006C58B8"/>
    <w:rsid w:val="006C5DCF"/>
    <w:rsid w:val="006C5F34"/>
    <w:rsid w:val="006C6B31"/>
    <w:rsid w:val="006C704D"/>
    <w:rsid w:val="006C7150"/>
    <w:rsid w:val="006C7309"/>
    <w:rsid w:val="006D0117"/>
    <w:rsid w:val="006D0842"/>
    <w:rsid w:val="006D0CA6"/>
    <w:rsid w:val="006D0F17"/>
    <w:rsid w:val="006D24BC"/>
    <w:rsid w:val="006D24D3"/>
    <w:rsid w:val="006D3C53"/>
    <w:rsid w:val="006D45E3"/>
    <w:rsid w:val="006D46A2"/>
    <w:rsid w:val="006D4B4C"/>
    <w:rsid w:val="006D4EDB"/>
    <w:rsid w:val="006D51B9"/>
    <w:rsid w:val="006D5DCC"/>
    <w:rsid w:val="006E0752"/>
    <w:rsid w:val="006E17B0"/>
    <w:rsid w:val="006E1AD4"/>
    <w:rsid w:val="006E268E"/>
    <w:rsid w:val="006E2D00"/>
    <w:rsid w:val="006E69AC"/>
    <w:rsid w:val="006E6A25"/>
    <w:rsid w:val="006E78FB"/>
    <w:rsid w:val="006F1282"/>
    <w:rsid w:val="006F17C8"/>
    <w:rsid w:val="006F27D0"/>
    <w:rsid w:val="006F381A"/>
    <w:rsid w:val="006F420D"/>
    <w:rsid w:val="006F43EC"/>
    <w:rsid w:val="006F4828"/>
    <w:rsid w:val="006F4E08"/>
    <w:rsid w:val="006F5A54"/>
    <w:rsid w:val="006F5C15"/>
    <w:rsid w:val="006F6198"/>
    <w:rsid w:val="006F7761"/>
    <w:rsid w:val="006F7B84"/>
    <w:rsid w:val="006F7BEB"/>
    <w:rsid w:val="006F7C53"/>
    <w:rsid w:val="006F7FEF"/>
    <w:rsid w:val="007000E0"/>
    <w:rsid w:val="007005FF"/>
    <w:rsid w:val="007009ED"/>
    <w:rsid w:val="00700B72"/>
    <w:rsid w:val="0070105D"/>
    <w:rsid w:val="00701826"/>
    <w:rsid w:val="00701846"/>
    <w:rsid w:val="0070356A"/>
    <w:rsid w:val="00704E0B"/>
    <w:rsid w:val="00705019"/>
    <w:rsid w:val="0070680C"/>
    <w:rsid w:val="007074C8"/>
    <w:rsid w:val="0070755B"/>
    <w:rsid w:val="00707CA0"/>
    <w:rsid w:val="007115E6"/>
    <w:rsid w:val="00711903"/>
    <w:rsid w:val="00712ED5"/>
    <w:rsid w:val="00712EF7"/>
    <w:rsid w:val="0071318F"/>
    <w:rsid w:val="0071357A"/>
    <w:rsid w:val="00713906"/>
    <w:rsid w:val="00715844"/>
    <w:rsid w:val="00715A75"/>
    <w:rsid w:val="0071608C"/>
    <w:rsid w:val="007160BA"/>
    <w:rsid w:val="0071690E"/>
    <w:rsid w:val="007206F0"/>
    <w:rsid w:val="00720BD2"/>
    <w:rsid w:val="007218FC"/>
    <w:rsid w:val="00722323"/>
    <w:rsid w:val="00722DF4"/>
    <w:rsid w:val="0072326A"/>
    <w:rsid w:val="0072414E"/>
    <w:rsid w:val="00724F79"/>
    <w:rsid w:val="0072566F"/>
    <w:rsid w:val="00725B4D"/>
    <w:rsid w:val="00725CA7"/>
    <w:rsid w:val="007264A8"/>
    <w:rsid w:val="007266E6"/>
    <w:rsid w:val="0072722E"/>
    <w:rsid w:val="00730230"/>
    <w:rsid w:val="00731220"/>
    <w:rsid w:val="00731B73"/>
    <w:rsid w:val="00731E03"/>
    <w:rsid w:val="0073214C"/>
    <w:rsid w:val="00732A4F"/>
    <w:rsid w:val="00732BD2"/>
    <w:rsid w:val="00732F80"/>
    <w:rsid w:val="00732F93"/>
    <w:rsid w:val="007335A2"/>
    <w:rsid w:val="00733E92"/>
    <w:rsid w:val="00734743"/>
    <w:rsid w:val="00734AF8"/>
    <w:rsid w:val="00735225"/>
    <w:rsid w:val="0073581A"/>
    <w:rsid w:val="00735D4A"/>
    <w:rsid w:val="007365E4"/>
    <w:rsid w:val="00736618"/>
    <w:rsid w:val="00736D28"/>
    <w:rsid w:val="007374EF"/>
    <w:rsid w:val="00737581"/>
    <w:rsid w:val="00737CA2"/>
    <w:rsid w:val="00740C6C"/>
    <w:rsid w:val="00740C6F"/>
    <w:rsid w:val="007417B2"/>
    <w:rsid w:val="0074212F"/>
    <w:rsid w:val="00742FCA"/>
    <w:rsid w:val="0074304B"/>
    <w:rsid w:val="0074328C"/>
    <w:rsid w:val="00743F41"/>
    <w:rsid w:val="00744159"/>
    <w:rsid w:val="00744337"/>
    <w:rsid w:val="00744C19"/>
    <w:rsid w:val="007464FC"/>
    <w:rsid w:val="00746DEB"/>
    <w:rsid w:val="007477EF"/>
    <w:rsid w:val="00750190"/>
    <w:rsid w:val="00750452"/>
    <w:rsid w:val="00750765"/>
    <w:rsid w:val="00750A02"/>
    <w:rsid w:val="00751875"/>
    <w:rsid w:val="00751EFA"/>
    <w:rsid w:val="0075220F"/>
    <w:rsid w:val="007522F3"/>
    <w:rsid w:val="007533C2"/>
    <w:rsid w:val="0075394D"/>
    <w:rsid w:val="00753D41"/>
    <w:rsid w:val="00753E65"/>
    <w:rsid w:val="0075454E"/>
    <w:rsid w:val="00754809"/>
    <w:rsid w:val="007560F3"/>
    <w:rsid w:val="00756963"/>
    <w:rsid w:val="0075738B"/>
    <w:rsid w:val="007615B1"/>
    <w:rsid w:val="00762013"/>
    <w:rsid w:val="007620B9"/>
    <w:rsid w:val="007621DA"/>
    <w:rsid w:val="00762406"/>
    <w:rsid w:val="007627B1"/>
    <w:rsid w:val="00762A0F"/>
    <w:rsid w:val="00762A57"/>
    <w:rsid w:val="007636E4"/>
    <w:rsid w:val="007645A6"/>
    <w:rsid w:val="007646FF"/>
    <w:rsid w:val="0076547A"/>
    <w:rsid w:val="00765DDE"/>
    <w:rsid w:val="007664EB"/>
    <w:rsid w:val="007672F3"/>
    <w:rsid w:val="00767438"/>
    <w:rsid w:val="0076764C"/>
    <w:rsid w:val="00772EB3"/>
    <w:rsid w:val="0077342F"/>
    <w:rsid w:val="00773F2C"/>
    <w:rsid w:val="00774CC6"/>
    <w:rsid w:val="00774F84"/>
    <w:rsid w:val="0077552E"/>
    <w:rsid w:val="00776050"/>
    <w:rsid w:val="00776F1B"/>
    <w:rsid w:val="007803A0"/>
    <w:rsid w:val="0078055A"/>
    <w:rsid w:val="0078144C"/>
    <w:rsid w:val="00782597"/>
    <w:rsid w:val="0078301A"/>
    <w:rsid w:val="007834D9"/>
    <w:rsid w:val="00783E3D"/>
    <w:rsid w:val="007845D2"/>
    <w:rsid w:val="007846EA"/>
    <w:rsid w:val="007849E6"/>
    <w:rsid w:val="00784AA7"/>
    <w:rsid w:val="0078525C"/>
    <w:rsid w:val="007856E6"/>
    <w:rsid w:val="00790452"/>
    <w:rsid w:val="0079049C"/>
    <w:rsid w:val="007918E9"/>
    <w:rsid w:val="007925AE"/>
    <w:rsid w:val="0079276E"/>
    <w:rsid w:val="00792B3C"/>
    <w:rsid w:val="00792F85"/>
    <w:rsid w:val="0079395C"/>
    <w:rsid w:val="00793B8C"/>
    <w:rsid w:val="00794530"/>
    <w:rsid w:val="0079464B"/>
    <w:rsid w:val="00795B19"/>
    <w:rsid w:val="007964F6"/>
    <w:rsid w:val="007970BC"/>
    <w:rsid w:val="00797B0B"/>
    <w:rsid w:val="00797DE4"/>
    <w:rsid w:val="007A0341"/>
    <w:rsid w:val="007A1036"/>
    <w:rsid w:val="007A1299"/>
    <w:rsid w:val="007A2294"/>
    <w:rsid w:val="007A3707"/>
    <w:rsid w:val="007A3DA5"/>
    <w:rsid w:val="007A417A"/>
    <w:rsid w:val="007A4326"/>
    <w:rsid w:val="007A511E"/>
    <w:rsid w:val="007A57BF"/>
    <w:rsid w:val="007A61F3"/>
    <w:rsid w:val="007A6821"/>
    <w:rsid w:val="007A6D41"/>
    <w:rsid w:val="007A7CA7"/>
    <w:rsid w:val="007A7EDB"/>
    <w:rsid w:val="007A7F84"/>
    <w:rsid w:val="007B0822"/>
    <w:rsid w:val="007B0C0E"/>
    <w:rsid w:val="007B1DDE"/>
    <w:rsid w:val="007B2775"/>
    <w:rsid w:val="007B2AD7"/>
    <w:rsid w:val="007B2B4C"/>
    <w:rsid w:val="007B32D3"/>
    <w:rsid w:val="007B37DB"/>
    <w:rsid w:val="007B3FA5"/>
    <w:rsid w:val="007B40DC"/>
    <w:rsid w:val="007B4962"/>
    <w:rsid w:val="007B50A5"/>
    <w:rsid w:val="007B52BC"/>
    <w:rsid w:val="007B54B7"/>
    <w:rsid w:val="007B68F5"/>
    <w:rsid w:val="007B6B92"/>
    <w:rsid w:val="007B745D"/>
    <w:rsid w:val="007B7B6E"/>
    <w:rsid w:val="007B7F1D"/>
    <w:rsid w:val="007C0686"/>
    <w:rsid w:val="007C0B92"/>
    <w:rsid w:val="007C1036"/>
    <w:rsid w:val="007C132C"/>
    <w:rsid w:val="007C2768"/>
    <w:rsid w:val="007C2CB7"/>
    <w:rsid w:val="007C3335"/>
    <w:rsid w:val="007C3635"/>
    <w:rsid w:val="007C3F51"/>
    <w:rsid w:val="007C5485"/>
    <w:rsid w:val="007C6942"/>
    <w:rsid w:val="007D0FE4"/>
    <w:rsid w:val="007D1E84"/>
    <w:rsid w:val="007D227B"/>
    <w:rsid w:val="007D3CDC"/>
    <w:rsid w:val="007D3F37"/>
    <w:rsid w:val="007D44A2"/>
    <w:rsid w:val="007D59D4"/>
    <w:rsid w:val="007D64BE"/>
    <w:rsid w:val="007D671B"/>
    <w:rsid w:val="007D6AD1"/>
    <w:rsid w:val="007D7A2F"/>
    <w:rsid w:val="007E0161"/>
    <w:rsid w:val="007E02DF"/>
    <w:rsid w:val="007E16D5"/>
    <w:rsid w:val="007E23B7"/>
    <w:rsid w:val="007E2AC7"/>
    <w:rsid w:val="007E324A"/>
    <w:rsid w:val="007E3551"/>
    <w:rsid w:val="007E4418"/>
    <w:rsid w:val="007E5062"/>
    <w:rsid w:val="007E57E5"/>
    <w:rsid w:val="007E695E"/>
    <w:rsid w:val="007E73EA"/>
    <w:rsid w:val="007F04FF"/>
    <w:rsid w:val="007F097F"/>
    <w:rsid w:val="007F1770"/>
    <w:rsid w:val="007F1C67"/>
    <w:rsid w:val="007F1DBD"/>
    <w:rsid w:val="007F2E11"/>
    <w:rsid w:val="007F35BD"/>
    <w:rsid w:val="007F6504"/>
    <w:rsid w:val="007F75C9"/>
    <w:rsid w:val="007F7EA1"/>
    <w:rsid w:val="00801864"/>
    <w:rsid w:val="00802E38"/>
    <w:rsid w:val="0080363A"/>
    <w:rsid w:val="008036E2"/>
    <w:rsid w:val="00803F1A"/>
    <w:rsid w:val="00804856"/>
    <w:rsid w:val="00804DD7"/>
    <w:rsid w:val="0080523A"/>
    <w:rsid w:val="00806577"/>
    <w:rsid w:val="008067DC"/>
    <w:rsid w:val="008069C3"/>
    <w:rsid w:val="00806E2B"/>
    <w:rsid w:val="00807779"/>
    <w:rsid w:val="00807F62"/>
    <w:rsid w:val="00810C28"/>
    <w:rsid w:val="008111FA"/>
    <w:rsid w:val="008115CF"/>
    <w:rsid w:val="00811A2E"/>
    <w:rsid w:val="0081261C"/>
    <w:rsid w:val="00812C63"/>
    <w:rsid w:val="0081355A"/>
    <w:rsid w:val="00814914"/>
    <w:rsid w:val="00815111"/>
    <w:rsid w:val="00815331"/>
    <w:rsid w:val="008154EE"/>
    <w:rsid w:val="0081646A"/>
    <w:rsid w:val="00816808"/>
    <w:rsid w:val="00816B60"/>
    <w:rsid w:val="008201EE"/>
    <w:rsid w:val="00820861"/>
    <w:rsid w:val="00820A24"/>
    <w:rsid w:val="0082112C"/>
    <w:rsid w:val="008215B4"/>
    <w:rsid w:val="00822734"/>
    <w:rsid w:val="00823B98"/>
    <w:rsid w:val="008241F2"/>
    <w:rsid w:val="00824394"/>
    <w:rsid w:val="00824F9B"/>
    <w:rsid w:val="0082612D"/>
    <w:rsid w:val="008264CE"/>
    <w:rsid w:val="00826B82"/>
    <w:rsid w:val="0082730A"/>
    <w:rsid w:val="008278E9"/>
    <w:rsid w:val="00827B28"/>
    <w:rsid w:val="00827EE8"/>
    <w:rsid w:val="008304D9"/>
    <w:rsid w:val="008307C1"/>
    <w:rsid w:val="00830994"/>
    <w:rsid w:val="008319BD"/>
    <w:rsid w:val="00832035"/>
    <w:rsid w:val="00832368"/>
    <w:rsid w:val="00833F19"/>
    <w:rsid w:val="00834378"/>
    <w:rsid w:val="00834832"/>
    <w:rsid w:val="00834BE1"/>
    <w:rsid w:val="00836272"/>
    <w:rsid w:val="00836A9A"/>
    <w:rsid w:val="00837D28"/>
    <w:rsid w:val="00837EA3"/>
    <w:rsid w:val="008405D7"/>
    <w:rsid w:val="0084199A"/>
    <w:rsid w:val="0084365A"/>
    <w:rsid w:val="008437EA"/>
    <w:rsid w:val="008440A4"/>
    <w:rsid w:val="0084443E"/>
    <w:rsid w:val="008447DC"/>
    <w:rsid w:val="00844FCB"/>
    <w:rsid w:val="00845474"/>
    <w:rsid w:val="00845B4B"/>
    <w:rsid w:val="00847B4A"/>
    <w:rsid w:val="00850ACB"/>
    <w:rsid w:val="008518EA"/>
    <w:rsid w:val="008519F0"/>
    <w:rsid w:val="00851C64"/>
    <w:rsid w:val="00851E62"/>
    <w:rsid w:val="00852F31"/>
    <w:rsid w:val="00852F7C"/>
    <w:rsid w:val="00853161"/>
    <w:rsid w:val="00853B24"/>
    <w:rsid w:val="008541F8"/>
    <w:rsid w:val="008545FA"/>
    <w:rsid w:val="00854EB1"/>
    <w:rsid w:val="00857302"/>
    <w:rsid w:val="008577F2"/>
    <w:rsid w:val="00857B48"/>
    <w:rsid w:val="00858D4C"/>
    <w:rsid w:val="00860BE2"/>
    <w:rsid w:val="00861479"/>
    <w:rsid w:val="00862226"/>
    <w:rsid w:val="008623A0"/>
    <w:rsid w:val="00862418"/>
    <w:rsid w:val="0086254A"/>
    <w:rsid w:val="008629E7"/>
    <w:rsid w:val="008631B0"/>
    <w:rsid w:val="00864558"/>
    <w:rsid w:val="00864965"/>
    <w:rsid w:val="008657BA"/>
    <w:rsid w:val="00865FE4"/>
    <w:rsid w:val="00866C36"/>
    <w:rsid w:val="00866E4D"/>
    <w:rsid w:val="0086F283"/>
    <w:rsid w:val="008712C3"/>
    <w:rsid w:val="00871469"/>
    <w:rsid w:val="00871991"/>
    <w:rsid w:val="0087203A"/>
    <w:rsid w:val="008729C9"/>
    <w:rsid w:val="00873B9E"/>
    <w:rsid w:val="0087437A"/>
    <w:rsid w:val="00874395"/>
    <w:rsid w:val="008748DE"/>
    <w:rsid w:val="00874B63"/>
    <w:rsid w:val="00875919"/>
    <w:rsid w:val="00876373"/>
    <w:rsid w:val="00876376"/>
    <w:rsid w:val="00877D28"/>
    <w:rsid w:val="0088021A"/>
    <w:rsid w:val="00880A91"/>
    <w:rsid w:val="00881067"/>
    <w:rsid w:val="00881792"/>
    <w:rsid w:val="008819EC"/>
    <w:rsid w:val="00881AB1"/>
    <w:rsid w:val="00882394"/>
    <w:rsid w:val="00882861"/>
    <w:rsid w:val="00883016"/>
    <w:rsid w:val="008834C2"/>
    <w:rsid w:val="008835F9"/>
    <w:rsid w:val="008838E6"/>
    <w:rsid w:val="00883AAF"/>
    <w:rsid w:val="00884A24"/>
    <w:rsid w:val="00885A73"/>
    <w:rsid w:val="00885C8E"/>
    <w:rsid w:val="00886C56"/>
    <w:rsid w:val="00891052"/>
    <w:rsid w:val="008910DC"/>
    <w:rsid w:val="0089157D"/>
    <w:rsid w:val="00891C96"/>
    <w:rsid w:val="008926F0"/>
    <w:rsid w:val="00892B7C"/>
    <w:rsid w:val="008936A4"/>
    <w:rsid w:val="008939F6"/>
    <w:rsid w:val="0089557B"/>
    <w:rsid w:val="0089653D"/>
    <w:rsid w:val="008969B4"/>
    <w:rsid w:val="00897A99"/>
    <w:rsid w:val="008A0930"/>
    <w:rsid w:val="008A2676"/>
    <w:rsid w:val="008A275D"/>
    <w:rsid w:val="008A41F0"/>
    <w:rsid w:val="008A4B61"/>
    <w:rsid w:val="008A4E59"/>
    <w:rsid w:val="008A4F2A"/>
    <w:rsid w:val="008A5022"/>
    <w:rsid w:val="008A58CC"/>
    <w:rsid w:val="008A62DD"/>
    <w:rsid w:val="008A64E8"/>
    <w:rsid w:val="008A6AD1"/>
    <w:rsid w:val="008A70F6"/>
    <w:rsid w:val="008A7686"/>
    <w:rsid w:val="008B0895"/>
    <w:rsid w:val="008B08BB"/>
    <w:rsid w:val="008B0F4C"/>
    <w:rsid w:val="008B1B3D"/>
    <w:rsid w:val="008B2D70"/>
    <w:rsid w:val="008B34CA"/>
    <w:rsid w:val="008B4218"/>
    <w:rsid w:val="008B4692"/>
    <w:rsid w:val="008B4DEF"/>
    <w:rsid w:val="008B51B4"/>
    <w:rsid w:val="008B58E3"/>
    <w:rsid w:val="008C1393"/>
    <w:rsid w:val="008C2701"/>
    <w:rsid w:val="008C277F"/>
    <w:rsid w:val="008C27ED"/>
    <w:rsid w:val="008C2887"/>
    <w:rsid w:val="008C2CD9"/>
    <w:rsid w:val="008C2E4C"/>
    <w:rsid w:val="008C314B"/>
    <w:rsid w:val="008C32FC"/>
    <w:rsid w:val="008C3BC2"/>
    <w:rsid w:val="008C3F24"/>
    <w:rsid w:val="008C4DDC"/>
    <w:rsid w:val="008C4E12"/>
    <w:rsid w:val="008C61B4"/>
    <w:rsid w:val="008C6883"/>
    <w:rsid w:val="008C69FB"/>
    <w:rsid w:val="008C7149"/>
    <w:rsid w:val="008C7219"/>
    <w:rsid w:val="008C7C85"/>
    <w:rsid w:val="008C7CA3"/>
    <w:rsid w:val="008C7EA8"/>
    <w:rsid w:val="008D08C1"/>
    <w:rsid w:val="008D1F8A"/>
    <w:rsid w:val="008D26AC"/>
    <w:rsid w:val="008D427C"/>
    <w:rsid w:val="008D477F"/>
    <w:rsid w:val="008D4A2A"/>
    <w:rsid w:val="008D4B55"/>
    <w:rsid w:val="008D4B62"/>
    <w:rsid w:val="008D55B9"/>
    <w:rsid w:val="008D5BBB"/>
    <w:rsid w:val="008D6811"/>
    <w:rsid w:val="008D6CA0"/>
    <w:rsid w:val="008E0936"/>
    <w:rsid w:val="008E0F55"/>
    <w:rsid w:val="008E15C8"/>
    <w:rsid w:val="008E194D"/>
    <w:rsid w:val="008E1C01"/>
    <w:rsid w:val="008E2880"/>
    <w:rsid w:val="008E2989"/>
    <w:rsid w:val="008E29D4"/>
    <w:rsid w:val="008E2E1C"/>
    <w:rsid w:val="008E2EFF"/>
    <w:rsid w:val="008E38BA"/>
    <w:rsid w:val="008E3D70"/>
    <w:rsid w:val="008E3F19"/>
    <w:rsid w:val="008E4241"/>
    <w:rsid w:val="008E592F"/>
    <w:rsid w:val="008E645B"/>
    <w:rsid w:val="008E6B34"/>
    <w:rsid w:val="008E7164"/>
    <w:rsid w:val="008E7CD3"/>
    <w:rsid w:val="008F002D"/>
    <w:rsid w:val="008F01D4"/>
    <w:rsid w:val="008F01EE"/>
    <w:rsid w:val="008F08F8"/>
    <w:rsid w:val="008F0BA8"/>
    <w:rsid w:val="008F252C"/>
    <w:rsid w:val="008F26AE"/>
    <w:rsid w:val="008F285F"/>
    <w:rsid w:val="008F2F99"/>
    <w:rsid w:val="008F330B"/>
    <w:rsid w:val="008F3F3B"/>
    <w:rsid w:val="008F48D8"/>
    <w:rsid w:val="008F49B9"/>
    <w:rsid w:val="008F5B76"/>
    <w:rsid w:val="00900AC6"/>
    <w:rsid w:val="00901362"/>
    <w:rsid w:val="00901688"/>
    <w:rsid w:val="0090307A"/>
    <w:rsid w:val="00903A0F"/>
    <w:rsid w:val="00903BBE"/>
    <w:rsid w:val="009047E3"/>
    <w:rsid w:val="009052D5"/>
    <w:rsid w:val="0090744E"/>
    <w:rsid w:val="00907640"/>
    <w:rsid w:val="0090766E"/>
    <w:rsid w:val="00907B00"/>
    <w:rsid w:val="009104E7"/>
    <w:rsid w:val="0091191F"/>
    <w:rsid w:val="00911E27"/>
    <w:rsid w:val="0091588B"/>
    <w:rsid w:val="00915E78"/>
    <w:rsid w:val="00916139"/>
    <w:rsid w:val="009174C5"/>
    <w:rsid w:val="00920351"/>
    <w:rsid w:val="00921629"/>
    <w:rsid w:val="009219A8"/>
    <w:rsid w:val="009231BA"/>
    <w:rsid w:val="0092330B"/>
    <w:rsid w:val="0092385C"/>
    <w:rsid w:val="00923E63"/>
    <w:rsid w:val="00924955"/>
    <w:rsid w:val="00926CE1"/>
    <w:rsid w:val="009272B5"/>
    <w:rsid w:val="00927366"/>
    <w:rsid w:val="009275D3"/>
    <w:rsid w:val="00927CB3"/>
    <w:rsid w:val="00927E06"/>
    <w:rsid w:val="0092D409"/>
    <w:rsid w:val="00930A37"/>
    <w:rsid w:val="00931596"/>
    <w:rsid w:val="0093247E"/>
    <w:rsid w:val="00933233"/>
    <w:rsid w:val="0093340C"/>
    <w:rsid w:val="00934011"/>
    <w:rsid w:val="0093519D"/>
    <w:rsid w:val="00935696"/>
    <w:rsid w:val="009359F8"/>
    <w:rsid w:val="00935A79"/>
    <w:rsid w:val="00937759"/>
    <w:rsid w:val="00937890"/>
    <w:rsid w:val="00937980"/>
    <w:rsid w:val="00940254"/>
    <w:rsid w:val="00940F5A"/>
    <w:rsid w:val="009412FB"/>
    <w:rsid w:val="00941CA3"/>
    <w:rsid w:val="00941D42"/>
    <w:rsid w:val="00941E2D"/>
    <w:rsid w:val="00942104"/>
    <w:rsid w:val="0094302C"/>
    <w:rsid w:val="009431F0"/>
    <w:rsid w:val="00943960"/>
    <w:rsid w:val="00945000"/>
    <w:rsid w:val="00945AD6"/>
    <w:rsid w:val="00945B27"/>
    <w:rsid w:val="00946D18"/>
    <w:rsid w:val="009479CE"/>
    <w:rsid w:val="009503E6"/>
    <w:rsid w:val="0095144F"/>
    <w:rsid w:val="009514EF"/>
    <w:rsid w:val="00952DF6"/>
    <w:rsid w:val="00952FA8"/>
    <w:rsid w:val="009531BC"/>
    <w:rsid w:val="009553DF"/>
    <w:rsid w:val="00955A99"/>
    <w:rsid w:val="00955AFB"/>
    <w:rsid w:val="00956749"/>
    <w:rsid w:val="009568AF"/>
    <w:rsid w:val="00956B15"/>
    <w:rsid w:val="009578C8"/>
    <w:rsid w:val="009607F3"/>
    <w:rsid w:val="0096248B"/>
    <w:rsid w:val="0096289B"/>
    <w:rsid w:val="00962AC5"/>
    <w:rsid w:val="00962B9F"/>
    <w:rsid w:val="00963310"/>
    <w:rsid w:val="00963410"/>
    <w:rsid w:val="009639CD"/>
    <w:rsid w:val="00964425"/>
    <w:rsid w:val="00965431"/>
    <w:rsid w:val="00965DE6"/>
    <w:rsid w:val="0096697A"/>
    <w:rsid w:val="009670B8"/>
    <w:rsid w:val="009678E3"/>
    <w:rsid w:val="009705AA"/>
    <w:rsid w:val="00970691"/>
    <w:rsid w:val="0097169C"/>
    <w:rsid w:val="0097264E"/>
    <w:rsid w:val="0097295A"/>
    <w:rsid w:val="0097448C"/>
    <w:rsid w:val="00974F63"/>
    <w:rsid w:val="0097514B"/>
    <w:rsid w:val="00976326"/>
    <w:rsid w:val="00976688"/>
    <w:rsid w:val="00976930"/>
    <w:rsid w:val="009770C0"/>
    <w:rsid w:val="00980B02"/>
    <w:rsid w:val="00982423"/>
    <w:rsid w:val="00982974"/>
    <w:rsid w:val="00984433"/>
    <w:rsid w:val="009847C5"/>
    <w:rsid w:val="00984DA4"/>
    <w:rsid w:val="00984F14"/>
    <w:rsid w:val="00985C0E"/>
    <w:rsid w:val="00986392"/>
    <w:rsid w:val="0098640A"/>
    <w:rsid w:val="0098681B"/>
    <w:rsid w:val="009868DD"/>
    <w:rsid w:val="00987AB6"/>
    <w:rsid w:val="00990CB2"/>
    <w:rsid w:val="00991703"/>
    <w:rsid w:val="00992D9D"/>
    <w:rsid w:val="00993DC5"/>
    <w:rsid w:val="009944E0"/>
    <w:rsid w:val="0099776E"/>
    <w:rsid w:val="00997822"/>
    <w:rsid w:val="009A0A90"/>
    <w:rsid w:val="009A2F13"/>
    <w:rsid w:val="009A3019"/>
    <w:rsid w:val="009A3FFF"/>
    <w:rsid w:val="009A4044"/>
    <w:rsid w:val="009A410C"/>
    <w:rsid w:val="009A43A6"/>
    <w:rsid w:val="009A5A4F"/>
    <w:rsid w:val="009A6BCC"/>
    <w:rsid w:val="009A77B4"/>
    <w:rsid w:val="009B0282"/>
    <w:rsid w:val="009B0EDC"/>
    <w:rsid w:val="009B2406"/>
    <w:rsid w:val="009B2872"/>
    <w:rsid w:val="009B32BE"/>
    <w:rsid w:val="009B347B"/>
    <w:rsid w:val="009B3656"/>
    <w:rsid w:val="009B3A80"/>
    <w:rsid w:val="009B3D77"/>
    <w:rsid w:val="009B5203"/>
    <w:rsid w:val="009B5D7E"/>
    <w:rsid w:val="009B5E4D"/>
    <w:rsid w:val="009B6859"/>
    <w:rsid w:val="009B7615"/>
    <w:rsid w:val="009B7A1B"/>
    <w:rsid w:val="009B7C1C"/>
    <w:rsid w:val="009C08F1"/>
    <w:rsid w:val="009C1190"/>
    <w:rsid w:val="009C2CAA"/>
    <w:rsid w:val="009C3563"/>
    <w:rsid w:val="009C4578"/>
    <w:rsid w:val="009C4E9F"/>
    <w:rsid w:val="009C52F9"/>
    <w:rsid w:val="009C62BF"/>
    <w:rsid w:val="009C66F1"/>
    <w:rsid w:val="009C690B"/>
    <w:rsid w:val="009C7EA3"/>
    <w:rsid w:val="009D0799"/>
    <w:rsid w:val="009D1940"/>
    <w:rsid w:val="009D1E7B"/>
    <w:rsid w:val="009D2054"/>
    <w:rsid w:val="009D241F"/>
    <w:rsid w:val="009D439D"/>
    <w:rsid w:val="009D46EE"/>
    <w:rsid w:val="009D5DA2"/>
    <w:rsid w:val="009D6DEC"/>
    <w:rsid w:val="009E058C"/>
    <w:rsid w:val="009E0620"/>
    <w:rsid w:val="009E0AA0"/>
    <w:rsid w:val="009E0AD1"/>
    <w:rsid w:val="009E1193"/>
    <w:rsid w:val="009E1A37"/>
    <w:rsid w:val="009E1EDF"/>
    <w:rsid w:val="009E2199"/>
    <w:rsid w:val="009E2371"/>
    <w:rsid w:val="009E23F2"/>
    <w:rsid w:val="009E245D"/>
    <w:rsid w:val="009E2804"/>
    <w:rsid w:val="009E2DC5"/>
    <w:rsid w:val="009E3ED1"/>
    <w:rsid w:val="009E4D33"/>
    <w:rsid w:val="009E581A"/>
    <w:rsid w:val="009E58EC"/>
    <w:rsid w:val="009E5E13"/>
    <w:rsid w:val="009E6759"/>
    <w:rsid w:val="009E7146"/>
    <w:rsid w:val="009E74A4"/>
    <w:rsid w:val="009E7913"/>
    <w:rsid w:val="009F0DFE"/>
    <w:rsid w:val="009F111B"/>
    <w:rsid w:val="009F1858"/>
    <w:rsid w:val="009F266B"/>
    <w:rsid w:val="009F3400"/>
    <w:rsid w:val="009F6057"/>
    <w:rsid w:val="009F6DFF"/>
    <w:rsid w:val="009F748D"/>
    <w:rsid w:val="009F7816"/>
    <w:rsid w:val="00A00306"/>
    <w:rsid w:val="00A01B3D"/>
    <w:rsid w:val="00A01B4A"/>
    <w:rsid w:val="00A02C6B"/>
    <w:rsid w:val="00A02DB0"/>
    <w:rsid w:val="00A0517F"/>
    <w:rsid w:val="00A052AD"/>
    <w:rsid w:val="00A059AC"/>
    <w:rsid w:val="00A06428"/>
    <w:rsid w:val="00A0768A"/>
    <w:rsid w:val="00A07B57"/>
    <w:rsid w:val="00A0D362"/>
    <w:rsid w:val="00A10776"/>
    <w:rsid w:val="00A10AA2"/>
    <w:rsid w:val="00A110AC"/>
    <w:rsid w:val="00A1125D"/>
    <w:rsid w:val="00A11DB6"/>
    <w:rsid w:val="00A12061"/>
    <w:rsid w:val="00A12CBA"/>
    <w:rsid w:val="00A12E97"/>
    <w:rsid w:val="00A12EAA"/>
    <w:rsid w:val="00A12F48"/>
    <w:rsid w:val="00A13157"/>
    <w:rsid w:val="00A13E80"/>
    <w:rsid w:val="00A14080"/>
    <w:rsid w:val="00A142BC"/>
    <w:rsid w:val="00A14390"/>
    <w:rsid w:val="00A1502A"/>
    <w:rsid w:val="00A15F3D"/>
    <w:rsid w:val="00A16566"/>
    <w:rsid w:val="00A178BC"/>
    <w:rsid w:val="00A2048A"/>
    <w:rsid w:val="00A20A3D"/>
    <w:rsid w:val="00A20B6A"/>
    <w:rsid w:val="00A22FD7"/>
    <w:rsid w:val="00A238AF"/>
    <w:rsid w:val="00A2407C"/>
    <w:rsid w:val="00A251F7"/>
    <w:rsid w:val="00A25A9C"/>
    <w:rsid w:val="00A25EE1"/>
    <w:rsid w:val="00A261BF"/>
    <w:rsid w:val="00A26B1D"/>
    <w:rsid w:val="00A26D95"/>
    <w:rsid w:val="00A274E1"/>
    <w:rsid w:val="00A308B0"/>
    <w:rsid w:val="00A30FDE"/>
    <w:rsid w:val="00A3108D"/>
    <w:rsid w:val="00A31670"/>
    <w:rsid w:val="00A31B1A"/>
    <w:rsid w:val="00A31E6E"/>
    <w:rsid w:val="00A31EC0"/>
    <w:rsid w:val="00A32E43"/>
    <w:rsid w:val="00A332DF"/>
    <w:rsid w:val="00A33485"/>
    <w:rsid w:val="00A33574"/>
    <w:rsid w:val="00A336B2"/>
    <w:rsid w:val="00A355CC"/>
    <w:rsid w:val="00A35C31"/>
    <w:rsid w:val="00A35CDB"/>
    <w:rsid w:val="00A36A1E"/>
    <w:rsid w:val="00A36CB1"/>
    <w:rsid w:val="00A37615"/>
    <w:rsid w:val="00A402F3"/>
    <w:rsid w:val="00A40418"/>
    <w:rsid w:val="00A410DB"/>
    <w:rsid w:val="00A4149B"/>
    <w:rsid w:val="00A41946"/>
    <w:rsid w:val="00A42E19"/>
    <w:rsid w:val="00A42E31"/>
    <w:rsid w:val="00A42F33"/>
    <w:rsid w:val="00A4304F"/>
    <w:rsid w:val="00A43343"/>
    <w:rsid w:val="00A43493"/>
    <w:rsid w:val="00A437D1"/>
    <w:rsid w:val="00A43E3B"/>
    <w:rsid w:val="00A4452C"/>
    <w:rsid w:val="00A459C6"/>
    <w:rsid w:val="00A4608F"/>
    <w:rsid w:val="00A46350"/>
    <w:rsid w:val="00A46E40"/>
    <w:rsid w:val="00A47EF4"/>
    <w:rsid w:val="00A50980"/>
    <w:rsid w:val="00A5138F"/>
    <w:rsid w:val="00A5204E"/>
    <w:rsid w:val="00A526EB"/>
    <w:rsid w:val="00A53275"/>
    <w:rsid w:val="00A53F64"/>
    <w:rsid w:val="00A5489A"/>
    <w:rsid w:val="00A56C2A"/>
    <w:rsid w:val="00A56EA8"/>
    <w:rsid w:val="00A60CA0"/>
    <w:rsid w:val="00A6286B"/>
    <w:rsid w:val="00A641D0"/>
    <w:rsid w:val="00A643BA"/>
    <w:rsid w:val="00A64759"/>
    <w:rsid w:val="00A64D49"/>
    <w:rsid w:val="00A6526D"/>
    <w:rsid w:val="00A6568E"/>
    <w:rsid w:val="00A65F12"/>
    <w:rsid w:val="00A65F92"/>
    <w:rsid w:val="00A675F4"/>
    <w:rsid w:val="00A6773E"/>
    <w:rsid w:val="00A700FF"/>
    <w:rsid w:val="00A70960"/>
    <w:rsid w:val="00A730B6"/>
    <w:rsid w:val="00A73B31"/>
    <w:rsid w:val="00A73DC6"/>
    <w:rsid w:val="00A742EA"/>
    <w:rsid w:val="00A74CC5"/>
    <w:rsid w:val="00A74DFA"/>
    <w:rsid w:val="00A76021"/>
    <w:rsid w:val="00A765CE"/>
    <w:rsid w:val="00A777B3"/>
    <w:rsid w:val="00A778DD"/>
    <w:rsid w:val="00A804A9"/>
    <w:rsid w:val="00A807BF"/>
    <w:rsid w:val="00A81545"/>
    <w:rsid w:val="00A829F2"/>
    <w:rsid w:val="00A83896"/>
    <w:rsid w:val="00A84E21"/>
    <w:rsid w:val="00A85C2F"/>
    <w:rsid w:val="00A86083"/>
    <w:rsid w:val="00A86259"/>
    <w:rsid w:val="00A8666E"/>
    <w:rsid w:val="00A8750A"/>
    <w:rsid w:val="00A902FA"/>
    <w:rsid w:val="00A90E8E"/>
    <w:rsid w:val="00A910DB"/>
    <w:rsid w:val="00A9150E"/>
    <w:rsid w:val="00A927D9"/>
    <w:rsid w:val="00A92AA0"/>
    <w:rsid w:val="00A92DAE"/>
    <w:rsid w:val="00A941A7"/>
    <w:rsid w:val="00A943E5"/>
    <w:rsid w:val="00A94749"/>
    <w:rsid w:val="00A948C1"/>
    <w:rsid w:val="00A968FB"/>
    <w:rsid w:val="00A97491"/>
    <w:rsid w:val="00A97EB8"/>
    <w:rsid w:val="00AA05DD"/>
    <w:rsid w:val="00AA08E6"/>
    <w:rsid w:val="00AA1E91"/>
    <w:rsid w:val="00AA2026"/>
    <w:rsid w:val="00AA2E2E"/>
    <w:rsid w:val="00AA306C"/>
    <w:rsid w:val="00AA3572"/>
    <w:rsid w:val="00AA3B50"/>
    <w:rsid w:val="00AA54F8"/>
    <w:rsid w:val="00AA55F5"/>
    <w:rsid w:val="00AA6232"/>
    <w:rsid w:val="00AA6425"/>
    <w:rsid w:val="00AA648D"/>
    <w:rsid w:val="00AA6C72"/>
    <w:rsid w:val="00AB1DE1"/>
    <w:rsid w:val="00AB26E4"/>
    <w:rsid w:val="00AB2E01"/>
    <w:rsid w:val="00AB44F5"/>
    <w:rsid w:val="00AB476F"/>
    <w:rsid w:val="00AB4798"/>
    <w:rsid w:val="00AB560B"/>
    <w:rsid w:val="00AB5773"/>
    <w:rsid w:val="00AB6D88"/>
    <w:rsid w:val="00AB7666"/>
    <w:rsid w:val="00AB7B6A"/>
    <w:rsid w:val="00AC0516"/>
    <w:rsid w:val="00AC061B"/>
    <w:rsid w:val="00AC079B"/>
    <w:rsid w:val="00AC0A69"/>
    <w:rsid w:val="00AC10FE"/>
    <w:rsid w:val="00AC25DF"/>
    <w:rsid w:val="00AC39DB"/>
    <w:rsid w:val="00AC3B51"/>
    <w:rsid w:val="00AC407F"/>
    <w:rsid w:val="00AC4EE4"/>
    <w:rsid w:val="00AC5492"/>
    <w:rsid w:val="00AC5850"/>
    <w:rsid w:val="00AC58D9"/>
    <w:rsid w:val="00AC6714"/>
    <w:rsid w:val="00AC6B28"/>
    <w:rsid w:val="00AC6EE2"/>
    <w:rsid w:val="00AC784A"/>
    <w:rsid w:val="00AD1013"/>
    <w:rsid w:val="00AD1C4E"/>
    <w:rsid w:val="00AD3CED"/>
    <w:rsid w:val="00AD42D7"/>
    <w:rsid w:val="00AD4647"/>
    <w:rsid w:val="00AD555E"/>
    <w:rsid w:val="00AD5CE8"/>
    <w:rsid w:val="00AD62D1"/>
    <w:rsid w:val="00AD6433"/>
    <w:rsid w:val="00AD6832"/>
    <w:rsid w:val="00AD7CF6"/>
    <w:rsid w:val="00AD7DF6"/>
    <w:rsid w:val="00AE0398"/>
    <w:rsid w:val="00AE11B3"/>
    <w:rsid w:val="00AE1F04"/>
    <w:rsid w:val="00AE3B0F"/>
    <w:rsid w:val="00AE3B5D"/>
    <w:rsid w:val="00AE411E"/>
    <w:rsid w:val="00AE4179"/>
    <w:rsid w:val="00AE5732"/>
    <w:rsid w:val="00AE5E4B"/>
    <w:rsid w:val="00AE68C1"/>
    <w:rsid w:val="00AE6C9E"/>
    <w:rsid w:val="00AE731C"/>
    <w:rsid w:val="00AE7876"/>
    <w:rsid w:val="00AF010E"/>
    <w:rsid w:val="00AF013D"/>
    <w:rsid w:val="00AF083D"/>
    <w:rsid w:val="00AF20DE"/>
    <w:rsid w:val="00AF2559"/>
    <w:rsid w:val="00AF2DAE"/>
    <w:rsid w:val="00AF4332"/>
    <w:rsid w:val="00AF4720"/>
    <w:rsid w:val="00AF47B1"/>
    <w:rsid w:val="00AF6CB9"/>
    <w:rsid w:val="00AF7731"/>
    <w:rsid w:val="00AF7FCE"/>
    <w:rsid w:val="00B00E0E"/>
    <w:rsid w:val="00B00E64"/>
    <w:rsid w:val="00B020AE"/>
    <w:rsid w:val="00B0286B"/>
    <w:rsid w:val="00B02E65"/>
    <w:rsid w:val="00B0320A"/>
    <w:rsid w:val="00B0437B"/>
    <w:rsid w:val="00B0450B"/>
    <w:rsid w:val="00B04A6E"/>
    <w:rsid w:val="00B05C02"/>
    <w:rsid w:val="00B06166"/>
    <w:rsid w:val="00B06D4D"/>
    <w:rsid w:val="00B07259"/>
    <w:rsid w:val="00B07289"/>
    <w:rsid w:val="00B100AA"/>
    <w:rsid w:val="00B10214"/>
    <w:rsid w:val="00B10B1D"/>
    <w:rsid w:val="00B11EEF"/>
    <w:rsid w:val="00B1250C"/>
    <w:rsid w:val="00B12638"/>
    <w:rsid w:val="00B1271D"/>
    <w:rsid w:val="00B1313D"/>
    <w:rsid w:val="00B135BC"/>
    <w:rsid w:val="00B1495A"/>
    <w:rsid w:val="00B1563C"/>
    <w:rsid w:val="00B16B93"/>
    <w:rsid w:val="00B16BC7"/>
    <w:rsid w:val="00B17572"/>
    <w:rsid w:val="00B20D96"/>
    <w:rsid w:val="00B213AD"/>
    <w:rsid w:val="00B239BB"/>
    <w:rsid w:val="00B23A9A"/>
    <w:rsid w:val="00B26272"/>
    <w:rsid w:val="00B26458"/>
    <w:rsid w:val="00B26A88"/>
    <w:rsid w:val="00B27FAE"/>
    <w:rsid w:val="00B30B74"/>
    <w:rsid w:val="00B30C48"/>
    <w:rsid w:val="00B30F6B"/>
    <w:rsid w:val="00B31E7E"/>
    <w:rsid w:val="00B329D4"/>
    <w:rsid w:val="00B34018"/>
    <w:rsid w:val="00B35AED"/>
    <w:rsid w:val="00B35C2F"/>
    <w:rsid w:val="00B35EC8"/>
    <w:rsid w:val="00B36646"/>
    <w:rsid w:val="00B36649"/>
    <w:rsid w:val="00B36680"/>
    <w:rsid w:val="00B36D98"/>
    <w:rsid w:val="00B36E22"/>
    <w:rsid w:val="00B37575"/>
    <w:rsid w:val="00B37B29"/>
    <w:rsid w:val="00B41134"/>
    <w:rsid w:val="00B41274"/>
    <w:rsid w:val="00B430ED"/>
    <w:rsid w:val="00B4340E"/>
    <w:rsid w:val="00B43924"/>
    <w:rsid w:val="00B43BEC"/>
    <w:rsid w:val="00B43DBD"/>
    <w:rsid w:val="00B445FB"/>
    <w:rsid w:val="00B44A7E"/>
    <w:rsid w:val="00B45067"/>
    <w:rsid w:val="00B45293"/>
    <w:rsid w:val="00B46166"/>
    <w:rsid w:val="00B46952"/>
    <w:rsid w:val="00B46D1B"/>
    <w:rsid w:val="00B47B1D"/>
    <w:rsid w:val="00B47D3F"/>
    <w:rsid w:val="00B47DB4"/>
    <w:rsid w:val="00B500FC"/>
    <w:rsid w:val="00B50596"/>
    <w:rsid w:val="00B505FC"/>
    <w:rsid w:val="00B50FD7"/>
    <w:rsid w:val="00B514AF"/>
    <w:rsid w:val="00B524B3"/>
    <w:rsid w:val="00B535DF"/>
    <w:rsid w:val="00B53C14"/>
    <w:rsid w:val="00B54663"/>
    <w:rsid w:val="00B552F1"/>
    <w:rsid w:val="00B55D7B"/>
    <w:rsid w:val="00B5602F"/>
    <w:rsid w:val="00B5615E"/>
    <w:rsid w:val="00B566CB"/>
    <w:rsid w:val="00B56742"/>
    <w:rsid w:val="00B56D22"/>
    <w:rsid w:val="00B6112F"/>
    <w:rsid w:val="00B61576"/>
    <w:rsid w:val="00B621FE"/>
    <w:rsid w:val="00B64DE9"/>
    <w:rsid w:val="00B64E05"/>
    <w:rsid w:val="00B6575E"/>
    <w:rsid w:val="00B66D05"/>
    <w:rsid w:val="00B670DA"/>
    <w:rsid w:val="00B67C03"/>
    <w:rsid w:val="00B67F9B"/>
    <w:rsid w:val="00B70173"/>
    <w:rsid w:val="00B70550"/>
    <w:rsid w:val="00B708BB"/>
    <w:rsid w:val="00B70B4E"/>
    <w:rsid w:val="00B70D9F"/>
    <w:rsid w:val="00B70EEF"/>
    <w:rsid w:val="00B71CE4"/>
    <w:rsid w:val="00B71EAF"/>
    <w:rsid w:val="00B7239C"/>
    <w:rsid w:val="00B7268B"/>
    <w:rsid w:val="00B72AB3"/>
    <w:rsid w:val="00B72C0D"/>
    <w:rsid w:val="00B72C4B"/>
    <w:rsid w:val="00B737A3"/>
    <w:rsid w:val="00B73B0D"/>
    <w:rsid w:val="00B7417E"/>
    <w:rsid w:val="00B74419"/>
    <w:rsid w:val="00B756F7"/>
    <w:rsid w:val="00B76AFA"/>
    <w:rsid w:val="00B800B2"/>
    <w:rsid w:val="00B80D07"/>
    <w:rsid w:val="00B81111"/>
    <w:rsid w:val="00B82136"/>
    <w:rsid w:val="00B826AF"/>
    <w:rsid w:val="00B83A89"/>
    <w:rsid w:val="00B841F8"/>
    <w:rsid w:val="00B84D9C"/>
    <w:rsid w:val="00B8578F"/>
    <w:rsid w:val="00B87922"/>
    <w:rsid w:val="00B87B2E"/>
    <w:rsid w:val="00B87FC6"/>
    <w:rsid w:val="00B904A8"/>
    <w:rsid w:val="00B90A9E"/>
    <w:rsid w:val="00B90BAB"/>
    <w:rsid w:val="00B9141D"/>
    <w:rsid w:val="00B91539"/>
    <w:rsid w:val="00B919DD"/>
    <w:rsid w:val="00B9239C"/>
    <w:rsid w:val="00B932BE"/>
    <w:rsid w:val="00B93A62"/>
    <w:rsid w:val="00B945D0"/>
    <w:rsid w:val="00B952EB"/>
    <w:rsid w:val="00B95580"/>
    <w:rsid w:val="00B95644"/>
    <w:rsid w:val="00B95662"/>
    <w:rsid w:val="00B957DB"/>
    <w:rsid w:val="00B959DD"/>
    <w:rsid w:val="00B95E84"/>
    <w:rsid w:val="00B95EA5"/>
    <w:rsid w:val="00B97B54"/>
    <w:rsid w:val="00B97CD7"/>
    <w:rsid w:val="00BA01DC"/>
    <w:rsid w:val="00BA0884"/>
    <w:rsid w:val="00BA0D4C"/>
    <w:rsid w:val="00BA1010"/>
    <w:rsid w:val="00BA1EE9"/>
    <w:rsid w:val="00BA3142"/>
    <w:rsid w:val="00BA4302"/>
    <w:rsid w:val="00BA45BC"/>
    <w:rsid w:val="00BA481D"/>
    <w:rsid w:val="00BA533E"/>
    <w:rsid w:val="00BA6291"/>
    <w:rsid w:val="00BA6D3B"/>
    <w:rsid w:val="00BA7A52"/>
    <w:rsid w:val="00BB08DE"/>
    <w:rsid w:val="00BB0A24"/>
    <w:rsid w:val="00BB13FD"/>
    <w:rsid w:val="00BB160F"/>
    <w:rsid w:val="00BB17AC"/>
    <w:rsid w:val="00BB1887"/>
    <w:rsid w:val="00BB226C"/>
    <w:rsid w:val="00BB2602"/>
    <w:rsid w:val="00BB263B"/>
    <w:rsid w:val="00BB2B14"/>
    <w:rsid w:val="00BB2DA7"/>
    <w:rsid w:val="00BB3400"/>
    <w:rsid w:val="00BB3673"/>
    <w:rsid w:val="00BB47EB"/>
    <w:rsid w:val="00BB4911"/>
    <w:rsid w:val="00BB4988"/>
    <w:rsid w:val="00BB507C"/>
    <w:rsid w:val="00BB5547"/>
    <w:rsid w:val="00BB5B02"/>
    <w:rsid w:val="00BB640B"/>
    <w:rsid w:val="00BB7BE8"/>
    <w:rsid w:val="00BC3BC2"/>
    <w:rsid w:val="00BC3CC6"/>
    <w:rsid w:val="00BC3DE8"/>
    <w:rsid w:val="00BC4995"/>
    <w:rsid w:val="00BC5109"/>
    <w:rsid w:val="00BC515F"/>
    <w:rsid w:val="00BC71F9"/>
    <w:rsid w:val="00BC7C5A"/>
    <w:rsid w:val="00BC7E57"/>
    <w:rsid w:val="00BD0C2D"/>
    <w:rsid w:val="00BD15D5"/>
    <w:rsid w:val="00BD1BB3"/>
    <w:rsid w:val="00BD1CD8"/>
    <w:rsid w:val="00BD3969"/>
    <w:rsid w:val="00BD3A50"/>
    <w:rsid w:val="00BD3BB9"/>
    <w:rsid w:val="00BD3E15"/>
    <w:rsid w:val="00BD4BF2"/>
    <w:rsid w:val="00BD5B53"/>
    <w:rsid w:val="00BE06D7"/>
    <w:rsid w:val="00BE0B9A"/>
    <w:rsid w:val="00BE16ED"/>
    <w:rsid w:val="00BE18F5"/>
    <w:rsid w:val="00BE1940"/>
    <w:rsid w:val="00BE21FF"/>
    <w:rsid w:val="00BE27B2"/>
    <w:rsid w:val="00BE34BB"/>
    <w:rsid w:val="00BE3972"/>
    <w:rsid w:val="00BE4C05"/>
    <w:rsid w:val="00BE5C18"/>
    <w:rsid w:val="00BE66EF"/>
    <w:rsid w:val="00BE6B1B"/>
    <w:rsid w:val="00BE6EBD"/>
    <w:rsid w:val="00BE7E86"/>
    <w:rsid w:val="00BF181F"/>
    <w:rsid w:val="00BF1859"/>
    <w:rsid w:val="00BF1BF6"/>
    <w:rsid w:val="00BF1CEE"/>
    <w:rsid w:val="00BF1DD4"/>
    <w:rsid w:val="00BF36BA"/>
    <w:rsid w:val="00BF3FB9"/>
    <w:rsid w:val="00BF40CC"/>
    <w:rsid w:val="00BF493B"/>
    <w:rsid w:val="00BF59BD"/>
    <w:rsid w:val="00BF680A"/>
    <w:rsid w:val="00BF6851"/>
    <w:rsid w:val="00BF74B3"/>
    <w:rsid w:val="00C00319"/>
    <w:rsid w:val="00C012D3"/>
    <w:rsid w:val="00C02C03"/>
    <w:rsid w:val="00C030D2"/>
    <w:rsid w:val="00C03170"/>
    <w:rsid w:val="00C05611"/>
    <w:rsid w:val="00C05993"/>
    <w:rsid w:val="00C05AF3"/>
    <w:rsid w:val="00C07827"/>
    <w:rsid w:val="00C100B9"/>
    <w:rsid w:val="00C1064A"/>
    <w:rsid w:val="00C115F0"/>
    <w:rsid w:val="00C11A34"/>
    <w:rsid w:val="00C122E5"/>
    <w:rsid w:val="00C13154"/>
    <w:rsid w:val="00C132E3"/>
    <w:rsid w:val="00C136B3"/>
    <w:rsid w:val="00C1424C"/>
    <w:rsid w:val="00C14356"/>
    <w:rsid w:val="00C14C22"/>
    <w:rsid w:val="00C16849"/>
    <w:rsid w:val="00C16936"/>
    <w:rsid w:val="00C16A3E"/>
    <w:rsid w:val="00C16CD9"/>
    <w:rsid w:val="00C17EF1"/>
    <w:rsid w:val="00C202CB"/>
    <w:rsid w:val="00C2053E"/>
    <w:rsid w:val="00C2077D"/>
    <w:rsid w:val="00C2200E"/>
    <w:rsid w:val="00C224CB"/>
    <w:rsid w:val="00C2323E"/>
    <w:rsid w:val="00C23A88"/>
    <w:rsid w:val="00C24182"/>
    <w:rsid w:val="00C242C8"/>
    <w:rsid w:val="00C251F5"/>
    <w:rsid w:val="00C2544E"/>
    <w:rsid w:val="00C25F2E"/>
    <w:rsid w:val="00C270BB"/>
    <w:rsid w:val="00C30079"/>
    <w:rsid w:val="00C302F2"/>
    <w:rsid w:val="00C304B5"/>
    <w:rsid w:val="00C30A2E"/>
    <w:rsid w:val="00C317C3"/>
    <w:rsid w:val="00C3198A"/>
    <w:rsid w:val="00C31B9B"/>
    <w:rsid w:val="00C32D82"/>
    <w:rsid w:val="00C33752"/>
    <w:rsid w:val="00C33926"/>
    <w:rsid w:val="00C359CB"/>
    <w:rsid w:val="00C35AE0"/>
    <w:rsid w:val="00C35C6D"/>
    <w:rsid w:val="00C3653B"/>
    <w:rsid w:val="00C37545"/>
    <w:rsid w:val="00C40877"/>
    <w:rsid w:val="00C408D9"/>
    <w:rsid w:val="00C40B07"/>
    <w:rsid w:val="00C43647"/>
    <w:rsid w:val="00C437CE"/>
    <w:rsid w:val="00C439AD"/>
    <w:rsid w:val="00C43E75"/>
    <w:rsid w:val="00C44260"/>
    <w:rsid w:val="00C44E77"/>
    <w:rsid w:val="00C45100"/>
    <w:rsid w:val="00C45A11"/>
    <w:rsid w:val="00C45DA3"/>
    <w:rsid w:val="00C45F64"/>
    <w:rsid w:val="00C46260"/>
    <w:rsid w:val="00C46AA6"/>
    <w:rsid w:val="00C47BA6"/>
    <w:rsid w:val="00C47FA5"/>
    <w:rsid w:val="00C50054"/>
    <w:rsid w:val="00C51CEB"/>
    <w:rsid w:val="00C53279"/>
    <w:rsid w:val="00C53327"/>
    <w:rsid w:val="00C535F7"/>
    <w:rsid w:val="00C537D0"/>
    <w:rsid w:val="00C53FD9"/>
    <w:rsid w:val="00C5471D"/>
    <w:rsid w:val="00C54FF2"/>
    <w:rsid w:val="00C551C7"/>
    <w:rsid w:val="00C556A7"/>
    <w:rsid w:val="00C56921"/>
    <w:rsid w:val="00C571C9"/>
    <w:rsid w:val="00C5750C"/>
    <w:rsid w:val="00C600D1"/>
    <w:rsid w:val="00C607CE"/>
    <w:rsid w:val="00C60C19"/>
    <w:rsid w:val="00C6110F"/>
    <w:rsid w:val="00C61149"/>
    <w:rsid w:val="00C6160A"/>
    <w:rsid w:val="00C61FB9"/>
    <w:rsid w:val="00C62328"/>
    <w:rsid w:val="00C629DE"/>
    <w:rsid w:val="00C62D31"/>
    <w:rsid w:val="00C63B28"/>
    <w:rsid w:val="00C63C09"/>
    <w:rsid w:val="00C63FB8"/>
    <w:rsid w:val="00C64F56"/>
    <w:rsid w:val="00C65227"/>
    <w:rsid w:val="00C657E5"/>
    <w:rsid w:val="00C658E1"/>
    <w:rsid w:val="00C660C0"/>
    <w:rsid w:val="00C66658"/>
    <w:rsid w:val="00C666BC"/>
    <w:rsid w:val="00C667F7"/>
    <w:rsid w:val="00C66D66"/>
    <w:rsid w:val="00C66F71"/>
    <w:rsid w:val="00C675A1"/>
    <w:rsid w:val="00C67F2E"/>
    <w:rsid w:val="00C701A9"/>
    <w:rsid w:val="00C70F8D"/>
    <w:rsid w:val="00C71191"/>
    <w:rsid w:val="00C7190E"/>
    <w:rsid w:val="00C71C2D"/>
    <w:rsid w:val="00C72359"/>
    <w:rsid w:val="00C724D8"/>
    <w:rsid w:val="00C72580"/>
    <w:rsid w:val="00C72723"/>
    <w:rsid w:val="00C72CF0"/>
    <w:rsid w:val="00C72F50"/>
    <w:rsid w:val="00C73233"/>
    <w:rsid w:val="00C756DB"/>
    <w:rsid w:val="00C75E4F"/>
    <w:rsid w:val="00C76353"/>
    <w:rsid w:val="00C76B3B"/>
    <w:rsid w:val="00C77083"/>
    <w:rsid w:val="00C77AD4"/>
    <w:rsid w:val="00C77E14"/>
    <w:rsid w:val="00C80239"/>
    <w:rsid w:val="00C80AE9"/>
    <w:rsid w:val="00C80F46"/>
    <w:rsid w:val="00C81AD9"/>
    <w:rsid w:val="00C81B8B"/>
    <w:rsid w:val="00C81BD5"/>
    <w:rsid w:val="00C82665"/>
    <w:rsid w:val="00C82D96"/>
    <w:rsid w:val="00C85287"/>
    <w:rsid w:val="00C860F5"/>
    <w:rsid w:val="00C86348"/>
    <w:rsid w:val="00C8681E"/>
    <w:rsid w:val="00C870CE"/>
    <w:rsid w:val="00C871BB"/>
    <w:rsid w:val="00C874A1"/>
    <w:rsid w:val="00C90036"/>
    <w:rsid w:val="00C90644"/>
    <w:rsid w:val="00C9128D"/>
    <w:rsid w:val="00C91715"/>
    <w:rsid w:val="00C93198"/>
    <w:rsid w:val="00C94222"/>
    <w:rsid w:val="00C94319"/>
    <w:rsid w:val="00C9483E"/>
    <w:rsid w:val="00C957CD"/>
    <w:rsid w:val="00C97765"/>
    <w:rsid w:val="00CA03F7"/>
    <w:rsid w:val="00CA0D2C"/>
    <w:rsid w:val="00CA0E84"/>
    <w:rsid w:val="00CA1333"/>
    <w:rsid w:val="00CA2B2E"/>
    <w:rsid w:val="00CA2F1C"/>
    <w:rsid w:val="00CA4216"/>
    <w:rsid w:val="00CA48EF"/>
    <w:rsid w:val="00CA4BAC"/>
    <w:rsid w:val="00CA5049"/>
    <w:rsid w:val="00CA524B"/>
    <w:rsid w:val="00CA5483"/>
    <w:rsid w:val="00CA6A54"/>
    <w:rsid w:val="00CA6DCC"/>
    <w:rsid w:val="00CA7C01"/>
    <w:rsid w:val="00CB0453"/>
    <w:rsid w:val="00CB0B5F"/>
    <w:rsid w:val="00CB0C07"/>
    <w:rsid w:val="00CB0E60"/>
    <w:rsid w:val="00CB1368"/>
    <w:rsid w:val="00CB1909"/>
    <w:rsid w:val="00CB1933"/>
    <w:rsid w:val="00CB32D5"/>
    <w:rsid w:val="00CB3585"/>
    <w:rsid w:val="00CB385F"/>
    <w:rsid w:val="00CB3E35"/>
    <w:rsid w:val="00CB435A"/>
    <w:rsid w:val="00CB46AC"/>
    <w:rsid w:val="00CB46BB"/>
    <w:rsid w:val="00CB4C1C"/>
    <w:rsid w:val="00CB7489"/>
    <w:rsid w:val="00CB7D0B"/>
    <w:rsid w:val="00CB7EA8"/>
    <w:rsid w:val="00CC0682"/>
    <w:rsid w:val="00CC1122"/>
    <w:rsid w:val="00CC16AD"/>
    <w:rsid w:val="00CC1835"/>
    <w:rsid w:val="00CC2CC9"/>
    <w:rsid w:val="00CC3D94"/>
    <w:rsid w:val="00CC69DD"/>
    <w:rsid w:val="00CC7C50"/>
    <w:rsid w:val="00CD035A"/>
    <w:rsid w:val="00CD0CEF"/>
    <w:rsid w:val="00CD1818"/>
    <w:rsid w:val="00CD1AA6"/>
    <w:rsid w:val="00CD2B50"/>
    <w:rsid w:val="00CD3AF5"/>
    <w:rsid w:val="00CD3CB8"/>
    <w:rsid w:val="00CD3FE4"/>
    <w:rsid w:val="00CD5B75"/>
    <w:rsid w:val="00CD7806"/>
    <w:rsid w:val="00CD7B8C"/>
    <w:rsid w:val="00CD7C9A"/>
    <w:rsid w:val="00CE047E"/>
    <w:rsid w:val="00CE06D6"/>
    <w:rsid w:val="00CE14A8"/>
    <w:rsid w:val="00CE16C6"/>
    <w:rsid w:val="00CE1A7E"/>
    <w:rsid w:val="00CE1CE8"/>
    <w:rsid w:val="00CE20F4"/>
    <w:rsid w:val="00CE2396"/>
    <w:rsid w:val="00CE24C6"/>
    <w:rsid w:val="00CE2739"/>
    <w:rsid w:val="00CE2E6E"/>
    <w:rsid w:val="00CE54A9"/>
    <w:rsid w:val="00CE59C7"/>
    <w:rsid w:val="00CE62C0"/>
    <w:rsid w:val="00CE62C1"/>
    <w:rsid w:val="00CE6389"/>
    <w:rsid w:val="00CE652F"/>
    <w:rsid w:val="00CE66FE"/>
    <w:rsid w:val="00CE697C"/>
    <w:rsid w:val="00CE6A5F"/>
    <w:rsid w:val="00CE71EE"/>
    <w:rsid w:val="00CE77F6"/>
    <w:rsid w:val="00CE7CE0"/>
    <w:rsid w:val="00CF0B37"/>
    <w:rsid w:val="00CF0BF6"/>
    <w:rsid w:val="00CF1906"/>
    <w:rsid w:val="00CF20A2"/>
    <w:rsid w:val="00CF301E"/>
    <w:rsid w:val="00CF350A"/>
    <w:rsid w:val="00CF3E17"/>
    <w:rsid w:val="00CF4141"/>
    <w:rsid w:val="00CF4820"/>
    <w:rsid w:val="00CF4AD8"/>
    <w:rsid w:val="00CF5D8E"/>
    <w:rsid w:val="00CF7182"/>
    <w:rsid w:val="00CF7CBF"/>
    <w:rsid w:val="00D00131"/>
    <w:rsid w:val="00D00508"/>
    <w:rsid w:val="00D011D1"/>
    <w:rsid w:val="00D012A8"/>
    <w:rsid w:val="00D02074"/>
    <w:rsid w:val="00D02369"/>
    <w:rsid w:val="00D024CF"/>
    <w:rsid w:val="00D02EC5"/>
    <w:rsid w:val="00D03E91"/>
    <w:rsid w:val="00D04587"/>
    <w:rsid w:val="00D05640"/>
    <w:rsid w:val="00D056D1"/>
    <w:rsid w:val="00D071D0"/>
    <w:rsid w:val="00D07B08"/>
    <w:rsid w:val="00D10C43"/>
    <w:rsid w:val="00D1114D"/>
    <w:rsid w:val="00D1131C"/>
    <w:rsid w:val="00D1171C"/>
    <w:rsid w:val="00D11FBC"/>
    <w:rsid w:val="00D121E1"/>
    <w:rsid w:val="00D130C3"/>
    <w:rsid w:val="00D148C2"/>
    <w:rsid w:val="00D14E21"/>
    <w:rsid w:val="00D15A62"/>
    <w:rsid w:val="00D16219"/>
    <w:rsid w:val="00D1675A"/>
    <w:rsid w:val="00D1677F"/>
    <w:rsid w:val="00D20F37"/>
    <w:rsid w:val="00D22C48"/>
    <w:rsid w:val="00D23AE0"/>
    <w:rsid w:val="00D24FE8"/>
    <w:rsid w:val="00D25205"/>
    <w:rsid w:val="00D256CC"/>
    <w:rsid w:val="00D25B81"/>
    <w:rsid w:val="00D2648D"/>
    <w:rsid w:val="00D30ACE"/>
    <w:rsid w:val="00D30BDE"/>
    <w:rsid w:val="00D318F4"/>
    <w:rsid w:val="00D334C9"/>
    <w:rsid w:val="00D33B71"/>
    <w:rsid w:val="00D3408D"/>
    <w:rsid w:val="00D34256"/>
    <w:rsid w:val="00D34EDF"/>
    <w:rsid w:val="00D34F04"/>
    <w:rsid w:val="00D350C8"/>
    <w:rsid w:val="00D35109"/>
    <w:rsid w:val="00D3517A"/>
    <w:rsid w:val="00D352A0"/>
    <w:rsid w:val="00D356B3"/>
    <w:rsid w:val="00D359C6"/>
    <w:rsid w:val="00D3605C"/>
    <w:rsid w:val="00D36D9A"/>
    <w:rsid w:val="00D37878"/>
    <w:rsid w:val="00D40E8A"/>
    <w:rsid w:val="00D40F59"/>
    <w:rsid w:val="00D420D9"/>
    <w:rsid w:val="00D424D4"/>
    <w:rsid w:val="00D42D83"/>
    <w:rsid w:val="00D4343E"/>
    <w:rsid w:val="00D43C0C"/>
    <w:rsid w:val="00D440B3"/>
    <w:rsid w:val="00D44134"/>
    <w:rsid w:val="00D4530D"/>
    <w:rsid w:val="00D45AD8"/>
    <w:rsid w:val="00D45D76"/>
    <w:rsid w:val="00D45EF6"/>
    <w:rsid w:val="00D46FF7"/>
    <w:rsid w:val="00D47FEA"/>
    <w:rsid w:val="00D5127B"/>
    <w:rsid w:val="00D51647"/>
    <w:rsid w:val="00D5263E"/>
    <w:rsid w:val="00D52E60"/>
    <w:rsid w:val="00D52F21"/>
    <w:rsid w:val="00D52FA1"/>
    <w:rsid w:val="00D53484"/>
    <w:rsid w:val="00D5349C"/>
    <w:rsid w:val="00D537F5"/>
    <w:rsid w:val="00D54E37"/>
    <w:rsid w:val="00D54FF8"/>
    <w:rsid w:val="00D56262"/>
    <w:rsid w:val="00D5634C"/>
    <w:rsid w:val="00D5684F"/>
    <w:rsid w:val="00D56875"/>
    <w:rsid w:val="00D56CE8"/>
    <w:rsid w:val="00D63202"/>
    <w:rsid w:val="00D63CB4"/>
    <w:rsid w:val="00D63EDA"/>
    <w:rsid w:val="00D645AE"/>
    <w:rsid w:val="00D648FB"/>
    <w:rsid w:val="00D64BA9"/>
    <w:rsid w:val="00D64C6C"/>
    <w:rsid w:val="00D65407"/>
    <w:rsid w:val="00D65B59"/>
    <w:rsid w:val="00D6A293"/>
    <w:rsid w:val="00D7073E"/>
    <w:rsid w:val="00D70BC9"/>
    <w:rsid w:val="00D70D55"/>
    <w:rsid w:val="00D71439"/>
    <w:rsid w:val="00D7187E"/>
    <w:rsid w:val="00D718AF"/>
    <w:rsid w:val="00D71BC8"/>
    <w:rsid w:val="00D73083"/>
    <w:rsid w:val="00D73F1D"/>
    <w:rsid w:val="00D74BD6"/>
    <w:rsid w:val="00D75D4B"/>
    <w:rsid w:val="00D765D7"/>
    <w:rsid w:val="00D76978"/>
    <w:rsid w:val="00D7698E"/>
    <w:rsid w:val="00D775F5"/>
    <w:rsid w:val="00D802B8"/>
    <w:rsid w:val="00D80BBA"/>
    <w:rsid w:val="00D80C1A"/>
    <w:rsid w:val="00D80E3D"/>
    <w:rsid w:val="00D811BD"/>
    <w:rsid w:val="00D816F8"/>
    <w:rsid w:val="00D81E06"/>
    <w:rsid w:val="00D81E1C"/>
    <w:rsid w:val="00D81F24"/>
    <w:rsid w:val="00D82AFF"/>
    <w:rsid w:val="00D832F6"/>
    <w:rsid w:val="00D845CB"/>
    <w:rsid w:val="00D84BD0"/>
    <w:rsid w:val="00D84C32"/>
    <w:rsid w:val="00D85218"/>
    <w:rsid w:val="00D857DA"/>
    <w:rsid w:val="00D86031"/>
    <w:rsid w:val="00D866DA"/>
    <w:rsid w:val="00D8757A"/>
    <w:rsid w:val="00D8761E"/>
    <w:rsid w:val="00D87A07"/>
    <w:rsid w:val="00D87C4A"/>
    <w:rsid w:val="00D87D7D"/>
    <w:rsid w:val="00D9082D"/>
    <w:rsid w:val="00D90A03"/>
    <w:rsid w:val="00D91445"/>
    <w:rsid w:val="00D916D4"/>
    <w:rsid w:val="00D91821"/>
    <w:rsid w:val="00D918B8"/>
    <w:rsid w:val="00D925A1"/>
    <w:rsid w:val="00D92940"/>
    <w:rsid w:val="00D933E1"/>
    <w:rsid w:val="00D9371A"/>
    <w:rsid w:val="00D9441E"/>
    <w:rsid w:val="00D94FF9"/>
    <w:rsid w:val="00D9564E"/>
    <w:rsid w:val="00D95969"/>
    <w:rsid w:val="00D95A3F"/>
    <w:rsid w:val="00D95E0E"/>
    <w:rsid w:val="00D97226"/>
    <w:rsid w:val="00D97B0B"/>
    <w:rsid w:val="00D9DEAC"/>
    <w:rsid w:val="00DA0FDB"/>
    <w:rsid w:val="00DA173D"/>
    <w:rsid w:val="00DA234D"/>
    <w:rsid w:val="00DA27E6"/>
    <w:rsid w:val="00DA2CF9"/>
    <w:rsid w:val="00DA38CF"/>
    <w:rsid w:val="00DA4070"/>
    <w:rsid w:val="00DA45C5"/>
    <w:rsid w:val="00DA46B8"/>
    <w:rsid w:val="00DA4CCC"/>
    <w:rsid w:val="00DA4E5D"/>
    <w:rsid w:val="00DA55C4"/>
    <w:rsid w:val="00DA63B2"/>
    <w:rsid w:val="00DA6C15"/>
    <w:rsid w:val="00DA6E6C"/>
    <w:rsid w:val="00DA70C7"/>
    <w:rsid w:val="00DA775D"/>
    <w:rsid w:val="00DB06CC"/>
    <w:rsid w:val="00DB0A22"/>
    <w:rsid w:val="00DB1CA9"/>
    <w:rsid w:val="00DB26FA"/>
    <w:rsid w:val="00DB2845"/>
    <w:rsid w:val="00DB28F6"/>
    <w:rsid w:val="00DB2A19"/>
    <w:rsid w:val="00DB42E9"/>
    <w:rsid w:val="00DB4C6A"/>
    <w:rsid w:val="00DB5644"/>
    <w:rsid w:val="00DB57A6"/>
    <w:rsid w:val="00DB619A"/>
    <w:rsid w:val="00DB7C62"/>
    <w:rsid w:val="00DC0061"/>
    <w:rsid w:val="00DC0516"/>
    <w:rsid w:val="00DC070A"/>
    <w:rsid w:val="00DC079E"/>
    <w:rsid w:val="00DC1155"/>
    <w:rsid w:val="00DC158E"/>
    <w:rsid w:val="00DC1C0B"/>
    <w:rsid w:val="00DC28F7"/>
    <w:rsid w:val="00DC2E01"/>
    <w:rsid w:val="00DC3CF2"/>
    <w:rsid w:val="00DC41BB"/>
    <w:rsid w:val="00DC44DC"/>
    <w:rsid w:val="00DC47A9"/>
    <w:rsid w:val="00DC4A99"/>
    <w:rsid w:val="00DC578B"/>
    <w:rsid w:val="00DC594C"/>
    <w:rsid w:val="00DC5B28"/>
    <w:rsid w:val="00DC6A18"/>
    <w:rsid w:val="00DC6EB1"/>
    <w:rsid w:val="00DC794F"/>
    <w:rsid w:val="00DC7BAA"/>
    <w:rsid w:val="00DC7CD7"/>
    <w:rsid w:val="00DD21D5"/>
    <w:rsid w:val="00DD22C4"/>
    <w:rsid w:val="00DD2AF2"/>
    <w:rsid w:val="00DD3ACE"/>
    <w:rsid w:val="00DD3CDB"/>
    <w:rsid w:val="00DD4442"/>
    <w:rsid w:val="00DD4CCD"/>
    <w:rsid w:val="00DD5243"/>
    <w:rsid w:val="00DD64EC"/>
    <w:rsid w:val="00DD6688"/>
    <w:rsid w:val="00DD7969"/>
    <w:rsid w:val="00DE0678"/>
    <w:rsid w:val="00DE0736"/>
    <w:rsid w:val="00DE08CD"/>
    <w:rsid w:val="00DE0E8A"/>
    <w:rsid w:val="00DE0FC9"/>
    <w:rsid w:val="00DE30BE"/>
    <w:rsid w:val="00DE33CA"/>
    <w:rsid w:val="00DE3ABE"/>
    <w:rsid w:val="00DE3ED9"/>
    <w:rsid w:val="00DE64DA"/>
    <w:rsid w:val="00DE66E0"/>
    <w:rsid w:val="00DE722D"/>
    <w:rsid w:val="00DE773F"/>
    <w:rsid w:val="00DE7F54"/>
    <w:rsid w:val="00DF134E"/>
    <w:rsid w:val="00DF14E9"/>
    <w:rsid w:val="00DF1754"/>
    <w:rsid w:val="00DF1FE9"/>
    <w:rsid w:val="00DF29E4"/>
    <w:rsid w:val="00DF37A5"/>
    <w:rsid w:val="00DF3EE4"/>
    <w:rsid w:val="00DF3FD2"/>
    <w:rsid w:val="00DF5107"/>
    <w:rsid w:val="00DF5889"/>
    <w:rsid w:val="00DF598E"/>
    <w:rsid w:val="00DF6558"/>
    <w:rsid w:val="00DF6805"/>
    <w:rsid w:val="00E00523"/>
    <w:rsid w:val="00E008E4"/>
    <w:rsid w:val="00E00FEB"/>
    <w:rsid w:val="00E0258E"/>
    <w:rsid w:val="00E02670"/>
    <w:rsid w:val="00E02D57"/>
    <w:rsid w:val="00E03AC4"/>
    <w:rsid w:val="00E04712"/>
    <w:rsid w:val="00E0491B"/>
    <w:rsid w:val="00E04C1D"/>
    <w:rsid w:val="00E060A1"/>
    <w:rsid w:val="00E06385"/>
    <w:rsid w:val="00E0726B"/>
    <w:rsid w:val="00E10500"/>
    <w:rsid w:val="00E10AC7"/>
    <w:rsid w:val="00E10AD5"/>
    <w:rsid w:val="00E10ED8"/>
    <w:rsid w:val="00E10F26"/>
    <w:rsid w:val="00E11075"/>
    <w:rsid w:val="00E110AE"/>
    <w:rsid w:val="00E11244"/>
    <w:rsid w:val="00E115FC"/>
    <w:rsid w:val="00E1193C"/>
    <w:rsid w:val="00E121E6"/>
    <w:rsid w:val="00E12EFA"/>
    <w:rsid w:val="00E14445"/>
    <w:rsid w:val="00E14636"/>
    <w:rsid w:val="00E1534D"/>
    <w:rsid w:val="00E1688F"/>
    <w:rsid w:val="00E16EF9"/>
    <w:rsid w:val="00E20811"/>
    <w:rsid w:val="00E226A7"/>
    <w:rsid w:val="00E22B7C"/>
    <w:rsid w:val="00E242B8"/>
    <w:rsid w:val="00E24382"/>
    <w:rsid w:val="00E246AE"/>
    <w:rsid w:val="00E24D14"/>
    <w:rsid w:val="00E257FA"/>
    <w:rsid w:val="00E258B9"/>
    <w:rsid w:val="00E25B00"/>
    <w:rsid w:val="00E27037"/>
    <w:rsid w:val="00E274CE"/>
    <w:rsid w:val="00E27CBA"/>
    <w:rsid w:val="00E27D83"/>
    <w:rsid w:val="00E27EFD"/>
    <w:rsid w:val="00E30466"/>
    <w:rsid w:val="00E305DD"/>
    <w:rsid w:val="00E30651"/>
    <w:rsid w:val="00E31A30"/>
    <w:rsid w:val="00E3225F"/>
    <w:rsid w:val="00E3236A"/>
    <w:rsid w:val="00E3246F"/>
    <w:rsid w:val="00E330D3"/>
    <w:rsid w:val="00E342C5"/>
    <w:rsid w:val="00E344D6"/>
    <w:rsid w:val="00E358F9"/>
    <w:rsid w:val="00E36065"/>
    <w:rsid w:val="00E36102"/>
    <w:rsid w:val="00E37695"/>
    <w:rsid w:val="00E37A9B"/>
    <w:rsid w:val="00E41584"/>
    <w:rsid w:val="00E41C88"/>
    <w:rsid w:val="00E4209C"/>
    <w:rsid w:val="00E425CD"/>
    <w:rsid w:val="00E4267A"/>
    <w:rsid w:val="00E42E86"/>
    <w:rsid w:val="00E4308E"/>
    <w:rsid w:val="00E4337A"/>
    <w:rsid w:val="00E441A3"/>
    <w:rsid w:val="00E44BEB"/>
    <w:rsid w:val="00E44C5D"/>
    <w:rsid w:val="00E457DA"/>
    <w:rsid w:val="00E45F86"/>
    <w:rsid w:val="00E461BB"/>
    <w:rsid w:val="00E4627A"/>
    <w:rsid w:val="00E46EA3"/>
    <w:rsid w:val="00E47B63"/>
    <w:rsid w:val="00E5050E"/>
    <w:rsid w:val="00E50DD5"/>
    <w:rsid w:val="00E5186E"/>
    <w:rsid w:val="00E51AB7"/>
    <w:rsid w:val="00E5220D"/>
    <w:rsid w:val="00E5298A"/>
    <w:rsid w:val="00E52BC7"/>
    <w:rsid w:val="00E530E8"/>
    <w:rsid w:val="00E5322A"/>
    <w:rsid w:val="00E53994"/>
    <w:rsid w:val="00E54B21"/>
    <w:rsid w:val="00E552C8"/>
    <w:rsid w:val="00E553DA"/>
    <w:rsid w:val="00E55AA3"/>
    <w:rsid w:val="00E570B1"/>
    <w:rsid w:val="00E577C4"/>
    <w:rsid w:val="00E57AD6"/>
    <w:rsid w:val="00E57C03"/>
    <w:rsid w:val="00E57CA2"/>
    <w:rsid w:val="00E60F29"/>
    <w:rsid w:val="00E633EA"/>
    <w:rsid w:val="00E6388F"/>
    <w:rsid w:val="00E63BDF"/>
    <w:rsid w:val="00E64196"/>
    <w:rsid w:val="00E642C5"/>
    <w:rsid w:val="00E665F5"/>
    <w:rsid w:val="00E6689C"/>
    <w:rsid w:val="00E66EF9"/>
    <w:rsid w:val="00E674E6"/>
    <w:rsid w:val="00E7015B"/>
    <w:rsid w:val="00E70769"/>
    <w:rsid w:val="00E70AD9"/>
    <w:rsid w:val="00E70B29"/>
    <w:rsid w:val="00E70C89"/>
    <w:rsid w:val="00E70F88"/>
    <w:rsid w:val="00E70FBB"/>
    <w:rsid w:val="00E7219B"/>
    <w:rsid w:val="00E722A0"/>
    <w:rsid w:val="00E72461"/>
    <w:rsid w:val="00E7253B"/>
    <w:rsid w:val="00E72A4D"/>
    <w:rsid w:val="00E72DA3"/>
    <w:rsid w:val="00E7422D"/>
    <w:rsid w:val="00E74452"/>
    <w:rsid w:val="00E75597"/>
    <w:rsid w:val="00E7607D"/>
    <w:rsid w:val="00E76B4A"/>
    <w:rsid w:val="00E77060"/>
    <w:rsid w:val="00E77D4C"/>
    <w:rsid w:val="00E77E56"/>
    <w:rsid w:val="00E8025E"/>
    <w:rsid w:val="00E80326"/>
    <w:rsid w:val="00E8065F"/>
    <w:rsid w:val="00E807DB"/>
    <w:rsid w:val="00E8091D"/>
    <w:rsid w:val="00E80D40"/>
    <w:rsid w:val="00E81637"/>
    <w:rsid w:val="00E81A7B"/>
    <w:rsid w:val="00E81DD3"/>
    <w:rsid w:val="00E8400B"/>
    <w:rsid w:val="00E841AA"/>
    <w:rsid w:val="00E85745"/>
    <w:rsid w:val="00E86275"/>
    <w:rsid w:val="00E86606"/>
    <w:rsid w:val="00E86B4F"/>
    <w:rsid w:val="00E87928"/>
    <w:rsid w:val="00E87DA7"/>
    <w:rsid w:val="00E90473"/>
    <w:rsid w:val="00E9129A"/>
    <w:rsid w:val="00E917B0"/>
    <w:rsid w:val="00E91BC4"/>
    <w:rsid w:val="00E91EC4"/>
    <w:rsid w:val="00E931FD"/>
    <w:rsid w:val="00E94D98"/>
    <w:rsid w:val="00E94E17"/>
    <w:rsid w:val="00E950D6"/>
    <w:rsid w:val="00E9572C"/>
    <w:rsid w:val="00E95A88"/>
    <w:rsid w:val="00E95EF3"/>
    <w:rsid w:val="00E95F5D"/>
    <w:rsid w:val="00E96728"/>
    <w:rsid w:val="00E96A82"/>
    <w:rsid w:val="00E971FE"/>
    <w:rsid w:val="00E97614"/>
    <w:rsid w:val="00EA09D2"/>
    <w:rsid w:val="00EA15C8"/>
    <w:rsid w:val="00EA1977"/>
    <w:rsid w:val="00EA208C"/>
    <w:rsid w:val="00EA22CF"/>
    <w:rsid w:val="00EA2743"/>
    <w:rsid w:val="00EA35A5"/>
    <w:rsid w:val="00EA45F6"/>
    <w:rsid w:val="00EA4A0D"/>
    <w:rsid w:val="00EA529A"/>
    <w:rsid w:val="00EA5420"/>
    <w:rsid w:val="00EA5556"/>
    <w:rsid w:val="00EA5880"/>
    <w:rsid w:val="00EA664D"/>
    <w:rsid w:val="00EA6FF3"/>
    <w:rsid w:val="00EA7923"/>
    <w:rsid w:val="00EB06A9"/>
    <w:rsid w:val="00EB20B4"/>
    <w:rsid w:val="00EB354D"/>
    <w:rsid w:val="00EB4EC1"/>
    <w:rsid w:val="00EB5478"/>
    <w:rsid w:val="00EB594F"/>
    <w:rsid w:val="00EB79C3"/>
    <w:rsid w:val="00EB7AE8"/>
    <w:rsid w:val="00EC19F5"/>
    <w:rsid w:val="00EC1F78"/>
    <w:rsid w:val="00EC3040"/>
    <w:rsid w:val="00EC318A"/>
    <w:rsid w:val="00EC32D4"/>
    <w:rsid w:val="00EC375C"/>
    <w:rsid w:val="00EC3E53"/>
    <w:rsid w:val="00EC3F20"/>
    <w:rsid w:val="00EC3FED"/>
    <w:rsid w:val="00EC536C"/>
    <w:rsid w:val="00EC5BA6"/>
    <w:rsid w:val="00EC74D6"/>
    <w:rsid w:val="00EC7B0E"/>
    <w:rsid w:val="00ED03B8"/>
    <w:rsid w:val="00ED0895"/>
    <w:rsid w:val="00ED0BCB"/>
    <w:rsid w:val="00ED14F0"/>
    <w:rsid w:val="00ED1EA2"/>
    <w:rsid w:val="00ED1F99"/>
    <w:rsid w:val="00ED253A"/>
    <w:rsid w:val="00ED2BEA"/>
    <w:rsid w:val="00ED32F0"/>
    <w:rsid w:val="00ED3350"/>
    <w:rsid w:val="00ED3636"/>
    <w:rsid w:val="00ED408A"/>
    <w:rsid w:val="00ED4BCE"/>
    <w:rsid w:val="00ED5285"/>
    <w:rsid w:val="00EE08E1"/>
    <w:rsid w:val="00EE187A"/>
    <w:rsid w:val="00EE293C"/>
    <w:rsid w:val="00EE2C90"/>
    <w:rsid w:val="00EE3FEA"/>
    <w:rsid w:val="00EE45C8"/>
    <w:rsid w:val="00EE4C8B"/>
    <w:rsid w:val="00EE57BA"/>
    <w:rsid w:val="00EE59ED"/>
    <w:rsid w:val="00EE5BE4"/>
    <w:rsid w:val="00EE60C3"/>
    <w:rsid w:val="00EE75A3"/>
    <w:rsid w:val="00EE7C9C"/>
    <w:rsid w:val="00EF0ABC"/>
    <w:rsid w:val="00EF12F7"/>
    <w:rsid w:val="00EF19B1"/>
    <w:rsid w:val="00EF1AE9"/>
    <w:rsid w:val="00EF2475"/>
    <w:rsid w:val="00EF25EB"/>
    <w:rsid w:val="00EF3921"/>
    <w:rsid w:val="00EF406A"/>
    <w:rsid w:val="00EF539D"/>
    <w:rsid w:val="00EF564A"/>
    <w:rsid w:val="00EF675E"/>
    <w:rsid w:val="00EF6E32"/>
    <w:rsid w:val="00EF6E38"/>
    <w:rsid w:val="00EF734B"/>
    <w:rsid w:val="00EF756A"/>
    <w:rsid w:val="00EF7E33"/>
    <w:rsid w:val="00EF9129"/>
    <w:rsid w:val="00F000D1"/>
    <w:rsid w:val="00F0025E"/>
    <w:rsid w:val="00F007D6"/>
    <w:rsid w:val="00F00CE4"/>
    <w:rsid w:val="00F015DD"/>
    <w:rsid w:val="00F0213B"/>
    <w:rsid w:val="00F0315C"/>
    <w:rsid w:val="00F03D9E"/>
    <w:rsid w:val="00F0449A"/>
    <w:rsid w:val="00F0478C"/>
    <w:rsid w:val="00F04BA8"/>
    <w:rsid w:val="00F04F30"/>
    <w:rsid w:val="00F04F4A"/>
    <w:rsid w:val="00F0552F"/>
    <w:rsid w:val="00F0586F"/>
    <w:rsid w:val="00F05D32"/>
    <w:rsid w:val="00F07DD7"/>
    <w:rsid w:val="00F10252"/>
    <w:rsid w:val="00F1164D"/>
    <w:rsid w:val="00F116B2"/>
    <w:rsid w:val="00F120D7"/>
    <w:rsid w:val="00F12872"/>
    <w:rsid w:val="00F13961"/>
    <w:rsid w:val="00F14BCE"/>
    <w:rsid w:val="00F15A2E"/>
    <w:rsid w:val="00F1641D"/>
    <w:rsid w:val="00F173FA"/>
    <w:rsid w:val="00F1783C"/>
    <w:rsid w:val="00F20515"/>
    <w:rsid w:val="00F21084"/>
    <w:rsid w:val="00F21CCA"/>
    <w:rsid w:val="00F22D12"/>
    <w:rsid w:val="00F23C2E"/>
    <w:rsid w:val="00F24834"/>
    <w:rsid w:val="00F30471"/>
    <w:rsid w:val="00F30D5B"/>
    <w:rsid w:val="00F31E9D"/>
    <w:rsid w:val="00F3367D"/>
    <w:rsid w:val="00F33CDD"/>
    <w:rsid w:val="00F34AAB"/>
    <w:rsid w:val="00F35A6E"/>
    <w:rsid w:val="00F36F59"/>
    <w:rsid w:val="00F37D2E"/>
    <w:rsid w:val="00F41C9E"/>
    <w:rsid w:val="00F41DF3"/>
    <w:rsid w:val="00F42AB6"/>
    <w:rsid w:val="00F43655"/>
    <w:rsid w:val="00F440C3"/>
    <w:rsid w:val="00F45482"/>
    <w:rsid w:val="00F45A33"/>
    <w:rsid w:val="00F46EC0"/>
    <w:rsid w:val="00F47174"/>
    <w:rsid w:val="00F478B0"/>
    <w:rsid w:val="00F5024D"/>
    <w:rsid w:val="00F50625"/>
    <w:rsid w:val="00F51620"/>
    <w:rsid w:val="00F51EF9"/>
    <w:rsid w:val="00F52AE4"/>
    <w:rsid w:val="00F52BD4"/>
    <w:rsid w:val="00F5339F"/>
    <w:rsid w:val="00F5366E"/>
    <w:rsid w:val="00F53A92"/>
    <w:rsid w:val="00F53D46"/>
    <w:rsid w:val="00F54671"/>
    <w:rsid w:val="00F54868"/>
    <w:rsid w:val="00F54B9F"/>
    <w:rsid w:val="00F54F70"/>
    <w:rsid w:val="00F556C2"/>
    <w:rsid w:val="00F557A4"/>
    <w:rsid w:val="00F55DF5"/>
    <w:rsid w:val="00F56B9E"/>
    <w:rsid w:val="00F57D8A"/>
    <w:rsid w:val="00F60847"/>
    <w:rsid w:val="00F61423"/>
    <w:rsid w:val="00F620D1"/>
    <w:rsid w:val="00F62165"/>
    <w:rsid w:val="00F6290F"/>
    <w:rsid w:val="00F62B0B"/>
    <w:rsid w:val="00F62F0E"/>
    <w:rsid w:val="00F633B5"/>
    <w:rsid w:val="00F63810"/>
    <w:rsid w:val="00F649AB"/>
    <w:rsid w:val="00F64E9E"/>
    <w:rsid w:val="00F64F57"/>
    <w:rsid w:val="00F65131"/>
    <w:rsid w:val="00F65258"/>
    <w:rsid w:val="00F65CAD"/>
    <w:rsid w:val="00F65D0D"/>
    <w:rsid w:val="00F6672F"/>
    <w:rsid w:val="00F66850"/>
    <w:rsid w:val="00F66B03"/>
    <w:rsid w:val="00F67925"/>
    <w:rsid w:val="00F67A57"/>
    <w:rsid w:val="00F701D2"/>
    <w:rsid w:val="00F702FF"/>
    <w:rsid w:val="00F70AB6"/>
    <w:rsid w:val="00F71468"/>
    <w:rsid w:val="00F7175C"/>
    <w:rsid w:val="00F71F0B"/>
    <w:rsid w:val="00F724E0"/>
    <w:rsid w:val="00F72613"/>
    <w:rsid w:val="00F726C1"/>
    <w:rsid w:val="00F74E12"/>
    <w:rsid w:val="00F767D6"/>
    <w:rsid w:val="00F769D4"/>
    <w:rsid w:val="00F776CE"/>
    <w:rsid w:val="00F77A37"/>
    <w:rsid w:val="00F812E5"/>
    <w:rsid w:val="00F82B5A"/>
    <w:rsid w:val="00F82F85"/>
    <w:rsid w:val="00F8380A"/>
    <w:rsid w:val="00F83D69"/>
    <w:rsid w:val="00F8444C"/>
    <w:rsid w:val="00F85206"/>
    <w:rsid w:val="00F858A6"/>
    <w:rsid w:val="00F85936"/>
    <w:rsid w:val="00F85D4F"/>
    <w:rsid w:val="00F85F5D"/>
    <w:rsid w:val="00F862FD"/>
    <w:rsid w:val="00F86886"/>
    <w:rsid w:val="00F87904"/>
    <w:rsid w:val="00F90324"/>
    <w:rsid w:val="00F90865"/>
    <w:rsid w:val="00F90C4F"/>
    <w:rsid w:val="00F90F27"/>
    <w:rsid w:val="00F9204C"/>
    <w:rsid w:val="00F921A1"/>
    <w:rsid w:val="00F92B8F"/>
    <w:rsid w:val="00F92C15"/>
    <w:rsid w:val="00F930CD"/>
    <w:rsid w:val="00F944A2"/>
    <w:rsid w:val="00F9453D"/>
    <w:rsid w:val="00F94680"/>
    <w:rsid w:val="00F94685"/>
    <w:rsid w:val="00F94D81"/>
    <w:rsid w:val="00F950DB"/>
    <w:rsid w:val="00F95279"/>
    <w:rsid w:val="00F95368"/>
    <w:rsid w:val="00F95852"/>
    <w:rsid w:val="00F962C3"/>
    <w:rsid w:val="00F96817"/>
    <w:rsid w:val="00F96FCC"/>
    <w:rsid w:val="00F97746"/>
    <w:rsid w:val="00FA1875"/>
    <w:rsid w:val="00FA1D8B"/>
    <w:rsid w:val="00FA25E0"/>
    <w:rsid w:val="00FA29C5"/>
    <w:rsid w:val="00FA2F3F"/>
    <w:rsid w:val="00FA32D8"/>
    <w:rsid w:val="00FA3BBA"/>
    <w:rsid w:val="00FA3C9F"/>
    <w:rsid w:val="00FA420C"/>
    <w:rsid w:val="00FA49D2"/>
    <w:rsid w:val="00FA4CBF"/>
    <w:rsid w:val="00FA6EE9"/>
    <w:rsid w:val="00FA73F0"/>
    <w:rsid w:val="00FA7BC1"/>
    <w:rsid w:val="00FB0399"/>
    <w:rsid w:val="00FB0D8F"/>
    <w:rsid w:val="00FB25DA"/>
    <w:rsid w:val="00FB2793"/>
    <w:rsid w:val="00FB2BB9"/>
    <w:rsid w:val="00FB2BD1"/>
    <w:rsid w:val="00FB2EAA"/>
    <w:rsid w:val="00FB3252"/>
    <w:rsid w:val="00FB3C14"/>
    <w:rsid w:val="00FB3E3E"/>
    <w:rsid w:val="00FB43DF"/>
    <w:rsid w:val="00FB627F"/>
    <w:rsid w:val="00FB6A8D"/>
    <w:rsid w:val="00FB6B70"/>
    <w:rsid w:val="00FB73CC"/>
    <w:rsid w:val="00FB78F7"/>
    <w:rsid w:val="00FB7CF7"/>
    <w:rsid w:val="00FB7DA8"/>
    <w:rsid w:val="00FC0148"/>
    <w:rsid w:val="00FC07D6"/>
    <w:rsid w:val="00FC1D47"/>
    <w:rsid w:val="00FC2451"/>
    <w:rsid w:val="00FC3551"/>
    <w:rsid w:val="00FC383E"/>
    <w:rsid w:val="00FC3AB8"/>
    <w:rsid w:val="00FC41AC"/>
    <w:rsid w:val="00FC44EB"/>
    <w:rsid w:val="00FC4ADE"/>
    <w:rsid w:val="00FC4B8D"/>
    <w:rsid w:val="00FC539D"/>
    <w:rsid w:val="00FC55F2"/>
    <w:rsid w:val="00FC5DD1"/>
    <w:rsid w:val="00FC60F6"/>
    <w:rsid w:val="00FC6CAB"/>
    <w:rsid w:val="00FC6CDF"/>
    <w:rsid w:val="00FC6EB4"/>
    <w:rsid w:val="00FC72C7"/>
    <w:rsid w:val="00FC7F07"/>
    <w:rsid w:val="00FC7FB5"/>
    <w:rsid w:val="00FD0AD5"/>
    <w:rsid w:val="00FD0B08"/>
    <w:rsid w:val="00FD0BBC"/>
    <w:rsid w:val="00FD0CC9"/>
    <w:rsid w:val="00FD1B6D"/>
    <w:rsid w:val="00FD254B"/>
    <w:rsid w:val="00FD29B4"/>
    <w:rsid w:val="00FD3093"/>
    <w:rsid w:val="00FD348F"/>
    <w:rsid w:val="00FD388D"/>
    <w:rsid w:val="00FD434A"/>
    <w:rsid w:val="00FD6A4B"/>
    <w:rsid w:val="00FD6BE9"/>
    <w:rsid w:val="00FD6CF3"/>
    <w:rsid w:val="00FD7046"/>
    <w:rsid w:val="00FE19C3"/>
    <w:rsid w:val="00FE2A76"/>
    <w:rsid w:val="00FE30EA"/>
    <w:rsid w:val="00FE33E0"/>
    <w:rsid w:val="00FE3568"/>
    <w:rsid w:val="00FE3585"/>
    <w:rsid w:val="00FE37EA"/>
    <w:rsid w:val="00FE3C67"/>
    <w:rsid w:val="00FE3CD7"/>
    <w:rsid w:val="00FE4113"/>
    <w:rsid w:val="00FE48EA"/>
    <w:rsid w:val="00FE4F6F"/>
    <w:rsid w:val="00FE5423"/>
    <w:rsid w:val="00FE5CD5"/>
    <w:rsid w:val="00FE656B"/>
    <w:rsid w:val="00FE69EF"/>
    <w:rsid w:val="00FF090E"/>
    <w:rsid w:val="00FF2132"/>
    <w:rsid w:val="00FF2214"/>
    <w:rsid w:val="00FF2258"/>
    <w:rsid w:val="00FF271C"/>
    <w:rsid w:val="00FF2B35"/>
    <w:rsid w:val="00FF31C3"/>
    <w:rsid w:val="00FF44C2"/>
    <w:rsid w:val="00FF555A"/>
    <w:rsid w:val="00FF61F7"/>
    <w:rsid w:val="00FF6C79"/>
    <w:rsid w:val="00FF6EF5"/>
    <w:rsid w:val="0102BC8B"/>
    <w:rsid w:val="0102E5CF"/>
    <w:rsid w:val="011C9617"/>
    <w:rsid w:val="0141D993"/>
    <w:rsid w:val="01577355"/>
    <w:rsid w:val="015C6036"/>
    <w:rsid w:val="01646D0D"/>
    <w:rsid w:val="0165398A"/>
    <w:rsid w:val="01A4C793"/>
    <w:rsid w:val="01CA32C3"/>
    <w:rsid w:val="01EF3356"/>
    <w:rsid w:val="01FB6FA3"/>
    <w:rsid w:val="0207576F"/>
    <w:rsid w:val="0212BABB"/>
    <w:rsid w:val="0221446C"/>
    <w:rsid w:val="022F5890"/>
    <w:rsid w:val="023A12E0"/>
    <w:rsid w:val="023D1577"/>
    <w:rsid w:val="023D54B9"/>
    <w:rsid w:val="0245E476"/>
    <w:rsid w:val="024C9C55"/>
    <w:rsid w:val="02549737"/>
    <w:rsid w:val="0258DF17"/>
    <w:rsid w:val="025EE11E"/>
    <w:rsid w:val="0269AAC4"/>
    <w:rsid w:val="02707D39"/>
    <w:rsid w:val="0271710C"/>
    <w:rsid w:val="02725324"/>
    <w:rsid w:val="02911277"/>
    <w:rsid w:val="02A6E536"/>
    <w:rsid w:val="02B1A09E"/>
    <w:rsid w:val="02BC4737"/>
    <w:rsid w:val="02BCEEE8"/>
    <w:rsid w:val="02C30577"/>
    <w:rsid w:val="02C754BA"/>
    <w:rsid w:val="02CEFCAD"/>
    <w:rsid w:val="02F538DB"/>
    <w:rsid w:val="02F62F63"/>
    <w:rsid w:val="02F8A63C"/>
    <w:rsid w:val="0300658E"/>
    <w:rsid w:val="030F7945"/>
    <w:rsid w:val="03158C73"/>
    <w:rsid w:val="031F61D8"/>
    <w:rsid w:val="032B1076"/>
    <w:rsid w:val="03313413"/>
    <w:rsid w:val="03339F2C"/>
    <w:rsid w:val="0344D9D2"/>
    <w:rsid w:val="0347362A"/>
    <w:rsid w:val="034A694A"/>
    <w:rsid w:val="03505FA8"/>
    <w:rsid w:val="03545640"/>
    <w:rsid w:val="035B6385"/>
    <w:rsid w:val="037014AB"/>
    <w:rsid w:val="03718F5E"/>
    <w:rsid w:val="0375EECD"/>
    <w:rsid w:val="0389011A"/>
    <w:rsid w:val="03A579FE"/>
    <w:rsid w:val="03A8BEBC"/>
    <w:rsid w:val="03AC6231"/>
    <w:rsid w:val="03ADD253"/>
    <w:rsid w:val="03B261F7"/>
    <w:rsid w:val="03BC8F0D"/>
    <w:rsid w:val="03D050E2"/>
    <w:rsid w:val="03D4B015"/>
    <w:rsid w:val="03DDEE82"/>
    <w:rsid w:val="03EA515C"/>
    <w:rsid w:val="03F0C5EE"/>
    <w:rsid w:val="03F3E096"/>
    <w:rsid w:val="03F8D069"/>
    <w:rsid w:val="03FBCD12"/>
    <w:rsid w:val="0403AF7B"/>
    <w:rsid w:val="040D5421"/>
    <w:rsid w:val="04100B48"/>
    <w:rsid w:val="0434E9AD"/>
    <w:rsid w:val="04391552"/>
    <w:rsid w:val="043A82DB"/>
    <w:rsid w:val="0442FCB0"/>
    <w:rsid w:val="04449CA1"/>
    <w:rsid w:val="0448B189"/>
    <w:rsid w:val="045124CE"/>
    <w:rsid w:val="046097DD"/>
    <w:rsid w:val="046BB56A"/>
    <w:rsid w:val="04928B98"/>
    <w:rsid w:val="049634BD"/>
    <w:rsid w:val="049696B5"/>
    <w:rsid w:val="04C97E13"/>
    <w:rsid w:val="04CB9A03"/>
    <w:rsid w:val="04D5C201"/>
    <w:rsid w:val="04E4BAC0"/>
    <w:rsid w:val="04E691F5"/>
    <w:rsid w:val="04EFCFC5"/>
    <w:rsid w:val="0510ACD0"/>
    <w:rsid w:val="05178FA4"/>
    <w:rsid w:val="052C6666"/>
    <w:rsid w:val="052E3654"/>
    <w:rsid w:val="053F4AEC"/>
    <w:rsid w:val="054DD01E"/>
    <w:rsid w:val="0557BA72"/>
    <w:rsid w:val="05599D58"/>
    <w:rsid w:val="055CCB49"/>
    <w:rsid w:val="0571CD21"/>
    <w:rsid w:val="0573729E"/>
    <w:rsid w:val="057712C6"/>
    <w:rsid w:val="05873AAD"/>
    <w:rsid w:val="0591B196"/>
    <w:rsid w:val="05ABFA76"/>
    <w:rsid w:val="05B21571"/>
    <w:rsid w:val="05B3B672"/>
    <w:rsid w:val="05BFA54E"/>
    <w:rsid w:val="05C18020"/>
    <w:rsid w:val="05C9EC49"/>
    <w:rsid w:val="05D3663F"/>
    <w:rsid w:val="05FA2BA7"/>
    <w:rsid w:val="060075FC"/>
    <w:rsid w:val="06296F3C"/>
    <w:rsid w:val="06345AC1"/>
    <w:rsid w:val="063F239F"/>
    <w:rsid w:val="0652C85C"/>
    <w:rsid w:val="0653B94A"/>
    <w:rsid w:val="0653E0FC"/>
    <w:rsid w:val="06595444"/>
    <w:rsid w:val="065D127C"/>
    <w:rsid w:val="067668F7"/>
    <w:rsid w:val="06AAA24C"/>
    <w:rsid w:val="06C0F8F6"/>
    <w:rsid w:val="06C36A13"/>
    <w:rsid w:val="06EF35C5"/>
    <w:rsid w:val="06F78F30"/>
    <w:rsid w:val="07134A79"/>
    <w:rsid w:val="07169639"/>
    <w:rsid w:val="0728EACC"/>
    <w:rsid w:val="073E59D8"/>
    <w:rsid w:val="077D409B"/>
    <w:rsid w:val="078948D5"/>
    <w:rsid w:val="07A88D84"/>
    <w:rsid w:val="07BACD25"/>
    <w:rsid w:val="07BE0316"/>
    <w:rsid w:val="07BF79D6"/>
    <w:rsid w:val="07C1A0C8"/>
    <w:rsid w:val="07C66C11"/>
    <w:rsid w:val="07C8A32F"/>
    <w:rsid w:val="07CBD6F9"/>
    <w:rsid w:val="07CD6703"/>
    <w:rsid w:val="07D91AB5"/>
    <w:rsid w:val="07DAB3F5"/>
    <w:rsid w:val="07E11E6B"/>
    <w:rsid w:val="07F43D4E"/>
    <w:rsid w:val="07F95F5A"/>
    <w:rsid w:val="07F961F4"/>
    <w:rsid w:val="080DD252"/>
    <w:rsid w:val="0812D441"/>
    <w:rsid w:val="0825B783"/>
    <w:rsid w:val="082A232A"/>
    <w:rsid w:val="084D6D59"/>
    <w:rsid w:val="085030F2"/>
    <w:rsid w:val="085B5F59"/>
    <w:rsid w:val="087F9496"/>
    <w:rsid w:val="08D6C923"/>
    <w:rsid w:val="08E0EFBA"/>
    <w:rsid w:val="08F4E987"/>
    <w:rsid w:val="0902DBCB"/>
    <w:rsid w:val="092669AD"/>
    <w:rsid w:val="0927A2D0"/>
    <w:rsid w:val="0948F0C1"/>
    <w:rsid w:val="094F3F18"/>
    <w:rsid w:val="094FAB47"/>
    <w:rsid w:val="095B5BB9"/>
    <w:rsid w:val="096CBBDF"/>
    <w:rsid w:val="0985EB4B"/>
    <w:rsid w:val="098892E6"/>
    <w:rsid w:val="09A1F0FE"/>
    <w:rsid w:val="09A28CB4"/>
    <w:rsid w:val="09C0540D"/>
    <w:rsid w:val="09C8506F"/>
    <w:rsid w:val="09CC09BA"/>
    <w:rsid w:val="09D35D67"/>
    <w:rsid w:val="09DF8C9C"/>
    <w:rsid w:val="09E2BBCD"/>
    <w:rsid w:val="09F1B3FC"/>
    <w:rsid w:val="09FA92E9"/>
    <w:rsid w:val="0A1F685B"/>
    <w:rsid w:val="0A249F7C"/>
    <w:rsid w:val="0A4376F3"/>
    <w:rsid w:val="0A4D411E"/>
    <w:rsid w:val="0A4F6211"/>
    <w:rsid w:val="0A4FC9A0"/>
    <w:rsid w:val="0A51120E"/>
    <w:rsid w:val="0A53E3C6"/>
    <w:rsid w:val="0A5F5273"/>
    <w:rsid w:val="0A60C3B4"/>
    <w:rsid w:val="0A696709"/>
    <w:rsid w:val="0A7FB639"/>
    <w:rsid w:val="0A972BFA"/>
    <w:rsid w:val="0AB0057D"/>
    <w:rsid w:val="0ABF82CD"/>
    <w:rsid w:val="0AC12131"/>
    <w:rsid w:val="0AC3AD17"/>
    <w:rsid w:val="0ADF6910"/>
    <w:rsid w:val="0AE0F6E9"/>
    <w:rsid w:val="0AE4A979"/>
    <w:rsid w:val="0AE7C2AA"/>
    <w:rsid w:val="0AE9D3F8"/>
    <w:rsid w:val="0AEFDB67"/>
    <w:rsid w:val="0AF16BC4"/>
    <w:rsid w:val="0AF60546"/>
    <w:rsid w:val="0B20F68D"/>
    <w:rsid w:val="0B2A0BBB"/>
    <w:rsid w:val="0B3340CE"/>
    <w:rsid w:val="0B45CA9E"/>
    <w:rsid w:val="0B5E9C54"/>
    <w:rsid w:val="0B6612FB"/>
    <w:rsid w:val="0B6B2F1A"/>
    <w:rsid w:val="0B6DD246"/>
    <w:rsid w:val="0B73691B"/>
    <w:rsid w:val="0B906613"/>
    <w:rsid w:val="0BA5495A"/>
    <w:rsid w:val="0BA9ABB9"/>
    <w:rsid w:val="0BB23AB4"/>
    <w:rsid w:val="0BBB3806"/>
    <w:rsid w:val="0BC9C3BD"/>
    <w:rsid w:val="0BE6025F"/>
    <w:rsid w:val="0BE90807"/>
    <w:rsid w:val="0BEC0E37"/>
    <w:rsid w:val="0BF328E8"/>
    <w:rsid w:val="0BFE2E22"/>
    <w:rsid w:val="0C03746D"/>
    <w:rsid w:val="0C044D18"/>
    <w:rsid w:val="0C1633CF"/>
    <w:rsid w:val="0C288C50"/>
    <w:rsid w:val="0C2CFC77"/>
    <w:rsid w:val="0C301399"/>
    <w:rsid w:val="0C385D54"/>
    <w:rsid w:val="0C3EC169"/>
    <w:rsid w:val="0C5CE7C9"/>
    <w:rsid w:val="0C6E920F"/>
    <w:rsid w:val="0C7DF3DE"/>
    <w:rsid w:val="0C81CCAF"/>
    <w:rsid w:val="0C83B921"/>
    <w:rsid w:val="0C9D3C85"/>
    <w:rsid w:val="0C9D69BB"/>
    <w:rsid w:val="0CA06D56"/>
    <w:rsid w:val="0CBCB863"/>
    <w:rsid w:val="0CBFC4A4"/>
    <w:rsid w:val="0CC2D206"/>
    <w:rsid w:val="0CC69154"/>
    <w:rsid w:val="0CCAC57D"/>
    <w:rsid w:val="0CCFCEC1"/>
    <w:rsid w:val="0CDD96DB"/>
    <w:rsid w:val="0CDF0EF7"/>
    <w:rsid w:val="0CEAE99E"/>
    <w:rsid w:val="0CEAF55C"/>
    <w:rsid w:val="0CEFEAE0"/>
    <w:rsid w:val="0D0271D1"/>
    <w:rsid w:val="0D0C7F66"/>
    <w:rsid w:val="0D10F37E"/>
    <w:rsid w:val="0D15B343"/>
    <w:rsid w:val="0D281FE6"/>
    <w:rsid w:val="0D4B74B0"/>
    <w:rsid w:val="0D522686"/>
    <w:rsid w:val="0D59E4AB"/>
    <w:rsid w:val="0D5C3F23"/>
    <w:rsid w:val="0D5E5D68"/>
    <w:rsid w:val="0D77270F"/>
    <w:rsid w:val="0D77EA45"/>
    <w:rsid w:val="0D79ED22"/>
    <w:rsid w:val="0D7CDDA7"/>
    <w:rsid w:val="0D7F5218"/>
    <w:rsid w:val="0D958F37"/>
    <w:rsid w:val="0DA479FA"/>
    <w:rsid w:val="0DB2395B"/>
    <w:rsid w:val="0DBEFDBE"/>
    <w:rsid w:val="0DE0F54C"/>
    <w:rsid w:val="0DE75C74"/>
    <w:rsid w:val="0DF8D072"/>
    <w:rsid w:val="0E06CAEF"/>
    <w:rsid w:val="0E191A50"/>
    <w:rsid w:val="0E1DB111"/>
    <w:rsid w:val="0E21C2DC"/>
    <w:rsid w:val="0E28AE2E"/>
    <w:rsid w:val="0E525F62"/>
    <w:rsid w:val="0E5878E6"/>
    <w:rsid w:val="0E59DDAF"/>
    <w:rsid w:val="0E627291"/>
    <w:rsid w:val="0E6C8BD9"/>
    <w:rsid w:val="0E78F65A"/>
    <w:rsid w:val="0E7FFD79"/>
    <w:rsid w:val="0E8609BE"/>
    <w:rsid w:val="0E8D3C44"/>
    <w:rsid w:val="0E99E340"/>
    <w:rsid w:val="0EA47B43"/>
    <w:rsid w:val="0EA9B482"/>
    <w:rsid w:val="0EE56DA3"/>
    <w:rsid w:val="0F0BB1A3"/>
    <w:rsid w:val="0F0C3DF6"/>
    <w:rsid w:val="0F1223F7"/>
    <w:rsid w:val="0F3EEAE5"/>
    <w:rsid w:val="0F499B29"/>
    <w:rsid w:val="0F5E4665"/>
    <w:rsid w:val="0F6ADC76"/>
    <w:rsid w:val="0F6BFD7B"/>
    <w:rsid w:val="0F74FC6C"/>
    <w:rsid w:val="0F8CB655"/>
    <w:rsid w:val="0F8F9231"/>
    <w:rsid w:val="0FA85A0D"/>
    <w:rsid w:val="0FAAEDC2"/>
    <w:rsid w:val="0FB9B23C"/>
    <w:rsid w:val="0FCD9E2F"/>
    <w:rsid w:val="0FD893E4"/>
    <w:rsid w:val="0FE2D800"/>
    <w:rsid w:val="0FE5E8B8"/>
    <w:rsid w:val="0FF16C35"/>
    <w:rsid w:val="0FF4E2C7"/>
    <w:rsid w:val="10037086"/>
    <w:rsid w:val="10155D77"/>
    <w:rsid w:val="102E23A3"/>
    <w:rsid w:val="104292A5"/>
    <w:rsid w:val="10451C29"/>
    <w:rsid w:val="104AB06C"/>
    <w:rsid w:val="104EE6FF"/>
    <w:rsid w:val="10795B33"/>
    <w:rsid w:val="10907245"/>
    <w:rsid w:val="10A9B1EB"/>
    <w:rsid w:val="10AF7305"/>
    <w:rsid w:val="10B4F821"/>
    <w:rsid w:val="10C420D7"/>
    <w:rsid w:val="10E9F1F2"/>
    <w:rsid w:val="10EF292F"/>
    <w:rsid w:val="10F48D09"/>
    <w:rsid w:val="10F9C93C"/>
    <w:rsid w:val="110BC8EB"/>
    <w:rsid w:val="1114B610"/>
    <w:rsid w:val="112275FC"/>
    <w:rsid w:val="112B5AE1"/>
    <w:rsid w:val="114A186B"/>
    <w:rsid w:val="114A9C5A"/>
    <w:rsid w:val="114ADB0E"/>
    <w:rsid w:val="114E7713"/>
    <w:rsid w:val="11536B1A"/>
    <w:rsid w:val="115834F3"/>
    <w:rsid w:val="118AE7C5"/>
    <w:rsid w:val="11A40857"/>
    <w:rsid w:val="11B7C09B"/>
    <w:rsid w:val="11BD2650"/>
    <w:rsid w:val="11D1335B"/>
    <w:rsid w:val="11E1D388"/>
    <w:rsid w:val="11E3CA64"/>
    <w:rsid w:val="11EB4A12"/>
    <w:rsid w:val="1229678C"/>
    <w:rsid w:val="12352AF9"/>
    <w:rsid w:val="124024B5"/>
    <w:rsid w:val="12455C1C"/>
    <w:rsid w:val="1245606D"/>
    <w:rsid w:val="124B0F02"/>
    <w:rsid w:val="124B40A9"/>
    <w:rsid w:val="1276AD5D"/>
    <w:rsid w:val="12849B55"/>
    <w:rsid w:val="128D0C93"/>
    <w:rsid w:val="1294489F"/>
    <w:rsid w:val="12AF2CF2"/>
    <w:rsid w:val="12B0FB7F"/>
    <w:rsid w:val="12C3DB81"/>
    <w:rsid w:val="12C7D8A5"/>
    <w:rsid w:val="12D0E7FD"/>
    <w:rsid w:val="12D3058B"/>
    <w:rsid w:val="12E9D1A7"/>
    <w:rsid w:val="13044622"/>
    <w:rsid w:val="130611F0"/>
    <w:rsid w:val="132066E8"/>
    <w:rsid w:val="1338E4BF"/>
    <w:rsid w:val="133BC0E1"/>
    <w:rsid w:val="13491593"/>
    <w:rsid w:val="13501735"/>
    <w:rsid w:val="135834E5"/>
    <w:rsid w:val="135ED277"/>
    <w:rsid w:val="1372F3DA"/>
    <w:rsid w:val="138D8CA5"/>
    <w:rsid w:val="13AE5C90"/>
    <w:rsid w:val="13B4779A"/>
    <w:rsid w:val="13B5B6A7"/>
    <w:rsid w:val="13B99D6C"/>
    <w:rsid w:val="13BB25B4"/>
    <w:rsid w:val="13BE5AE3"/>
    <w:rsid w:val="13CBEF02"/>
    <w:rsid w:val="13DC217B"/>
    <w:rsid w:val="13E4450F"/>
    <w:rsid w:val="13EB8B20"/>
    <w:rsid w:val="13FB9C3B"/>
    <w:rsid w:val="14251147"/>
    <w:rsid w:val="1425F8CC"/>
    <w:rsid w:val="142E1580"/>
    <w:rsid w:val="143A9E30"/>
    <w:rsid w:val="144A1FD7"/>
    <w:rsid w:val="145FD93D"/>
    <w:rsid w:val="1478DFF7"/>
    <w:rsid w:val="14820BB9"/>
    <w:rsid w:val="1483A174"/>
    <w:rsid w:val="1487BE9F"/>
    <w:rsid w:val="1492243E"/>
    <w:rsid w:val="14959400"/>
    <w:rsid w:val="14A2F0BA"/>
    <w:rsid w:val="14B2A917"/>
    <w:rsid w:val="14BE48D3"/>
    <w:rsid w:val="14C04A96"/>
    <w:rsid w:val="14DDF507"/>
    <w:rsid w:val="14DFE4A5"/>
    <w:rsid w:val="1508AB32"/>
    <w:rsid w:val="151EBF8D"/>
    <w:rsid w:val="1547C35B"/>
    <w:rsid w:val="154BA5F3"/>
    <w:rsid w:val="154FE4D1"/>
    <w:rsid w:val="15527988"/>
    <w:rsid w:val="1580DA08"/>
    <w:rsid w:val="1589D356"/>
    <w:rsid w:val="158C7D70"/>
    <w:rsid w:val="1590AE61"/>
    <w:rsid w:val="15967853"/>
    <w:rsid w:val="1598F102"/>
    <w:rsid w:val="159B68EB"/>
    <w:rsid w:val="15A48AAD"/>
    <w:rsid w:val="15A7CFBF"/>
    <w:rsid w:val="15BD9274"/>
    <w:rsid w:val="15C2489F"/>
    <w:rsid w:val="15D53594"/>
    <w:rsid w:val="15F4F4C5"/>
    <w:rsid w:val="16024C4D"/>
    <w:rsid w:val="1607490F"/>
    <w:rsid w:val="160CDD6E"/>
    <w:rsid w:val="1615074C"/>
    <w:rsid w:val="1624527A"/>
    <w:rsid w:val="1626318A"/>
    <w:rsid w:val="162C305A"/>
    <w:rsid w:val="162F0EA3"/>
    <w:rsid w:val="162FCC11"/>
    <w:rsid w:val="1631F6A6"/>
    <w:rsid w:val="163DD37B"/>
    <w:rsid w:val="163F2DA7"/>
    <w:rsid w:val="16466BF5"/>
    <w:rsid w:val="1649B860"/>
    <w:rsid w:val="1651C003"/>
    <w:rsid w:val="165D7EBC"/>
    <w:rsid w:val="16791E5D"/>
    <w:rsid w:val="1679C82F"/>
    <w:rsid w:val="167C73E0"/>
    <w:rsid w:val="167C8C16"/>
    <w:rsid w:val="1688821F"/>
    <w:rsid w:val="168E4B79"/>
    <w:rsid w:val="1690996A"/>
    <w:rsid w:val="16917D3C"/>
    <w:rsid w:val="1693E778"/>
    <w:rsid w:val="16B0A096"/>
    <w:rsid w:val="16B31184"/>
    <w:rsid w:val="16B505AF"/>
    <w:rsid w:val="16BB1B4B"/>
    <w:rsid w:val="16BE3B0C"/>
    <w:rsid w:val="16D20B06"/>
    <w:rsid w:val="16D45F89"/>
    <w:rsid w:val="16E1D0A9"/>
    <w:rsid w:val="16E679FF"/>
    <w:rsid w:val="16EA1F95"/>
    <w:rsid w:val="16F128B4"/>
    <w:rsid w:val="1703719F"/>
    <w:rsid w:val="170DF9AD"/>
    <w:rsid w:val="17103F81"/>
    <w:rsid w:val="172DCB16"/>
    <w:rsid w:val="1737DB05"/>
    <w:rsid w:val="173F7F1E"/>
    <w:rsid w:val="1741F0AB"/>
    <w:rsid w:val="17428A92"/>
    <w:rsid w:val="1750199C"/>
    <w:rsid w:val="175AAB5A"/>
    <w:rsid w:val="1763EC06"/>
    <w:rsid w:val="178019C9"/>
    <w:rsid w:val="17808B38"/>
    <w:rsid w:val="1781B400"/>
    <w:rsid w:val="178466DA"/>
    <w:rsid w:val="178B1DCF"/>
    <w:rsid w:val="17AF8DA9"/>
    <w:rsid w:val="17B54BD7"/>
    <w:rsid w:val="17BFFD8F"/>
    <w:rsid w:val="17C1A1F4"/>
    <w:rsid w:val="17C268DD"/>
    <w:rsid w:val="17D25C25"/>
    <w:rsid w:val="17D3EDF9"/>
    <w:rsid w:val="17E564E4"/>
    <w:rsid w:val="17F5188E"/>
    <w:rsid w:val="17FE327D"/>
    <w:rsid w:val="18015EB0"/>
    <w:rsid w:val="180C5E8C"/>
    <w:rsid w:val="180DA150"/>
    <w:rsid w:val="182CDEDB"/>
    <w:rsid w:val="184582DD"/>
    <w:rsid w:val="184A09D2"/>
    <w:rsid w:val="185063D6"/>
    <w:rsid w:val="185106A6"/>
    <w:rsid w:val="185A0A3F"/>
    <w:rsid w:val="18666AFF"/>
    <w:rsid w:val="1875AE81"/>
    <w:rsid w:val="189014DD"/>
    <w:rsid w:val="1891D534"/>
    <w:rsid w:val="18937746"/>
    <w:rsid w:val="189AA54E"/>
    <w:rsid w:val="189C88A3"/>
    <w:rsid w:val="18A186B8"/>
    <w:rsid w:val="18A38BCE"/>
    <w:rsid w:val="18A591D7"/>
    <w:rsid w:val="18BC1492"/>
    <w:rsid w:val="18C4D612"/>
    <w:rsid w:val="18C730AF"/>
    <w:rsid w:val="18CBD622"/>
    <w:rsid w:val="18EB4DC5"/>
    <w:rsid w:val="18EC9A76"/>
    <w:rsid w:val="18F26933"/>
    <w:rsid w:val="18F2F797"/>
    <w:rsid w:val="18F321D4"/>
    <w:rsid w:val="18F514B7"/>
    <w:rsid w:val="1905FB8D"/>
    <w:rsid w:val="1908494F"/>
    <w:rsid w:val="190F0EBA"/>
    <w:rsid w:val="19271DED"/>
    <w:rsid w:val="1944E679"/>
    <w:rsid w:val="19485883"/>
    <w:rsid w:val="1957C4D4"/>
    <w:rsid w:val="195DD2A9"/>
    <w:rsid w:val="195F8D72"/>
    <w:rsid w:val="1967DEFD"/>
    <w:rsid w:val="19719D8D"/>
    <w:rsid w:val="199BDCD9"/>
    <w:rsid w:val="19A6D86F"/>
    <w:rsid w:val="19B294E0"/>
    <w:rsid w:val="19C2C2F9"/>
    <w:rsid w:val="19C5AABD"/>
    <w:rsid w:val="19CFACA0"/>
    <w:rsid w:val="19F1779B"/>
    <w:rsid w:val="19FA36B5"/>
    <w:rsid w:val="19FF92DA"/>
    <w:rsid w:val="1A2B7402"/>
    <w:rsid w:val="1A731133"/>
    <w:rsid w:val="1A766222"/>
    <w:rsid w:val="1A878D90"/>
    <w:rsid w:val="1A8CA68E"/>
    <w:rsid w:val="1A9E7882"/>
    <w:rsid w:val="1A9F715D"/>
    <w:rsid w:val="1AAE0C91"/>
    <w:rsid w:val="1AC08258"/>
    <w:rsid w:val="1ACA7ADE"/>
    <w:rsid w:val="1AD66780"/>
    <w:rsid w:val="1ADBD842"/>
    <w:rsid w:val="1ADDE75A"/>
    <w:rsid w:val="1AE47D0E"/>
    <w:rsid w:val="1B0C0B12"/>
    <w:rsid w:val="1B2614AD"/>
    <w:rsid w:val="1B3A1FB3"/>
    <w:rsid w:val="1B49FF54"/>
    <w:rsid w:val="1B4EE16B"/>
    <w:rsid w:val="1B825703"/>
    <w:rsid w:val="1B8D4530"/>
    <w:rsid w:val="1BA14D7D"/>
    <w:rsid w:val="1BA5AF97"/>
    <w:rsid w:val="1BB53EC6"/>
    <w:rsid w:val="1BD5797A"/>
    <w:rsid w:val="1BF7C4E9"/>
    <w:rsid w:val="1BF82F9F"/>
    <w:rsid w:val="1BFF8012"/>
    <w:rsid w:val="1C04CA62"/>
    <w:rsid w:val="1C2E39F9"/>
    <w:rsid w:val="1C66093D"/>
    <w:rsid w:val="1C7AA9DF"/>
    <w:rsid w:val="1C8B65DB"/>
    <w:rsid w:val="1CA25C7B"/>
    <w:rsid w:val="1CA323E3"/>
    <w:rsid w:val="1CA3E361"/>
    <w:rsid w:val="1CA73D13"/>
    <w:rsid w:val="1CA8FE10"/>
    <w:rsid w:val="1CADCC45"/>
    <w:rsid w:val="1CCC0D6B"/>
    <w:rsid w:val="1CE4E1D3"/>
    <w:rsid w:val="1CF4C2D4"/>
    <w:rsid w:val="1CF687A0"/>
    <w:rsid w:val="1D114715"/>
    <w:rsid w:val="1D212119"/>
    <w:rsid w:val="1D242628"/>
    <w:rsid w:val="1D2D7515"/>
    <w:rsid w:val="1D48C8E9"/>
    <w:rsid w:val="1D56EC11"/>
    <w:rsid w:val="1D7501F0"/>
    <w:rsid w:val="1D86C651"/>
    <w:rsid w:val="1D87B388"/>
    <w:rsid w:val="1DA78974"/>
    <w:rsid w:val="1DA8D2DA"/>
    <w:rsid w:val="1DAAFD73"/>
    <w:rsid w:val="1DB15AF4"/>
    <w:rsid w:val="1DB4C380"/>
    <w:rsid w:val="1DC4A9F7"/>
    <w:rsid w:val="1DD9E92B"/>
    <w:rsid w:val="1DDF16B3"/>
    <w:rsid w:val="1DF1C339"/>
    <w:rsid w:val="1DFF7309"/>
    <w:rsid w:val="1E1E7966"/>
    <w:rsid w:val="1E44F887"/>
    <w:rsid w:val="1E46586C"/>
    <w:rsid w:val="1E65C733"/>
    <w:rsid w:val="1E729B1E"/>
    <w:rsid w:val="1EA4A5B3"/>
    <w:rsid w:val="1EB8B0A7"/>
    <w:rsid w:val="1EC638A5"/>
    <w:rsid w:val="1EEAC76F"/>
    <w:rsid w:val="1EF3208E"/>
    <w:rsid w:val="1EFD437C"/>
    <w:rsid w:val="1F014DB6"/>
    <w:rsid w:val="1F125345"/>
    <w:rsid w:val="1F18278A"/>
    <w:rsid w:val="1F244F36"/>
    <w:rsid w:val="1F289880"/>
    <w:rsid w:val="1F36952A"/>
    <w:rsid w:val="1F595A48"/>
    <w:rsid w:val="1F6BE8BC"/>
    <w:rsid w:val="1F6D11B1"/>
    <w:rsid w:val="1F73C419"/>
    <w:rsid w:val="1F73F3CC"/>
    <w:rsid w:val="1F77EB64"/>
    <w:rsid w:val="1F879378"/>
    <w:rsid w:val="1F8EB2DF"/>
    <w:rsid w:val="1FA556F4"/>
    <w:rsid w:val="1FC8172D"/>
    <w:rsid w:val="1FC886A7"/>
    <w:rsid w:val="1FD1D35E"/>
    <w:rsid w:val="1FD7CC65"/>
    <w:rsid w:val="1FDFF64A"/>
    <w:rsid w:val="1FE587CC"/>
    <w:rsid w:val="1FF5764B"/>
    <w:rsid w:val="200D1F02"/>
    <w:rsid w:val="201BBA8D"/>
    <w:rsid w:val="202A9FBC"/>
    <w:rsid w:val="20385038"/>
    <w:rsid w:val="204D9027"/>
    <w:rsid w:val="204ED715"/>
    <w:rsid w:val="204F5016"/>
    <w:rsid w:val="2094B2FC"/>
    <w:rsid w:val="2097D688"/>
    <w:rsid w:val="209B1550"/>
    <w:rsid w:val="209D7F8F"/>
    <w:rsid w:val="20B69190"/>
    <w:rsid w:val="20CD784A"/>
    <w:rsid w:val="20D58252"/>
    <w:rsid w:val="20DE562C"/>
    <w:rsid w:val="20F30EEF"/>
    <w:rsid w:val="211F5932"/>
    <w:rsid w:val="21265F14"/>
    <w:rsid w:val="2134CD25"/>
    <w:rsid w:val="2155EA15"/>
    <w:rsid w:val="215A6BFC"/>
    <w:rsid w:val="215B2F02"/>
    <w:rsid w:val="215C1565"/>
    <w:rsid w:val="2165656F"/>
    <w:rsid w:val="217A90DB"/>
    <w:rsid w:val="217EBFBB"/>
    <w:rsid w:val="218D0A32"/>
    <w:rsid w:val="2196AA73"/>
    <w:rsid w:val="21B00E6B"/>
    <w:rsid w:val="21B4AB2D"/>
    <w:rsid w:val="21BC9AB3"/>
    <w:rsid w:val="21D8F26A"/>
    <w:rsid w:val="220162DB"/>
    <w:rsid w:val="22022E8E"/>
    <w:rsid w:val="220420C0"/>
    <w:rsid w:val="221EB54B"/>
    <w:rsid w:val="221F03FC"/>
    <w:rsid w:val="22226EA7"/>
    <w:rsid w:val="223E420D"/>
    <w:rsid w:val="227B88B8"/>
    <w:rsid w:val="228929CB"/>
    <w:rsid w:val="229CE343"/>
    <w:rsid w:val="229E9B07"/>
    <w:rsid w:val="22E93AF6"/>
    <w:rsid w:val="22FCE879"/>
    <w:rsid w:val="230F42C8"/>
    <w:rsid w:val="230F5EF4"/>
    <w:rsid w:val="231A3FD1"/>
    <w:rsid w:val="231BC2D0"/>
    <w:rsid w:val="23250406"/>
    <w:rsid w:val="233048B9"/>
    <w:rsid w:val="2353298A"/>
    <w:rsid w:val="23631A75"/>
    <w:rsid w:val="23765315"/>
    <w:rsid w:val="2384C9BB"/>
    <w:rsid w:val="238930FA"/>
    <w:rsid w:val="23990FAA"/>
    <w:rsid w:val="23A4F5D0"/>
    <w:rsid w:val="23A5C1A6"/>
    <w:rsid w:val="23A62E12"/>
    <w:rsid w:val="23B7A25F"/>
    <w:rsid w:val="23D32EF5"/>
    <w:rsid w:val="23E5F02F"/>
    <w:rsid w:val="23F86EDC"/>
    <w:rsid w:val="24057789"/>
    <w:rsid w:val="24174C2F"/>
    <w:rsid w:val="2435E792"/>
    <w:rsid w:val="2438D37C"/>
    <w:rsid w:val="24425E0A"/>
    <w:rsid w:val="2450A2F0"/>
    <w:rsid w:val="2457A618"/>
    <w:rsid w:val="246B1578"/>
    <w:rsid w:val="2474D810"/>
    <w:rsid w:val="2494F0A5"/>
    <w:rsid w:val="24AD1E20"/>
    <w:rsid w:val="24B041E1"/>
    <w:rsid w:val="24C7DF4E"/>
    <w:rsid w:val="24D840F6"/>
    <w:rsid w:val="24DFEE07"/>
    <w:rsid w:val="24E10B51"/>
    <w:rsid w:val="24E369DC"/>
    <w:rsid w:val="24F124A0"/>
    <w:rsid w:val="25095301"/>
    <w:rsid w:val="25246613"/>
    <w:rsid w:val="2524BE00"/>
    <w:rsid w:val="25363DE5"/>
    <w:rsid w:val="253F0928"/>
    <w:rsid w:val="2549490E"/>
    <w:rsid w:val="25562A46"/>
    <w:rsid w:val="255B539F"/>
    <w:rsid w:val="25791E6F"/>
    <w:rsid w:val="25793344"/>
    <w:rsid w:val="25987E9F"/>
    <w:rsid w:val="25993C55"/>
    <w:rsid w:val="25B72244"/>
    <w:rsid w:val="25BD4ADB"/>
    <w:rsid w:val="25D6CADF"/>
    <w:rsid w:val="25EFE604"/>
    <w:rsid w:val="25F2D59E"/>
    <w:rsid w:val="25FBEA0E"/>
    <w:rsid w:val="260866E0"/>
    <w:rsid w:val="261124DB"/>
    <w:rsid w:val="2618627A"/>
    <w:rsid w:val="262A4575"/>
    <w:rsid w:val="26345B36"/>
    <w:rsid w:val="263ADFC0"/>
    <w:rsid w:val="264183A3"/>
    <w:rsid w:val="264512B3"/>
    <w:rsid w:val="264677C0"/>
    <w:rsid w:val="264FBB99"/>
    <w:rsid w:val="264FDE98"/>
    <w:rsid w:val="265FB877"/>
    <w:rsid w:val="2666EA16"/>
    <w:rsid w:val="266CDBA8"/>
    <w:rsid w:val="268B45E6"/>
    <w:rsid w:val="2690FBDB"/>
    <w:rsid w:val="269536E6"/>
    <w:rsid w:val="2695E99F"/>
    <w:rsid w:val="26A306D9"/>
    <w:rsid w:val="26DBD4A7"/>
    <w:rsid w:val="271E4598"/>
    <w:rsid w:val="272019C3"/>
    <w:rsid w:val="272B7384"/>
    <w:rsid w:val="27408A61"/>
    <w:rsid w:val="27629D9A"/>
    <w:rsid w:val="2789E985"/>
    <w:rsid w:val="278A5F87"/>
    <w:rsid w:val="279E5F61"/>
    <w:rsid w:val="27AD5B4C"/>
    <w:rsid w:val="27C400CF"/>
    <w:rsid w:val="27CD7E08"/>
    <w:rsid w:val="27D08C17"/>
    <w:rsid w:val="27D9A160"/>
    <w:rsid w:val="27E567E9"/>
    <w:rsid w:val="27E753BC"/>
    <w:rsid w:val="281FB569"/>
    <w:rsid w:val="28268517"/>
    <w:rsid w:val="2844CF58"/>
    <w:rsid w:val="2846D1C5"/>
    <w:rsid w:val="2849F01A"/>
    <w:rsid w:val="284ADDAA"/>
    <w:rsid w:val="286BCD89"/>
    <w:rsid w:val="28722D91"/>
    <w:rsid w:val="288AB97D"/>
    <w:rsid w:val="289403AA"/>
    <w:rsid w:val="289BFD38"/>
    <w:rsid w:val="28A96B62"/>
    <w:rsid w:val="28AA779E"/>
    <w:rsid w:val="28C7BA6D"/>
    <w:rsid w:val="28C93CE4"/>
    <w:rsid w:val="28EB4313"/>
    <w:rsid w:val="28FEA7B4"/>
    <w:rsid w:val="2905568D"/>
    <w:rsid w:val="2909A792"/>
    <w:rsid w:val="290A8F52"/>
    <w:rsid w:val="29125A08"/>
    <w:rsid w:val="292064BA"/>
    <w:rsid w:val="2927E0F4"/>
    <w:rsid w:val="293147F1"/>
    <w:rsid w:val="293B7E0B"/>
    <w:rsid w:val="293E9B98"/>
    <w:rsid w:val="2943AB9F"/>
    <w:rsid w:val="2954AABA"/>
    <w:rsid w:val="2965E760"/>
    <w:rsid w:val="297BE0A9"/>
    <w:rsid w:val="29856E1A"/>
    <w:rsid w:val="299A7C80"/>
    <w:rsid w:val="299F50F3"/>
    <w:rsid w:val="29A5C8B1"/>
    <w:rsid w:val="29ADA614"/>
    <w:rsid w:val="29ADB145"/>
    <w:rsid w:val="29BFED11"/>
    <w:rsid w:val="29CCD9CA"/>
    <w:rsid w:val="29D67981"/>
    <w:rsid w:val="29F6AF3B"/>
    <w:rsid w:val="29FBFED2"/>
    <w:rsid w:val="29FF5416"/>
    <w:rsid w:val="2A010C99"/>
    <w:rsid w:val="2A142D68"/>
    <w:rsid w:val="2A201EE2"/>
    <w:rsid w:val="2A29E7B3"/>
    <w:rsid w:val="2A3070AB"/>
    <w:rsid w:val="2A4FBDCF"/>
    <w:rsid w:val="2A6D2841"/>
    <w:rsid w:val="2A73207D"/>
    <w:rsid w:val="2A7EC2C0"/>
    <w:rsid w:val="2A8368C7"/>
    <w:rsid w:val="2A9437C6"/>
    <w:rsid w:val="2A9DBB7F"/>
    <w:rsid w:val="2AA6EEA5"/>
    <w:rsid w:val="2AA7DD84"/>
    <w:rsid w:val="2AB76096"/>
    <w:rsid w:val="2AC12259"/>
    <w:rsid w:val="2AC2D074"/>
    <w:rsid w:val="2AD55A41"/>
    <w:rsid w:val="2ADAF44B"/>
    <w:rsid w:val="2ADCC7F6"/>
    <w:rsid w:val="2AF06EC7"/>
    <w:rsid w:val="2B09F7A3"/>
    <w:rsid w:val="2B0B7334"/>
    <w:rsid w:val="2B0F0960"/>
    <w:rsid w:val="2B0FD0BF"/>
    <w:rsid w:val="2B36EDF9"/>
    <w:rsid w:val="2B465749"/>
    <w:rsid w:val="2B495FF3"/>
    <w:rsid w:val="2B5FC74A"/>
    <w:rsid w:val="2B6898CB"/>
    <w:rsid w:val="2B693B82"/>
    <w:rsid w:val="2B856F31"/>
    <w:rsid w:val="2B9F33EE"/>
    <w:rsid w:val="2BA11AD9"/>
    <w:rsid w:val="2BB35DF3"/>
    <w:rsid w:val="2BCAF033"/>
    <w:rsid w:val="2BCB9BE6"/>
    <w:rsid w:val="2BCD58C1"/>
    <w:rsid w:val="2BED5964"/>
    <w:rsid w:val="2BF3954A"/>
    <w:rsid w:val="2BFDFA4E"/>
    <w:rsid w:val="2C10C34C"/>
    <w:rsid w:val="2C175AEF"/>
    <w:rsid w:val="2C1852C1"/>
    <w:rsid w:val="2C1C4051"/>
    <w:rsid w:val="2C1F6793"/>
    <w:rsid w:val="2C2B37E3"/>
    <w:rsid w:val="2C329DBE"/>
    <w:rsid w:val="2C3763AC"/>
    <w:rsid w:val="2C755402"/>
    <w:rsid w:val="2C7A1B37"/>
    <w:rsid w:val="2C8DC56C"/>
    <w:rsid w:val="2C9E00CE"/>
    <w:rsid w:val="2CA5C1B4"/>
    <w:rsid w:val="2CB09F33"/>
    <w:rsid w:val="2CB29C4D"/>
    <w:rsid w:val="2CC7AC29"/>
    <w:rsid w:val="2CD245F8"/>
    <w:rsid w:val="2CDD3B53"/>
    <w:rsid w:val="2CE26828"/>
    <w:rsid w:val="2CE7303A"/>
    <w:rsid w:val="2CE88255"/>
    <w:rsid w:val="2CEC93EA"/>
    <w:rsid w:val="2CF22AAF"/>
    <w:rsid w:val="2CF28E2A"/>
    <w:rsid w:val="2D02F3DA"/>
    <w:rsid w:val="2D12B1FD"/>
    <w:rsid w:val="2D206DB9"/>
    <w:rsid w:val="2D2C3345"/>
    <w:rsid w:val="2D322A85"/>
    <w:rsid w:val="2D373DC1"/>
    <w:rsid w:val="2D4B6C46"/>
    <w:rsid w:val="2D5F5DE6"/>
    <w:rsid w:val="2D75ED78"/>
    <w:rsid w:val="2D878BD2"/>
    <w:rsid w:val="2D994C19"/>
    <w:rsid w:val="2D9F0323"/>
    <w:rsid w:val="2DA31176"/>
    <w:rsid w:val="2DB34AEE"/>
    <w:rsid w:val="2DC3D817"/>
    <w:rsid w:val="2DCD46DC"/>
    <w:rsid w:val="2DF4C2A6"/>
    <w:rsid w:val="2E02C8C1"/>
    <w:rsid w:val="2E0684BD"/>
    <w:rsid w:val="2E11648E"/>
    <w:rsid w:val="2E1ACB27"/>
    <w:rsid w:val="2E2DB867"/>
    <w:rsid w:val="2E76A7E2"/>
    <w:rsid w:val="2E76E677"/>
    <w:rsid w:val="2E895EFD"/>
    <w:rsid w:val="2E9D0BA0"/>
    <w:rsid w:val="2EAD2422"/>
    <w:rsid w:val="2EAEE183"/>
    <w:rsid w:val="2EBA20D0"/>
    <w:rsid w:val="2EBD3CD1"/>
    <w:rsid w:val="2ED2CDDA"/>
    <w:rsid w:val="2EF534B3"/>
    <w:rsid w:val="2EF6D4B3"/>
    <w:rsid w:val="2EFF63E8"/>
    <w:rsid w:val="2F0A99E0"/>
    <w:rsid w:val="2F2DFBA2"/>
    <w:rsid w:val="2F2EFCC2"/>
    <w:rsid w:val="2F3C876C"/>
    <w:rsid w:val="2F43BBA4"/>
    <w:rsid w:val="2F44AF71"/>
    <w:rsid w:val="2F52CCDB"/>
    <w:rsid w:val="2F6BE735"/>
    <w:rsid w:val="2F6CC9F8"/>
    <w:rsid w:val="2F6DAF14"/>
    <w:rsid w:val="2F70084D"/>
    <w:rsid w:val="2F7FE527"/>
    <w:rsid w:val="2F88B2FC"/>
    <w:rsid w:val="2FA5BD7F"/>
    <w:rsid w:val="2FA758DC"/>
    <w:rsid w:val="2FBD4B7D"/>
    <w:rsid w:val="2FC1BB19"/>
    <w:rsid w:val="2FD96798"/>
    <w:rsid w:val="2FDB8277"/>
    <w:rsid w:val="2FDE89AC"/>
    <w:rsid w:val="2FE930EF"/>
    <w:rsid w:val="2FFDD293"/>
    <w:rsid w:val="3036D986"/>
    <w:rsid w:val="3056337E"/>
    <w:rsid w:val="30597BAA"/>
    <w:rsid w:val="30673957"/>
    <w:rsid w:val="306EB538"/>
    <w:rsid w:val="306F8B8D"/>
    <w:rsid w:val="30706CB6"/>
    <w:rsid w:val="30847E70"/>
    <w:rsid w:val="308F77FB"/>
    <w:rsid w:val="309675BD"/>
    <w:rsid w:val="30A69B8D"/>
    <w:rsid w:val="30B61861"/>
    <w:rsid w:val="30BED4BF"/>
    <w:rsid w:val="30E2CBF1"/>
    <w:rsid w:val="30FB6DF2"/>
    <w:rsid w:val="31080D22"/>
    <w:rsid w:val="3115382E"/>
    <w:rsid w:val="313C5182"/>
    <w:rsid w:val="314E3C84"/>
    <w:rsid w:val="31528AB7"/>
    <w:rsid w:val="31558F3D"/>
    <w:rsid w:val="316B2523"/>
    <w:rsid w:val="316E68A4"/>
    <w:rsid w:val="3179806D"/>
    <w:rsid w:val="317D0A43"/>
    <w:rsid w:val="317DFBA7"/>
    <w:rsid w:val="3180A6DB"/>
    <w:rsid w:val="31820403"/>
    <w:rsid w:val="319CE7EB"/>
    <w:rsid w:val="319E55E1"/>
    <w:rsid w:val="31A00BD3"/>
    <w:rsid w:val="31A4690C"/>
    <w:rsid w:val="31A6FF0A"/>
    <w:rsid w:val="31BB364C"/>
    <w:rsid w:val="31C138D7"/>
    <w:rsid w:val="31F817F0"/>
    <w:rsid w:val="31FEBD2F"/>
    <w:rsid w:val="320E22F6"/>
    <w:rsid w:val="3216647E"/>
    <w:rsid w:val="3233E951"/>
    <w:rsid w:val="323BB04C"/>
    <w:rsid w:val="325679A9"/>
    <w:rsid w:val="327886A1"/>
    <w:rsid w:val="32789ED3"/>
    <w:rsid w:val="329F4055"/>
    <w:rsid w:val="32B012F9"/>
    <w:rsid w:val="32C583DC"/>
    <w:rsid w:val="32C8C1D6"/>
    <w:rsid w:val="32D22BB4"/>
    <w:rsid w:val="32D8C70E"/>
    <w:rsid w:val="32F63D4E"/>
    <w:rsid w:val="32F89F42"/>
    <w:rsid w:val="3304BFEE"/>
    <w:rsid w:val="3320D4E5"/>
    <w:rsid w:val="33272CD0"/>
    <w:rsid w:val="33292684"/>
    <w:rsid w:val="33299030"/>
    <w:rsid w:val="3347CA93"/>
    <w:rsid w:val="33487B09"/>
    <w:rsid w:val="334F5943"/>
    <w:rsid w:val="335711EC"/>
    <w:rsid w:val="336651DE"/>
    <w:rsid w:val="337A8EB6"/>
    <w:rsid w:val="33A4C91A"/>
    <w:rsid w:val="33AE7D5A"/>
    <w:rsid w:val="33B18E9D"/>
    <w:rsid w:val="33BDF328"/>
    <w:rsid w:val="33DDD38B"/>
    <w:rsid w:val="33E2DA0C"/>
    <w:rsid w:val="33F5A962"/>
    <w:rsid w:val="33FDED71"/>
    <w:rsid w:val="34023EF9"/>
    <w:rsid w:val="3409BE01"/>
    <w:rsid w:val="341A6B0F"/>
    <w:rsid w:val="342F49CD"/>
    <w:rsid w:val="3445270B"/>
    <w:rsid w:val="3445D97D"/>
    <w:rsid w:val="34554B0C"/>
    <w:rsid w:val="345C8825"/>
    <w:rsid w:val="346CE717"/>
    <w:rsid w:val="34751FF1"/>
    <w:rsid w:val="3481F9BE"/>
    <w:rsid w:val="34824A9D"/>
    <w:rsid w:val="348CF165"/>
    <w:rsid w:val="348DA41D"/>
    <w:rsid w:val="348FB6EB"/>
    <w:rsid w:val="34987A85"/>
    <w:rsid w:val="34A12798"/>
    <w:rsid w:val="34B3B635"/>
    <w:rsid w:val="34B5707E"/>
    <w:rsid w:val="34B916FF"/>
    <w:rsid w:val="34D6D680"/>
    <w:rsid w:val="34D7ACFF"/>
    <w:rsid w:val="34EA0E00"/>
    <w:rsid w:val="35122668"/>
    <w:rsid w:val="352CDB62"/>
    <w:rsid w:val="357579EF"/>
    <w:rsid w:val="35784AD5"/>
    <w:rsid w:val="35857AF2"/>
    <w:rsid w:val="35A409E8"/>
    <w:rsid w:val="35AFB02B"/>
    <w:rsid w:val="35BF8D60"/>
    <w:rsid w:val="35CAF87F"/>
    <w:rsid w:val="35DDFC53"/>
    <w:rsid w:val="35E845E4"/>
    <w:rsid w:val="35F0E76E"/>
    <w:rsid w:val="35F144B6"/>
    <w:rsid w:val="35FE2947"/>
    <w:rsid w:val="3608B822"/>
    <w:rsid w:val="361DE581"/>
    <w:rsid w:val="36280C8E"/>
    <w:rsid w:val="3628AC71"/>
    <w:rsid w:val="3634037C"/>
    <w:rsid w:val="366092D9"/>
    <w:rsid w:val="36653617"/>
    <w:rsid w:val="367693C9"/>
    <w:rsid w:val="3679C48D"/>
    <w:rsid w:val="36883B7C"/>
    <w:rsid w:val="3689452E"/>
    <w:rsid w:val="369B36F8"/>
    <w:rsid w:val="36E1BBB6"/>
    <w:rsid w:val="36E291A3"/>
    <w:rsid w:val="37012980"/>
    <w:rsid w:val="37163B2C"/>
    <w:rsid w:val="372AD872"/>
    <w:rsid w:val="372C03B3"/>
    <w:rsid w:val="374F29B9"/>
    <w:rsid w:val="3754BE08"/>
    <w:rsid w:val="37576AEC"/>
    <w:rsid w:val="37578398"/>
    <w:rsid w:val="3759FC46"/>
    <w:rsid w:val="37675251"/>
    <w:rsid w:val="376BA11B"/>
    <w:rsid w:val="377B028E"/>
    <w:rsid w:val="377FFAD0"/>
    <w:rsid w:val="3787A4F5"/>
    <w:rsid w:val="37903900"/>
    <w:rsid w:val="37AA2F19"/>
    <w:rsid w:val="37AEFCD2"/>
    <w:rsid w:val="37D0C3B5"/>
    <w:rsid w:val="37DC0822"/>
    <w:rsid w:val="37E0669F"/>
    <w:rsid w:val="37E95030"/>
    <w:rsid w:val="3804ACD8"/>
    <w:rsid w:val="380D9BA1"/>
    <w:rsid w:val="381C4B37"/>
    <w:rsid w:val="381F364D"/>
    <w:rsid w:val="3824974B"/>
    <w:rsid w:val="384CAE7F"/>
    <w:rsid w:val="38543246"/>
    <w:rsid w:val="3865FB31"/>
    <w:rsid w:val="386B24A3"/>
    <w:rsid w:val="3871D4F5"/>
    <w:rsid w:val="3887D055"/>
    <w:rsid w:val="38A543C7"/>
    <w:rsid w:val="38ABBBAE"/>
    <w:rsid w:val="38B7B4B0"/>
    <w:rsid w:val="38BAC2CA"/>
    <w:rsid w:val="38BEAA7E"/>
    <w:rsid w:val="38C967C5"/>
    <w:rsid w:val="38D02796"/>
    <w:rsid w:val="38E960F3"/>
    <w:rsid w:val="38F3783C"/>
    <w:rsid w:val="38FA2902"/>
    <w:rsid w:val="39201413"/>
    <w:rsid w:val="392548C0"/>
    <w:rsid w:val="393A331A"/>
    <w:rsid w:val="394882E3"/>
    <w:rsid w:val="394A0DDB"/>
    <w:rsid w:val="395154E8"/>
    <w:rsid w:val="395D486A"/>
    <w:rsid w:val="39653D12"/>
    <w:rsid w:val="3966E751"/>
    <w:rsid w:val="3967F1A6"/>
    <w:rsid w:val="396AE1F4"/>
    <w:rsid w:val="396BA6D3"/>
    <w:rsid w:val="396F0127"/>
    <w:rsid w:val="39737E11"/>
    <w:rsid w:val="397C2D88"/>
    <w:rsid w:val="399F1D3C"/>
    <w:rsid w:val="399FE094"/>
    <w:rsid w:val="39AFB632"/>
    <w:rsid w:val="39BA3E65"/>
    <w:rsid w:val="39C563BC"/>
    <w:rsid w:val="39C596B5"/>
    <w:rsid w:val="39C7C232"/>
    <w:rsid w:val="39D73986"/>
    <w:rsid w:val="39DFE8C8"/>
    <w:rsid w:val="39EA79C8"/>
    <w:rsid w:val="39F458B8"/>
    <w:rsid w:val="3A0E207B"/>
    <w:rsid w:val="3A11FF2B"/>
    <w:rsid w:val="3A120098"/>
    <w:rsid w:val="3A339E3F"/>
    <w:rsid w:val="3A345A76"/>
    <w:rsid w:val="3A3C17AE"/>
    <w:rsid w:val="3A4D28C3"/>
    <w:rsid w:val="3A823F5D"/>
    <w:rsid w:val="3A82B0E9"/>
    <w:rsid w:val="3A9B588D"/>
    <w:rsid w:val="3A9DF80B"/>
    <w:rsid w:val="3ABCE40C"/>
    <w:rsid w:val="3ACCE368"/>
    <w:rsid w:val="3AD2F480"/>
    <w:rsid w:val="3AF1C3C1"/>
    <w:rsid w:val="3AF65502"/>
    <w:rsid w:val="3B06EE0F"/>
    <w:rsid w:val="3B1D766F"/>
    <w:rsid w:val="3B30DE50"/>
    <w:rsid w:val="3B359B4A"/>
    <w:rsid w:val="3B3B9FD0"/>
    <w:rsid w:val="3B46B6C6"/>
    <w:rsid w:val="3B517C00"/>
    <w:rsid w:val="3B564AC9"/>
    <w:rsid w:val="3B5B1C77"/>
    <w:rsid w:val="3B759D46"/>
    <w:rsid w:val="3B77B6FC"/>
    <w:rsid w:val="3B7FD7A2"/>
    <w:rsid w:val="3B81A758"/>
    <w:rsid w:val="3B842035"/>
    <w:rsid w:val="3B8BCD66"/>
    <w:rsid w:val="3BB6322D"/>
    <w:rsid w:val="3BC71DE6"/>
    <w:rsid w:val="3BC903ED"/>
    <w:rsid w:val="3BD2E759"/>
    <w:rsid w:val="3BDC4EAD"/>
    <w:rsid w:val="3C1171A7"/>
    <w:rsid w:val="3C11D658"/>
    <w:rsid w:val="3C38D8DB"/>
    <w:rsid w:val="3C433E02"/>
    <w:rsid w:val="3C4D6304"/>
    <w:rsid w:val="3C69F6E5"/>
    <w:rsid w:val="3C8CCE24"/>
    <w:rsid w:val="3CB4A05B"/>
    <w:rsid w:val="3CCD2D80"/>
    <w:rsid w:val="3CCE66BD"/>
    <w:rsid w:val="3CD26B16"/>
    <w:rsid w:val="3CDD2B70"/>
    <w:rsid w:val="3CE4D310"/>
    <w:rsid w:val="3D068428"/>
    <w:rsid w:val="3D0FF337"/>
    <w:rsid w:val="3D163AD3"/>
    <w:rsid w:val="3D28ABED"/>
    <w:rsid w:val="3D645A0C"/>
    <w:rsid w:val="3D680E4A"/>
    <w:rsid w:val="3D6C2BEA"/>
    <w:rsid w:val="3D7119E4"/>
    <w:rsid w:val="3D8DD8E2"/>
    <w:rsid w:val="3D954718"/>
    <w:rsid w:val="3DBFD894"/>
    <w:rsid w:val="3DC9A268"/>
    <w:rsid w:val="3DCE0DDA"/>
    <w:rsid w:val="3DCF3F91"/>
    <w:rsid w:val="3DD039A9"/>
    <w:rsid w:val="3DD8CE2F"/>
    <w:rsid w:val="3E02CAC9"/>
    <w:rsid w:val="3E1371CA"/>
    <w:rsid w:val="3E3A9A4B"/>
    <w:rsid w:val="3E5FDCE2"/>
    <w:rsid w:val="3E6DC66D"/>
    <w:rsid w:val="3E7E3742"/>
    <w:rsid w:val="3E8004C4"/>
    <w:rsid w:val="3E81F2F8"/>
    <w:rsid w:val="3E8BDD58"/>
    <w:rsid w:val="3E945DBD"/>
    <w:rsid w:val="3EA9CCC1"/>
    <w:rsid w:val="3EB262F0"/>
    <w:rsid w:val="3EB51F58"/>
    <w:rsid w:val="3EB9C3C5"/>
    <w:rsid w:val="3EB9CE30"/>
    <w:rsid w:val="3ED01BB3"/>
    <w:rsid w:val="3ED40675"/>
    <w:rsid w:val="3ED8FAFF"/>
    <w:rsid w:val="3EE62CD5"/>
    <w:rsid w:val="3EED0516"/>
    <w:rsid w:val="3EF53089"/>
    <w:rsid w:val="3F0653BB"/>
    <w:rsid w:val="3F11E804"/>
    <w:rsid w:val="3F30F632"/>
    <w:rsid w:val="3F32941B"/>
    <w:rsid w:val="3F377BA1"/>
    <w:rsid w:val="3F421727"/>
    <w:rsid w:val="3F4B21EF"/>
    <w:rsid w:val="3F6673E1"/>
    <w:rsid w:val="3F7710CD"/>
    <w:rsid w:val="3F9D6D71"/>
    <w:rsid w:val="3FB12714"/>
    <w:rsid w:val="3FB5CB16"/>
    <w:rsid w:val="3FBB25CE"/>
    <w:rsid w:val="3FBD4EB5"/>
    <w:rsid w:val="3FCC2A89"/>
    <w:rsid w:val="3FCE5B30"/>
    <w:rsid w:val="3FD1E3F8"/>
    <w:rsid w:val="3FEEAE5A"/>
    <w:rsid w:val="3FF7DEFB"/>
    <w:rsid w:val="3FFF5CDD"/>
    <w:rsid w:val="4011F226"/>
    <w:rsid w:val="401A89B8"/>
    <w:rsid w:val="403E17B5"/>
    <w:rsid w:val="403FADD3"/>
    <w:rsid w:val="406182EB"/>
    <w:rsid w:val="40751B4C"/>
    <w:rsid w:val="4075D84C"/>
    <w:rsid w:val="40764862"/>
    <w:rsid w:val="4087E002"/>
    <w:rsid w:val="4088CE22"/>
    <w:rsid w:val="408E2558"/>
    <w:rsid w:val="409BB89D"/>
    <w:rsid w:val="409F1590"/>
    <w:rsid w:val="40A3F487"/>
    <w:rsid w:val="40B58E95"/>
    <w:rsid w:val="40BE3DDD"/>
    <w:rsid w:val="40CC3B64"/>
    <w:rsid w:val="40DE7E34"/>
    <w:rsid w:val="40EECA96"/>
    <w:rsid w:val="40F6C923"/>
    <w:rsid w:val="40F801DB"/>
    <w:rsid w:val="40F84265"/>
    <w:rsid w:val="40FFA335"/>
    <w:rsid w:val="411E09E8"/>
    <w:rsid w:val="41257565"/>
    <w:rsid w:val="4125EECC"/>
    <w:rsid w:val="41294692"/>
    <w:rsid w:val="41461B7D"/>
    <w:rsid w:val="41462265"/>
    <w:rsid w:val="4155A819"/>
    <w:rsid w:val="41598EF5"/>
    <w:rsid w:val="415AA7C1"/>
    <w:rsid w:val="41621335"/>
    <w:rsid w:val="41994951"/>
    <w:rsid w:val="419E1B62"/>
    <w:rsid w:val="41A84603"/>
    <w:rsid w:val="41A8979E"/>
    <w:rsid w:val="41B0452E"/>
    <w:rsid w:val="41BB82A3"/>
    <w:rsid w:val="41C5B2E6"/>
    <w:rsid w:val="41CA33E6"/>
    <w:rsid w:val="41D12356"/>
    <w:rsid w:val="41D2680B"/>
    <w:rsid w:val="41E265D5"/>
    <w:rsid w:val="41F332E7"/>
    <w:rsid w:val="41FA8D83"/>
    <w:rsid w:val="4213FB55"/>
    <w:rsid w:val="42228820"/>
    <w:rsid w:val="4228D122"/>
    <w:rsid w:val="424A9BFD"/>
    <w:rsid w:val="424C1603"/>
    <w:rsid w:val="42543515"/>
    <w:rsid w:val="42588799"/>
    <w:rsid w:val="4265915B"/>
    <w:rsid w:val="426A05FE"/>
    <w:rsid w:val="42724840"/>
    <w:rsid w:val="427717B0"/>
    <w:rsid w:val="4284AECE"/>
    <w:rsid w:val="4289FCF6"/>
    <w:rsid w:val="429D93E9"/>
    <w:rsid w:val="42AC74B4"/>
    <w:rsid w:val="42B6146E"/>
    <w:rsid w:val="42BB2873"/>
    <w:rsid w:val="42D4DFB3"/>
    <w:rsid w:val="42F84FFC"/>
    <w:rsid w:val="42F9F230"/>
    <w:rsid w:val="430A7ADC"/>
    <w:rsid w:val="43135F73"/>
    <w:rsid w:val="432389DF"/>
    <w:rsid w:val="4329EBC1"/>
    <w:rsid w:val="4334FEA1"/>
    <w:rsid w:val="4338989E"/>
    <w:rsid w:val="433CFDB3"/>
    <w:rsid w:val="434589E3"/>
    <w:rsid w:val="4360E667"/>
    <w:rsid w:val="437D05C9"/>
    <w:rsid w:val="438BDFDE"/>
    <w:rsid w:val="43A2289F"/>
    <w:rsid w:val="43C3D4ED"/>
    <w:rsid w:val="43C54903"/>
    <w:rsid w:val="43C94E0E"/>
    <w:rsid w:val="4400F086"/>
    <w:rsid w:val="4418A4EF"/>
    <w:rsid w:val="442946B8"/>
    <w:rsid w:val="442F2B5D"/>
    <w:rsid w:val="443ACCEA"/>
    <w:rsid w:val="443C77A1"/>
    <w:rsid w:val="4452F39F"/>
    <w:rsid w:val="44588205"/>
    <w:rsid w:val="448A7866"/>
    <w:rsid w:val="448CEAF3"/>
    <w:rsid w:val="449D4CDD"/>
    <w:rsid w:val="44C10EAC"/>
    <w:rsid w:val="44DE73DF"/>
    <w:rsid w:val="44EA9601"/>
    <w:rsid w:val="44F9CAAA"/>
    <w:rsid w:val="44FF3A53"/>
    <w:rsid w:val="45022F60"/>
    <w:rsid w:val="4515A841"/>
    <w:rsid w:val="453058BC"/>
    <w:rsid w:val="4548985B"/>
    <w:rsid w:val="4555F4EA"/>
    <w:rsid w:val="456BA610"/>
    <w:rsid w:val="456DCDD8"/>
    <w:rsid w:val="457FE541"/>
    <w:rsid w:val="4592D83F"/>
    <w:rsid w:val="45955ECD"/>
    <w:rsid w:val="459D0DA3"/>
    <w:rsid w:val="45A071B7"/>
    <w:rsid w:val="45A83C9A"/>
    <w:rsid w:val="45B79062"/>
    <w:rsid w:val="45C533CC"/>
    <w:rsid w:val="45CD428C"/>
    <w:rsid w:val="45D49725"/>
    <w:rsid w:val="45DFFF4D"/>
    <w:rsid w:val="45E8C255"/>
    <w:rsid w:val="45F3F55F"/>
    <w:rsid w:val="45F639B0"/>
    <w:rsid w:val="45F81D9F"/>
    <w:rsid w:val="45FADA0A"/>
    <w:rsid w:val="45FD5DCD"/>
    <w:rsid w:val="460D0675"/>
    <w:rsid w:val="461B1BD9"/>
    <w:rsid w:val="461D6B35"/>
    <w:rsid w:val="46243B84"/>
    <w:rsid w:val="462A0036"/>
    <w:rsid w:val="464341E9"/>
    <w:rsid w:val="46538DC2"/>
    <w:rsid w:val="4677B33A"/>
    <w:rsid w:val="468C40F0"/>
    <w:rsid w:val="468F415F"/>
    <w:rsid w:val="469225A4"/>
    <w:rsid w:val="46A0E493"/>
    <w:rsid w:val="46AADA45"/>
    <w:rsid w:val="46AEDA0F"/>
    <w:rsid w:val="46B0C963"/>
    <w:rsid w:val="46C04AB9"/>
    <w:rsid w:val="46DCF83B"/>
    <w:rsid w:val="46E234D2"/>
    <w:rsid w:val="46ED9A8E"/>
    <w:rsid w:val="46F717D7"/>
    <w:rsid w:val="46FFDB55"/>
    <w:rsid w:val="4703CB62"/>
    <w:rsid w:val="47098695"/>
    <w:rsid w:val="4709A7F3"/>
    <w:rsid w:val="4710F56E"/>
    <w:rsid w:val="471CB715"/>
    <w:rsid w:val="47296B56"/>
    <w:rsid w:val="472C753B"/>
    <w:rsid w:val="47301D71"/>
    <w:rsid w:val="4753D335"/>
    <w:rsid w:val="475A1386"/>
    <w:rsid w:val="475C751A"/>
    <w:rsid w:val="4768709B"/>
    <w:rsid w:val="4769CF94"/>
    <w:rsid w:val="47876AB2"/>
    <w:rsid w:val="4790B27C"/>
    <w:rsid w:val="4792A936"/>
    <w:rsid w:val="479CBEDF"/>
    <w:rsid w:val="47A8FE9E"/>
    <w:rsid w:val="47B8E7BF"/>
    <w:rsid w:val="47B9E9C2"/>
    <w:rsid w:val="47BF4580"/>
    <w:rsid w:val="47C2D143"/>
    <w:rsid w:val="47C46EC8"/>
    <w:rsid w:val="47E31E47"/>
    <w:rsid w:val="47F0E0A6"/>
    <w:rsid w:val="4801F8EE"/>
    <w:rsid w:val="480AAD41"/>
    <w:rsid w:val="48173EF5"/>
    <w:rsid w:val="481EDA87"/>
    <w:rsid w:val="481FF2EC"/>
    <w:rsid w:val="4825215E"/>
    <w:rsid w:val="48307F28"/>
    <w:rsid w:val="483482CF"/>
    <w:rsid w:val="48371552"/>
    <w:rsid w:val="484245B0"/>
    <w:rsid w:val="4863AFF4"/>
    <w:rsid w:val="486AD12F"/>
    <w:rsid w:val="48716D3B"/>
    <w:rsid w:val="487EB689"/>
    <w:rsid w:val="4886C2D9"/>
    <w:rsid w:val="48971996"/>
    <w:rsid w:val="48981F9F"/>
    <w:rsid w:val="489A6754"/>
    <w:rsid w:val="489D76C8"/>
    <w:rsid w:val="48B138D6"/>
    <w:rsid w:val="48BAD1C7"/>
    <w:rsid w:val="48BDFF5B"/>
    <w:rsid w:val="48EA1475"/>
    <w:rsid w:val="4901A9D7"/>
    <w:rsid w:val="4905BA3D"/>
    <w:rsid w:val="49128A8E"/>
    <w:rsid w:val="49164B90"/>
    <w:rsid w:val="491AB6BD"/>
    <w:rsid w:val="49211CBF"/>
    <w:rsid w:val="4922FCB2"/>
    <w:rsid w:val="494B449E"/>
    <w:rsid w:val="4963AD97"/>
    <w:rsid w:val="49690A65"/>
    <w:rsid w:val="496E91A8"/>
    <w:rsid w:val="4978C789"/>
    <w:rsid w:val="4980864C"/>
    <w:rsid w:val="498A06BA"/>
    <w:rsid w:val="499CD91B"/>
    <w:rsid w:val="49B56DA3"/>
    <w:rsid w:val="49E0C2E3"/>
    <w:rsid w:val="49E6BC8B"/>
    <w:rsid w:val="49F10E77"/>
    <w:rsid w:val="49F3E1DB"/>
    <w:rsid w:val="4A0F5BE4"/>
    <w:rsid w:val="4A1133FA"/>
    <w:rsid w:val="4A2772DB"/>
    <w:rsid w:val="4A413184"/>
    <w:rsid w:val="4A44369D"/>
    <w:rsid w:val="4A45DBE5"/>
    <w:rsid w:val="4A524429"/>
    <w:rsid w:val="4A536582"/>
    <w:rsid w:val="4A562081"/>
    <w:rsid w:val="4A579F94"/>
    <w:rsid w:val="4A5C2978"/>
    <w:rsid w:val="4A60A755"/>
    <w:rsid w:val="4A6111F0"/>
    <w:rsid w:val="4A745FBA"/>
    <w:rsid w:val="4A7A4A70"/>
    <w:rsid w:val="4A898B9D"/>
    <w:rsid w:val="4A9BF759"/>
    <w:rsid w:val="4AC29DF4"/>
    <w:rsid w:val="4ACBE723"/>
    <w:rsid w:val="4ACE83F9"/>
    <w:rsid w:val="4AE3C3B8"/>
    <w:rsid w:val="4AF5C766"/>
    <w:rsid w:val="4B0B74E8"/>
    <w:rsid w:val="4B157CE4"/>
    <w:rsid w:val="4B30CDD7"/>
    <w:rsid w:val="4B371B64"/>
    <w:rsid w:val="4B373E2A"/>
    <w:rsid w:val="4B3766C9"/>
    <w:rsid w:val="4B3A9D97"/>
    <w:rsid w:val="4B4F556A"/>
    <w:rsid w:val="4B717870"/>
    <w:rsid w:val="4B973BC1"/>
    <w:rsid w:val="4B9CEDCD"/>
    <w:rsid w:val="4BB34F14"/>
    <w:rsid w:val="4BB88BFC"/>
    <w:rsid w:val="4BBB262D"/>
    <w:rsid w:val="4BEE52F9"/>
    <w:rsid w:val="4BF6734F"/>
    <w:rsid w:val="4C128677"/>
    <w:rsid w:val="4C2D55D8"/>
    <w:rsid w:val="4C413B55"/>
    <w:rsid w:val="4C627FDF"/>
    <w:rsid w:val="4C6F82A2"/>
    <w:rsid w:val="4C957546"/>
    <w:rsid w:val="4CB22DF5"/>
    <w:rsid w:val="4CBB3A2B"/>
    <w:rsid w:val="4CBFF7E6"/>
    <w:rsid w:val="4CC0A10B"/>
    <w:rsid w:val="4CC65168"/>
    <w:rsid w:val="4CC9ABC5"/>
    <w:rsid w:val="4CE1E6E4"/>
    <w:rsid w:val="4CF99FDE"/>
    <w:rsid w:val="4D102AC7"/>
    <w:rsid w:val="4D14B11D"/>
    <w:rsid w:val="4D1622D9"/>
    <w:rsid w:val="4D2B2C25"/>
    <w:rsid w:val="4D4B3743"/>
    <w:rsid w:val="4D4B72E8"/>
    <w:rsid w:val="4D588612"/>
    <w:rsid w:val="4D707D94"/>
    <w:rsid w:val="4D729607"/>
    <w:rsid w:val="4D9DA296"/>
    <w:rsid w:val="4DA8956E"/>
    <w:rsid w:val="4DF7A8F8"/>
    <w:rsid w:val="4DFD43F8"/>
    <w:rsid w:val="4DFE8864"/>
    <w:rsid w:val="4E07ADCA"/>
    <w:rsid w:val="4E1681E8"/>
    <w:rsid w:val="4E1AF0F6"/>
    <w:rsid w:val="4E217F8D"/>
    <w:rsid w:val="4E24E48D"/>
    <w:rsid w:val="4E24F368"/>
    <w:rsid w:val="4E251E42"/>
    <w:rsid w:val="4E53E647"/>
    <w:rsid w:val="4E559F1F"/>
    <w:rsid w:val="4E63FF02"/>
    <w:rsid w:val="4E993261"/>
    <w:rsid w:val="4EA99FA9"/>
    <w:rsid w:val="4EB38B0E"/>
    <w:rsid w:val="4ED9BCBE"/>
    <w:rsid w:val="4EE091EC"/>
    <w:rsid w:val="4EE20505"/>
    <w:rsid w:val="4EF39E2D"/>
    <w:rsid w:val="4EFA4FF9"/>
    <w:rsid w:val="4F067B44"/>
    <w:rsid w:val="4F11CA3F"/>
    <w:rsid w:val="4F1A510F"/>
    <w:rsid w:val="4F2FC31B"/>
    <w:rsid w:val="4F5E5418"/>
    <w:rsid w:val="4F61D55C"/>
    <w:rsid w:val="4F6BA803"/>
    <w:rsid w:val="4F769852"/>
    <w:rsid w:val="4F7A0A8F"/>
    <w:rsid w:val="4F7F45F8"/>
    <w:rsid w:val="4F81CAE4"/>
    <w:rsid w:val="4FA4EEC4"/>
    <w:rsid w:val="4FB2487D"/>
    <w:rsid w:val="4FBC9F53"/>
    <w:rsid w:val="4FBCB13F"/>
    <w:rsid w:val="4FC49DFE"/>
    <w:rsid w:val="4FEE07C5"/>
    <w:rsid w:val="4FF0A62E"/>
    <w:rsid w:val="4FF6EFD4"/>
    <w:rsid w:val="5001816F"/>
    <w:rsid w:val="5005C833"/>
    <w:rsid w:val="501558A7"/>
    <w:rsid w:val="501FA1C7"/>
    <w:rsid w:val="5034E0F2"/>
    <w:rsid w:val="5045CC67"/>
    <w:rsid w:val="504CD311"/>
    <w:rsid w:val="5055562A"/>
    <w:rsid w:val="505816F5"/>
    <w:rsid w:val="505F5519"/>
    <w:rsid w:val="5080D0A9"/>
    <w:rsid w:val="50830E84"/>
    <w:rsid w:val="50909B4E"/>
    <w:rsid w:val="50A72CA5"/>
    <w:rsid w:val="50B355BD"/>
    <w:rsid w:val="50BF5681"/>
    <w:rsid w:val="50C46805"/>
    <w:rsid w:val="50CDA88B"/>
    <w:rsid w:val="50E8F13A"/>
    <w:rsid w:val="50EE733E"/>
    <w:rsid w:val="50EED268"/>
    <w:rsid w:val="50FAF7F9"/>
    <w:rsid w:val="5102D3B3"/>
    <w:rsid w:val="51270671"/>
    <w:rsid w:val="5129652E"/>
    <w:rsid w:val="5132D29D"/>
    <w:rsid w:val="515A44DC"/>
    <w:rsid w:val="5169B7E9"/>
    <w:rsid w:val="5174F2D9"/>
    <w:rsid w:val="517DAB58"/>
    <w:rsid w:val="51A131D4"/>
    <w:rsid w:val="51CA2BCB"/>
    <w:rsid w:val="51DFEC50"/>
    <w:rsid w:val="51E09E6F"/>
    <w:rsid w:val="51EA718D"/>
    <w:rsid w:val="51F2DE18"/>
    <w:rsid w:val="51F923F5"/>
    <w:rsid w:val="521C1DA1"/>
    <w:rsid w:val="521EB618"/>
    <w:rsid w:val="522D790B"/>
    <w:rsid w:val="5239C1F1"/>
    <w:rsid w:val="5242D77D"/>
    <w:rsid w:val="524AD778"/>
    <w:rsid w:val="526041AC"/>
    <w:rsid w:val="5273A612"/>
    <w:rsid w:val="527F459B"/>
    <w:rsid w:val="529185F7"/>
    <w:rsid w:val="529E4736"/>
    <w:rsid w:val="52A2A1E1"/>
    <w:rsid w:val="52AF03DD"/>
    <w:rsid w:val="52E53B7A"/>
    <w:rsid w:val="52FAF009"/>
    <w:rsid w:val="5300434D"/>
    <w:rsid w:val="5306F071"/>
    <w:rsid w:val="53074B87"/>
    <w:rsid w:val="5312A91D"/>
    <w:rsid w:val="53150DD6"/>
    <w:rsid w:val="5315458F"/>
    <w:rsid w:val="53190D23"/>
    <w:rsid w:val="5320C796"/>
    <w:rsid w:val="53248BB2"/>
    <w:rsid w:val="53283A00"/>
    <w:rsid w:val="532C199C"/>
    <w:rsid w:val="532DCCD2"/>
    <w:rsid w:val="53595C74"/>
    <w:rsid w:val="53680C35"/>
    <w:rsid w:val="53AAAE68"/>
    <w:rsid w:val="53BD4469"/>
    <w:rsid w:val="53D79386"/>
    <w:rsid w:val="53D93918"/>
    <w:rsid w:val="53E42373"/>
    <w:rsid w:val="53E8482C"/>
    <w:rsid w:val="541C9A95"/>
    <w:rsid w:val="541F58F0"/>
    <w:rsid w:val="542D2133"/>
    <w:rsid w:val="5433D8D6"/>
    <w:rsid w:val="543898E0"/>
    <w:rsid w:val="543928E2"/>
    <w:rsid w:val="543EE993"/>
    <w:rsid w:val="544EB4D6"/>
    <w:rsid w:val="54520DE4"/>
    <w:rsid w:val="545369F4"/>
    <w:rsid w:val="5453FD71"/>
    <w:rsid w:val="5464CB77"/>
    <w:rsid w:val="54664A38"/>
    <w:rsid w:val="54768370"/>
    <w:rsid w:val="5479A60D"/>
    <w:rsid w:val="547DED25"/>
    <w:rsid w:val="5482CBB4"/>
    <w:rsid w:val="5486E19F"/>
    <w:rsid w:val="5491A62D"/>
    <w:rsid w:val="549CF2E1"/>
    <w:rsid w:val="54A388B9"/>
    <w:rsid w:val="54A76A62"/>
    <w:rsid w:val="54ACE2D1"/>
    <w:rsid w:val="54B6203D"/>
    <w:rsid w:val="54BB262B"/>
    <w:rsid w:val="54BC31A9"/>
    <w:rsid w:val="54C2022A"/>
    <w:rsid w:val="54C232B4"/>
    <w:rsid w:val="54DF309A"/>
    <w:rsid w:val="54E02F7F"/>
    <w:rsid w:val="54E39B65"/>
    <w:rsid w:val="54EB9FEE"/>
    <w:rsid w:val="54F36E2B"/>
    <w:rsid w:val="552EEEB3"/>
    <w:rsid w:val="55401E58"/>
    <w:rsid w:val="55557796"/>
    <w:rsid w:val="556927AA"/>
    <w:rsid w:val="55724CC5"/>
    <w:rsid w:val="55785FD3"/>
    <w:rsid w:val="558AE298"/>
    <w:rsid w:val="558EA867"/>
    <w:rsid w:val="55A47806"/>
    <w:rsid w:val="55A88E35"/>
    <w:rsid w:val="55E08842"/>
    <w:rsid w:val="55E2F4A8"/>
    <w:rsid w:val="55E99C97"/>
    <w:rsid w:val="55EA35E7"/>
    <w:rsid w:val="55EB353C"/>
    <w:rsid w:val="55FC8017"/>
    <w:rsid w:val="56069454"/>
    <w:rsid w:val="56100B5D"/>
    <w:rsid w:val="56290F15"/>
    <w:rsid w:val="56324771"/>
    <w:rsid w:val="563373A0"/>
    <w:rsid w:val="563579B1"/>
    <w:rsid w:val="56388BB0"/>
    <w:rsid w:val="56428BF9"/>
    <w:rsid w:val="5646DAC8"/>
    <w:rsid w:val="56596B46"/>
    <w:rsid w:val="5660CDFE"/>
    <w:rsid w:val="5667CD0B"/>
    <w:rsid w:val="56699292"/>
    <w:rsid w:val="566CEE71"/>
    <w:rsid w:val="567E9632"/>
    <w:rsid w:val="5686DFB1"/>
    <w:rsid w:val="56916F85"/>
    <w:rsid w:val="569D961C"/>
    <w:rsid w:val="56A2086E"/>
    <w:rsid w:val="56B78329"/>
    <w:rsid w:val="56C0880D"/>
    <w:rsid w:val="56D4979D"/>
    <w:rsid w:val="56ED29B9"/>
    <w:rsid w:val="56FA2D4F"/>
    <w:rsid w:val="5700B4E9"/>
    <w:rsid w:val="57036504"/>
    <w:rsid w:val="570DE2AD"/>
    <w:rsid w:val="5717060F"/>
    <w:rsid w:val="57180C8D"/>
    <w:rsid w:val="572E81F3"/>
    <w:rsid w:val="57320C7F"/>
    <w:rsid w:val="57632DA4"/>
    <w:rsid w:val="57695F12"/>
    <w:rsid w:val="577F84FB"/>
    <w:rsid w:val="578C8B69"/>
    <w:rsid w:val="579ABC32"/>
    <w:rsid w:val="57A6B83C"/>
    <w:rsid w:val="57B36439"/>
    <w:rsid w:val="57C4A1E4"/>
    <w:rsid w:val="57D19925"/>
    <w:rsid w:val="57DAF36C"/>
    <w:rsid w:val="57DC0995"/>
    <w:rsid w:val="57E6FF9E"/>
    <w:rsid w:val="57EFD44B"/>
    <w:rsid w:val="57FC051D"/>
    <w:rsid w:val="57FFEEF9"/>
    <w:rsid w:val="58039500"/>
    <w:rsid w:val="5823CDE4"/>
    <w:rsid w:val="5842509E"/>
    <w:rsid w:val="5859D54F"/>
    <w:rsid w:val="586AC244"/>
    <w:rsid w:val="58747D08"/>
    <w:rsid w:val="5877CCED"/>
    <w:rsid w:val="5886B145"/>
    <w:rsid w:val="588E3152"/>
    <w:rsid w:val="588FF28E"/>
    <w:rsid w:val="58AF490F"/>
    <w:rsid w:val="58B0C8D6"/>
    <w:rsid w:val="58C02BE1"/>
    <w:rsid w:val="58C1F7DF"/>
    <w:rsid w:val="58DF8572"/>
    <w:rsid w:val="58E9563E"/>
    <w:rsid w:val="58EFC91E"/>
    <w:rsid w:val="58F6C0AB"/>
    <w:rsid w:val="58FAAAC7"/>
    <w:rsid w:val="59005308"/>
    <w:rsid w:val="59164104"/>
    <w:rsid w:val="5917CE79"/>
    <w:rsid w:val="5921A546"/>
    <w:rsid w:val="592383F4"/>
    <w:rsid w:val="592D3B36"/>
    <w:rsid w:val="5930FE82"/>
    <w:rsid w:val="593EDE77"/>
    <w:rsid w:val="59407990"/>
    <w:rsid w:val="59413813"/>
    <w:rsid w:val="5958FBF2"/>
    <w:rsid w:val="595BD0B2"/>
    <w:rsid w:val="595FCC0F"/>
    <w:rsid w:val="5965F132"/>
    <w:rsid w:val="59845953"/>
    <w:rsid w:val="5986576F"/>
    <w:rsid w:val="599423E3"/>
    <w:rsid w:val="59B8D1EC"/>
    <w:rsid w:val="59F7AF2F"/>
    <w:rsid w:val="5A01E5C6"/>
    <w:rsid w:val="5A03DD30"/>
    <w:rsid w:val="5A078E88"/>
    <w:rsid w:val="5A10405E"/>
    <w:rsid w:val="5A121134"/>
    <w:rsid w:val="5A182B0E"/>
    <w:rsid w:val="5A1DDC50"/>
    <w:rsid w:val="5A245598"/>
    <w:rsid w:val="5A41873E"/>
    <w:rsid w:val="5A52EF60"/>
    <w:rsid w:val="5A541597"/>
    <w:rsid w:val="5A5925F3"/>
    <w:rsid w:val="5A62793C"/>
    <w:rsid w:val="5A637EDD"/>
    <w:rsid w:val="5A789832"/>
    <w:rsid w:val="5A8C09FD"/>
    <w:rsid w:val="5A999358"/>
    <w:rsid w:val="5AA82353"/>
    <w:rsid w:val="5AD12189"/>
    <w:rsid w:val="5AF8156D"/>
    <w:rsid w:val="5AFDE602"/>
    <w:rsid w:val="5B182ACE"/>
    <w:rsid w:val="5B24130B"/>
    <w:rsid w:val="5B2D3504"/>
    <w:rsid w:val="5B51B19A"/>
    <w:rsid w:val="5B56EA5B"/>
    <w:rsid w:val="5B611D11"/>
    <w:rsid w:val="5B6511C3"/>
    <w:rsid w:val="5B6E2269"/>
    <w:rsid w:val="5B7620F7"/>
    <w:rsid w:val="5B78AEE6"/>
    <w:rsid w:val="5B7EC34E"/>
    <w:rsid w:val="5B91F8B4"/>
    <w:rsid w:val="5BB1025A"/>
    <w:rsid w:val="5BBCB00B"/>
    <w:rsid w:val="5BC5B52B"/>
    <w:rsid w:val="5BC9810B"/>
    <w:rsid w:val="5BCCDF02"/>
    <w:rsid w:val="5BD2DB69"/>
    <w:rsid w:val="5BE5339A"/>
    <w:rsid w:val="5BF318C1"/>
    <w:rsid w:val="5C0EDF1A"/>
    <w:rsid w:val="5C1DD5E0"/>
    <w:rsid w:val="5C1E31C9"/>
    <w:rsid w:val="5C425354"/>
    <w:rsid w:val="5C4B0FE3"/>
    <w:rsid w:val="5C5085EE"/>
    <w:rsid w:val="5C94750E"/>
    <w:rsid w:val="5CA41DE1"/>
    <w:rsid w:val="5CA7645A"/>
    <w:rsid w:val="5CC06191"/>
    <w:rsid w:val="5CE0BF0F"/>
    <w:rsid w:val="5CE227BB"/>
    <w:rsid w:val="5CEDB5FC"/>
    <w:rsid w:val="5D023801"/>
    <w:rsid w:val="5D1485B4"/>
    <w:rsid w:val="5D18720B"/>
    <w:rsid w:val="5D1B6815"/>
    <w:rsid w:val="5D1D97C0"/>
    <w:rsid w:val="5D33D702"/>
    <w:rsid w:val="5D3AEF5B"/>
    <w:rsid w:val="5D56BC7D"/>
    <w:rsid w:val="5D5C8936"/>
    <w:rsid w:val="5D709827"/>
    <w:rsid w:val="5D903A22"/>
    <w:rsid w:val="5D982EC8"/>
    <w:rsid w:val="5D9DE742"/>
    <w:rsid w:val="5D9F7E53"/>
    <w:rsid w:val="5DA189F8"/>
    <w:rsid w:val="5DA39999"/>
    <w:rsid w:val="5DADFDFB"/>
    <w:rsid w:val="5DBE87C4"/>
    <w:rsid w:val="5DC0BD43"/>
    <w:rsid w:val="5DC0FD5F"/>
    <w:rsid w:val="5DC3DC2E"/>
    <w:rsid w:val="5DC5DDEB"/>
    <w:rsid w:val="5DCC1169"/>
    <w:rsid w:val="5DE720AE"/>
    <w:rsid w:val="5DEE77BC"/>
    <w:rsid w:val="5DF97A5A"/>
    <w:rsid w:val="5E02B95D"/>
    <w:rsid w:val="5E0564F6"/>
    <w:rsid w:val="5E07E441"/>
    <w:rsid w:val="5E0EE697"/>
    <w:rsid w:val="5E12EFC7"/>
    <w:rsid w:val="5E1CD7A7"/>
    <w:rsid w:val="5E2568EE"/>
    <w:rsid w:val="5E29BEA8"/>
    <w:rsid w:val="5E2D50D2"/>
    <w:rsid w:val="5E355276"/>
    <w:rsid w:val="5E455644"/>
    <w:rsid w:val="5E4F52D7"/>
    <w:rsid w:val="5E67AA06"/>
    <w:rsid w:val="5E783F75"/>
    <w:rsid w:val="5E785545"/>
    <w:rsid w:val="5E898142"/>
    <w:rsid w:val="5E909CE3"/>
    <w:rsid w:val="5E90F297"/>
    <w:rsid w:val="5E9F3D17"/>
    <w:rsid w:val="5EA0EB4B"/>
    <w:rsid w:val="5EA59923"/>
    <w:rsid w:val="5EA7F44B"/>
    <w:rsid w:val="5EA992DB"/>
    <w:rsid w:val="5EAB41D1"/>
    <w:rsid w:val="5EAE9D13"/>
    <w:rsid w:val="5EB25158"/>
    <w:rsid w:val="5EB423FC"/>
    <w:rsid w:val="5EB5A703"/>
    <w:rsid w:val="5EC4059D"/>
    <w:rsid w:val="5EC90917"/>
    <w:rsid w:val="5ED2F06D"/>
    <w:rsid w:val="5ED6BCA4"/>
    <w:rsid w:val="5EEF6FED"/>
    <w:rsid w:val="5EF36821"/>
    <w:rsid w:val="5F08ACE4"/>
    <w:rsid w:val="5F1F8434"/>
    <w:rsid w:val="5F25D7E7"/>
    <w:rsid w:val="5F35F7E6"/>
    <w:rsid w:val="5F365134"/>
    <w:rsid w:val="5F37A83C"/>
    <w:rsid w:val="5F3FDE40"/>
    <w:rsid w:val="5F50DE5E"/>
    <w:rsid w:val="5F59E87B"/>
    <w:rsid w:val="5F645269"/>
    <w:rsid w:val="5F777030"/>
    <w:rsid w:val="5F892290"/>
    <w:rsid w:val="5FA198D2"/>
    <w:rsid w:val="5FA315FD"/>
    <w:rsid w:val="5FA8F78F"/>
    <w:rsid w:val="5FBBBF7E"/>
    <w:rsid w:val="5FC4B329"/>
    <w:rsid w:val="5FF68673"/>
    <w:rsid w:val="60052FCC"/>
    <w:rsid w:val="6011E3C1"/>
    <w:rsid w:val="6013188A"/>
    <w:rsid w:val="602D725B"/>
    <w:rsid w:val="6035CCA4"/>
    <w:rsid w:val="604433B3"/>
    <w:rsid w:val="6047FEA2"/>
    <w:rsid w:val="605CDD10"/>
    <w:rsid w:val="60654771"/>
    <w:rsid w:val="6083D70C"/>
    <w:rsid w:val="608596E0"/>
    <w:rsid w:val="6092A13D"/>
    <w:rsid w:val="60A96E5A"/>
    <w:rsid w:val="60B7063F"/>
    <w:rsid w:val="60CA808E"/>
    <w:rsid w:val="60DC5647"/>
    <w:rsid w:val="60E331C1"/>
    <w:rsid w:val="60E56ED2"/>
    <w:rsid w:val="60E5DF4F"/>
    <w:rsid w:val="60F743A2"/>
    <w:rsid w:val="6102411B"/>
    <w:rsid w:val="61061FC4"/>
    <w:rsid w:val="6114EC78"/>
    <w:rsid w:val="613FE5C0"/>
    <w:rsid w:val="6157F0DA"/>
    <w:rsid w:val="61591DAA"/>
    <w:rsid w:val="616178A9"/>
    <w:rsid w:val="61620D35"/>
    <w:rsid w:val="61682335"/>
    <w:rsid w:val="6176018B"/>
    <w:rsid w:val="6176E538"/>
    <w:rsid w:val="61778106"/>
    <w:rsid w:val="61790169"/>
    <w:rsid w:val="619F6C9F"/>
    <w:rsid w:val="61D68D40"/>
    <w:rsid w:val="61DE951A"/>
    <w:rsid w:val="61E3CCA3"/>
    <w:rsid w:val="61E92C1E"/>
    <w:rsid w:val="6214C73F"/>
    <w:rsid w:val="62156F13"/>
    <w:rsid w:val="6215EAEA"/>
    <w:rsid w:val="6227C9ED"/>
    <w:rsid w:val="622A3DA9"/>
    <w:rsid w:val="622E52C2"/>
    <w:rsid w:val="62314316"/>
    <w:rsid w:val="623CA29B"/>
    <w:rsid w:val="624BE672"/>
    <w:rsid w:val="625252C5"/>
    <w:rsid w:val="62616BDE"/>
    <w:rsid w:val="62714C21"/>
    <w:rsid w:val="627301D8"/>
    <w:rsid w:val="628265F2"/>
    <w:rsid w:val="62943E01"/>
    <w:rsid w:val="62B2E1D7"/>
    <w:rsid w:val="62B846CB"/>
    <w:rsid w:val="62B97365"/>
    <w:rsid w:val="62C875C0"/>
    <w:rsid w:val="62CC6DAA"/>
    <w:rsid w:val="62E046E5"/>
    <w:rsid w:val="62E55195"/>
    <w:rsid w:val="62ED2912"/>
    <w:rsid w:val="62F083AF"/>
    <w:rsid w:val="62FCA651"/>
    <w:rsid w:val="6306C5E0"/>
    <w:rsid w:val="6308A2E9"/>
    <w:rsid w:val="631C8CEF"/>
    <w:rsid w:val="631DDFDB"/>
    <w:rsid w:val="631E2A90"/>
    <w:rsid w:val="6330061D"/>
    <w:rsid w:val="633248EC"/>
    <w:rsid w:val="633298CE"/>
    <w:rsid w:val="6341133A"/>
    <w:rsid w:val="634A3513"/>
    <w:rsid w:val="634A35D1"/>
    <w:rsid w:val="63560881"/>
    <w:rsid w:val="63562ACD"/>
    <w:rsid w:val="636FB718"/>
    <w:rsid w:val="63704300"/>
    <w:rsid w:val="63902BDF"/>
    <w:rsid w:val="63A628B6"/>
    <w:rsid w:val="63B646ED"/>
    <w:rsid w:val="63CEBACB"/>
    <w:rsid w:val="63DC2ED3"/>
    <w:rsid w:val="63EE574E"/>
    <w:rsid w:val="640063A8"/>
    <w:rsid w:val="640791D0"/>
    <w:rsid w:val="6409417D"/>
    <w:rsid w:val="6419BE4A"/>
    <w:rsid w:val="642646EF"/>
    <w:rsid w:val="6428CD81"/>
    <w:rsid w:val="6432CABB"/>
    <w:rsid w:val="643A74D8"/>
    <w:rsid w:val="646202A5"/>
    <w:rsid w:val="646673AF"/>
    <w:rsid w:val="64667893"/>
    <w:rsid w:val="647C0334"/>
    <w:rsid w:val="647CBC0B"/>
    <w:rsid w:val="64A5DF59"/>
    <w:rsid w:val="64B29AB7"/>
    <w:rsid w:val="64BBEDEF"/>
    <w:rsid w:val="64C18C5A"/>
    <w:rsid w:val="64EDD0CE"/>
    <w:rsid w:val="6501E667"/>
    <w:rsid w:val="650B0A06"/>
    <w:rsid w:val="650EBD03"/>
    <w:rsid w:val="6512ED99"/>
    <w:rsid w:val="65191D6E"/>
    <w:rsid w:val="65253482"/>
    <w:rsid w:val="6532775C"/>
    <w:rsid w:val="6538ADEB"/>
    <w:rsid w:val="65446ABE"/>
    <w:rsid w:val="654E8553"/>
    <w:rsid w:val="6553EC29"/>
    <w:rsid w:val="6555B7AA"/>
    <w:rsid w:val="655CB1B5"/>
    <w:rsid w:val="6563ADB5"/>
    <w:rsid w:val="6589642A"/>
    <w:rsid w:val="659A7C41"/>
    <w:rsid w:val="65B9170C"/>
    <w:rsid w:val="65C0563D"/>
    <w:rsid w:val="65C31489"/>
    <w:rsid w:val="65EAB01D"/>
    <w:rsid w:val="65F29670"/>
    <w:rsid w:val="66098805"/>
    <w:rsid w:val="661AD332"/>
    <w:rsid w:val="661AE18A"/>
    <w:rsid w:val="6621669A"/>
    <w:rsid w:val="6624722E"/>
    <w:rsid w:val="662D89FF"/>
    <w:rsid w:val="6638A75A"/>
    <w:rsid w:val="6640D60E"/>
    <w:rsid w:val="6642EBC1"/>
    <w:rsid w:val="664DBDCE"/>
    <w:rsid w:val="664F35A1"/>
    <w:rsid w:val="667A3786"/>
    <w:rsid w:val="667B70C9"/>
    <w:rsid w:val="6684E742"/>
    <w:rsid w:val="668DC589"/>
    <w:rsid w:val="668F8DEA"/>
    <w:rsid w:val="669EC389"/>
    <w:rsid w:val="66A1D4F9"/>
    <w:rsid w:val="66A334F5"/>
    <w:rsid w:val="66AED648"/>
    <w:rsid w:val="66C10BD8"/>
    <w:rsid w:val="66C3C074"/>
    <w:rsid w:val="66D577CB"/>
    <w:rsid w:val="66DEF97A"/>
    <w:rsid w:val="66EAF2E7"/>
    <w:rsid w:val="66F4623C"/>
    <w:rsid w:val="67086A7F"/>
    <w:rsid w:val="671D117D"/>
    <w:rsid w:val="673391EB"/>
    <w:rsid w:val="67372BF3"/>
    <w:rsid w:val="674012EF"/>
    <w:rsid w:val="676526D5"/>
    <w:rsid w:val="6767000E"/>
    <w:rsid w:val="67697A23"/>
    <w:rsid w:val="676BA179"/>
    <w:rsid w:val="676E7BF4"/>
    <w:rsid w:val="676FF27F"/>
    <w:rsid w:val="67773261"/>
    <w:rsid w:val="67973C1B"/>
    <w:rsid w:val="67ABC167"/>
    <w:rsid w:val="67B99D41"/>
    <w:rsid w:val="67BF2482"/>
    <w:rsid w:val="67C68838"/>
    <w:rsid w:val="67DE883B"/>
    <w:rsid w:val="67F66CC0"/>
    <w:rsid w:val="67F96E8B"/>
    <w:rsid w:val="680E5B07"/>
    <w:rsid w:val="681D0DFF"/>
    <w:rsid w:val="682999B9"/>
    <w:rsid w:val="682B79B0"/>
    <w:rsid w:val="68357C1A"/>
    <w:rsid w:val="683FD107"/>
    <w:rsid w:val="684B2506"/>
    <w:rsid w:val="685CA4AB"/>
    <w:rsid w:val="685D0E53"/>
    <w:rsid w:val="685D41C1"/>
    <w:rsid w:val="6875C1E2"/>
    <w:rsid w:val="688EFD21"/>
    <w:rsid w:val="6896A338"/>
    <w:rsid w:val="689968DC"/>
    <w:rsid w:val="68B211E8"/>
    <w:rsid w:val="68C3B345"/>
    <w:rsid w:val="68CC6408"/>
    <w:rsid w:val="68D13530"/>
    <w:rsid w:val="68E10B42"/>
    <w:rsid w:val="68E98156"/>
    <w:rsid w:val="68EBE412"/>
    <w:rsid w:val="68F30A11"/>
    <w:rsid w:val="691C471F"/>
    <w:rsid w:val="69263F4E"/>
    <w:rsid w:val="692BCA2F"/>
    <w:rsid w:val="693213D9"/>
    <w:rsid w:val="693E5D6A"/>
    <w:rsid w:val="693F7D8B"/>
    <w:rsid w:val="69402CD1"/>
    <w:rsid w:val="694B6F65"/>
    <w:rsid w:val="695FCC9B"/>
    <w:rsid w:val="696A8BDE"/>
    <w:rsid w:val="697F10C1"/>
    <w:rsid w:val="6984C9A2"/>
    <w:rsid w:val="699C43F9"/>
    <w:rsid w:val="69A08069"/>
    <w:rsid w:val="69AC651D"/>
    <w:rsid w:val="69C68DE4"/>
    <w:rsid w:val="69F104D6"/>
    <w:rsid w:val="69F396BA"/>
    <w:rsid w:val="6A014F41"/>
    <w:rsid w:val="6A0CAC8E"/>
    <w:rsid w:val="6A150451"/>
    <w:rsid w:val="6A1DA3A3"/>
    <w:rsid w:val="6A229950"/>
    <w:rsid w:val="6A307858"/>
    <w:rsid w:val="6A43E13B"/>
    <w:rsid w:val="6A4907A9"/>
    <w:rsid w:val="6A4F2261"/>
    <w:rsid w:val="6A6D519F"/>
    <w:rsid w:val="6A6E2838"/>
    <w:rsid w:val="6A7EC90A"/>
    <w:rsid w:val="6A7F2505"/>
    <w:rsid w:val="6A9BD871"/>
    <w:rsid w:val="6AA95653"/>
    <w:rsid w:val="6AAACEDF"/>
    <w:rsid w:val="6AE0923D"/>
    <w:rsid w:val="6AE24791"/>
    <w:rsid w:val="6B11C15F"/>
    <w:rsid w:val="6B161DA2"/>
    <w:rsid w:val="6B184AF8"/>
    <w:rsid w:val="6B354092"/>
    <w:rsid w:val="6B6C7824"/>
    <w:rsid w:val="6B7529FD"/>
    <w:rsid w:val="6B75431C"/>
    <w:rsid w:val="6B7DD8BA"/>
    <w:rsid w:val="6BC307DB"/>
    <w:rsid w:val="6BD37ADA"/>
    <w:rsid w:val="6BD7519F"/>
    <w:rsid w:val="6BF3523E"/>
    <w:rsid w:val="6BFC5A6F"/>
    <w:rsid w:val="6C032845"/>
    <w:rsid w:val="6C0C7D34"/>
    <w:rsid w:val="6C15FA3A"/>
    <w:rsid w:val="6C3F4566"/>
    <w:rsid w:val="6C43A6DD"/>
    <w:rsid w:val="6C477614"/>
    <w:rsid w:val="6C598505"/>
    <w:rsid w:val="6C6A609F"/>
    <w:rsid w:val="6C8348FD"/>
    <w:rsid w:val="6C99D17E"/>
    <w:rsid w:val="6CB170EC"/>
    <w:rsid w:val="6CB6A5F5"/>
    <w:rsid w:val="6CC3037A"/>
    <w:rsid w:val="6CCFDB97"/>
    <w:rsid w:val="6CD3EC1D"/>
    <w:rsid w:val="6CE62D9B"/>
    <w:rsid w:val="6CFAEED6"/>
    <w:rsid w:val="6D07FA17"/>
    <w:rsid w:val="6D09CBC6"/>
    <w:rsid w:val="6D1B8C43"/>
    <w:rsid w:val="6D1F031B"/>
    <w:rsid w:val="6D4D91D4"/>
    <w:rsid w:val="6D5FCEE3"/>
    <w:rsid w:val="6DA85B52"/>
    <w:rsid w:val="6DB016DB"/>
    <w:rsid w:val="6DB54FC3"/>
    <w:rsid w:val="6DB5DE99"/>
    <w:rsid w:val="6DDD69EC"/>
    <w:rsid w:val="6DF48014"/>
    <w:rsid w:val="6DF72E3C"/>
    <w:rsid w:val="6DFFD83E"/>
    <w:rsid w:val="6E111210"/>
    <w:rsid w:val="6E133884"/>
    <w:rsid w:val="6E1464B2"/>
    <w:rsid w:val="6E152529"/>
    <w:rsid w:val="6E1B08AC"/>
    <w:rsid w:val="6E20CA8C"/>
    <w:rsid w:val="6E250EC5"/>
    <w:rsid w:val="6E2A445B"/>
    <w:rsid w:val="6E7EDD2A"/>
    <w:rsid w:val="6E894208"/>
    <w:rsid w:val="6E8DA524"/>
    <w:rsid w:val="6E8E244E"/>
    <w:rsid w:val="6E8F2C7C"/>
    <w:rsid w:val="6EA1C90E"/>
    <w:rsid w:val="6EACC8C4"/>
    <w:rsid w:val="6EBA1DFF"/>
    <w:rsid w:val="6EC5B6BA"/>
    <w:rsid w:val="6EE976AC"/>
    <w:rsid w:val="6EEDD62C"/>
    <w:rsid w:val="6F083CFE"/>
    <w:rsid w:val="6F1674FA"/>
    <w:rsid w:val="6F2260EE"/>
    <w:rsid w:val="6F27D5C9"/>
    <w:rsid w:val="6F2D022C"/>
    <w:rsid w:val="6F449F73"/>
    <w:rsid w:val="6F44B9BE"/>
    <w:rsid w:val="6F499923"/>
    <w:rsid w:val="6F64B9C1"/>
    <w:rsid w:val="6F792DCE"/>
    <w:rsid w:val="6F7C7419"/>
    <w:rsid w:val="6F868E53"/>
    <w:rsid w:val="6FD6DA33"/>
    <w:rsid w:val="6FDF134A"/>
    <w:rsid w:val="6FEB49EB"/>
    <w:rsid w:val="7003B207"/>
    <w:rsid w:val="7008FE3B"/>
    <w:rsid w:val="700D58DE"/>
    <w:rsid w:val="704CF8A3"/>
    <w:rsid w:val="707D7A10"/>
    <w:rsid w:val="707F30A9"/>
    <w:rsid w:val="7080CDBB"/>
    <w:rsid w:val="708B6EB1"/>
    <w:rsid w:val="7094CA16"/>
    <w:rsid w:val="709885FF"/>
    <w:rsid w:val="7099C30C"/>
    <w:rsid w:val="70A4185A"/>
    <w:rsid w:val="70B00E39"/>
    <w:rsid w:val="70B1493D"/>
    <w:rsid w:val="70D6A2CA"/>
    <w:rsid w:val="70DB0C71"/>
    <w:rsid w:val="70FE7557"/>
    <w:rsid w:val="71065D08"/>
    <w:rsid w:val="7107AFD7"/>
    <w:rsid w:val="7108B56B"/>
    <w:rsid w:val="711546A2"/>
    <w:rsid w:val="7117A47C"/>
    <w:rsid w:val="713BAE66"/>
    <w:rsid w:val="713E6002"/>
    <w:rsid w:val="71470002"/>
    <w:rsid w:val="714737C5"/>
    <w:rsid w:val="714FB89D"/>
    <w:rsid w:val="71536C90"/>
    <w:rsid w:val="7161BAD3"/>
    <w:rsid w:val="71ACE16D"/>
    <w:rsid w:val="71BE6D41"/>
    <w:rsid w:val="71C5F977"/>
    <w:rsid w:val="71CAAD58"/>
    <w:rsid w:val="71DC52E9"/>
    <w:rsid w:val="71E3DE0E"/>
    <w:rsid w:val="720442FF"/>
    <w:rsid w:val="72290A78"/>
    <w:rsid w:val="722FD298"/>
    <w:rsid w:val="723C7082"/>
    <w:rsid w:val="72401351"/>
    <w:rsid w:val="7272DF23"/>
    <w:rsid w:val="72835D5B"/>
    <w:rsid w:val="72944FD9"/>
    <w:rsid w:val="729A816E"/>
    <w:rsid w:val="72C4D84C"/>
    <w:rsid w:val="72C8FD06"/>
    <w:rsid w:val="72CFA649"/>
    <w:rsid w:val="72D33AEE"/>
    <w:rsid w:val="72D7DEE5"/>
    <w:rsid w:val="72E20D95"/>
    <w:rsid w:val="72F691B9"/>
    <w:rsid w:val="730F2E80"/>
    <w:rsid w:val="7336937F"/>
    <w:rsid w:val="7343BC71"/>
    <w:rsid w:val="734BD2DB"/>
    <w:rsid w:val="735AF20A"/>
    <w:rsid w:val="735D3D54"/>
    <w:rsid w:val="7363AD34"/>
    <w:rsid w:val="7369493B"/>
    <w:rsid w:val="737A705A"/>
    <w:rsid w:val="738CF6D3"/>
    <w:rsid w:val="73A052D7"/>
    <w:rsid w:val="73A7441F"/>
    <w:rsid w:val="73BA66C5"/>
    <w:rsid w:val="73D98E09"/>
    <w:rsid w:val="73EBB1A4"/>
    <w:rsid w:val="73EC7EA5"/>
    <w:rsid w:val="73F59A96"/>
    <w:rsid w:val="7412621C"/>
    <w:rsid w:val="742385EE"/>
    <w:rsid w:val="744E679D"/>
    <w:rsid w:val="7452F0ED"/>
    <w:rsid w:val="745B39DE"/>
    <w:rsid w:val="746E1624"/>
    <w:rsid w:val="746FCFEA"/>
    <w:rsid w:val="7478B673"/>
    <w:rsid w:val="7485BA22"/>
    <w:rsid w:val="74872E86"/>
    <w:rsid w:val="748BB94E"/>
    <w:rsid w:val="74A4BF1C"/>
    <w:rsid w:val="74B17277"/>
    <w:rsid w:val="74B29AEC"/>
    <w:rsid w:val="74D7A16B"/>
    <w:rsid w:val="74D821BD"/>
    <w:rsid w:val="74DB51B1"/>
    <w:rsid w:val="74E6DDAB"/>
    <w:rsid w:val="74EFA5C3"/>
    <w:rsid w:val="751B477F"/>
    <w:rsid w:val="751DE315"/>
    <w:rsid w:val="753D69E9"/>
    <w:rsid w:val="756B4D2D"/>
    <w:rsid w:val="7579CB4D"/>
    <w:rsid w:val="7579CF7D"/>
    <w:rsid w:val="758E6CF5"/>
    <w:rsid w:val="759686B5"/>
    <w:rsid w:val="75A12050"/>
    <w:rsid w:val="75A73346"/>
    <w:rsid w:val="75E48735"/>
    <w:rsid w:val="75EC1337"/>
    <w:rsid w:val="75FE707E"/>
    <w:rsid w:val="7609D0D8"/>
    <w:rsid w:val="76115CFA"/>
    <w:rsid w:val="761494B4"/>
    <w:rsid w:val="761BD05F"/>
    <w:rsid w:val="7626983E"/>
    <w:rsid w:val="763A02CD"/>
    <w:rsid w:val="763CA962"/>
    <w:rsid w:val="764A7969"/>
    <w:rsid w:val="76506D2A"/>
    <w:rsid w:val="7668296A"/>
    <w:rsid w:val="766C1E54"/>
    <w:rsid w:val="7679B94B"/>
    <w:rsid w:val="767B411F"/>
    <w:rsid w:val="767BDE89"/>
    <w:rsid w:val="768178D0"/>
    <w:rsid w:val="7689E66F"/>
    <w:rsid w:val="768BBACC"/>
    <w:rsid w:val="7693090C"/>
    <w:rsid w:val="76A3DCA1"/>
    <w:rsid w:val="76A7E151"/>
    <w:rsid w:val="76B20FE0"/>
    <w:rsid w:val="76BE3BFA"/>
    <w:rsid w:val="76C1D1EA"/>
    <w:rsid w:val="76C89352"/>
    <w:rsid w:val="76DB9BE0"/>
    <w:rsid w:val="76DE836F"/>
    <w:rsid w:val="76EF967C"/>
    <w:rsid w:val="76F10666"/>
    <w:rsid w:val="76F44BBA"/>
    <w:rsid w:val="76FAC237"/>
    <w:rsid w:val="770A0F65"/>
    <w:rsid w:val="77127588"/>
    <w:rsid w:val="77149DF7"/>
    <w:rsid w:val="7725A41A"/>
    <w:rsid w:val="77395838"/>
    <w:rsid w:val="77666B49"/>
    <w:rsid w:val="776A5ED6"/>
    <w:rsid w:val="77777E43"/>
    <w:rsid w:val="7779BC02"/>
    <w:rsid w:val="77811D70"/>
    <w:rsid w:val="77854FBF"/>
    <w:rsid w:val="779B1E77"/>
    <w:rsid w:val="77A6B0FE"/>
    <w:rsid w:val="77AFEB16"/>
    <w:rsid w:val="77B1E4E0"/>
    <w:rsid w:val="77B5AF2B"/>
    <w:rsid w:val="77BE308A"/>
    <w:rsid w:val="77DFEE03"/>
    <w:rsid w:val="77E38C0F"/>
    <w:rsid w:val="77E41C2E"/>
    <w:rsid w:val="77E8A848"/>
    <w:rsid w:val="77F89D2A"/>
    <w:rsid w:val="77FAFBB7"/>
    <w:rsid w:val="77FE6472"/>
    <w:rsid w:val="780331FB"/>
    <w:rsid w:val="7808B1D1"/>
    <w:rsid w:val="780FF54B"/>
    <w:rsid w:val="781D9F30"/>
    <w:rsid w:val="7822A860"/>
    <w:rsid w:val="782E76BA"/>
    <w:rsid w:val="78596739"/>
    <w:rsid w:val="787F05D7"/>
    <w:rsid w:val="78840169"/>
    <w:rsid w:val="78A481ED"/>
    <w:rsid w:val="78AB14A5"/>
    <w:rsid w:val="78B0F433"/>
    <w:rsid w:val="78B74041"/>
    <w:rsid w:val="78C310AF"/>
    <w:rsid w:val="78C77F9C"/>
    <w:rsid w:val="78CC595A"/>
    <w:rsid w:val="78CC7145"/>
    <w:rsid w:val="78D11452"/>
    <w:rsid w:val="78DC28B0"/>
    <w:rsid w:val="78E084E7"/>
    <w:rsid w:val="78E68054"/>
    <w:rsid w:val="78E9BEB5"/>
    <w:rsid w:val="78EC6D61"/>
    <w:rsid w:val="790164BB"/>
    <w:rsid w:val="790174D6"/>
    <w:rsid w:val="7902B3EA"/>
    <w:rsid w:val="79065C2A"/>
    <w:rsid w:val="792C5F76"/>
    <w:rsid w:val="7954F41E"/>
    <w:rsid w:val="798BEAE6"/>
    <w:rsid w:val="79947099"/>
    <w:rsid w:val="799678C8"/>
    <w:rsid w:val="7997C882"/>
    <w:rsid w:val="79ADBAA8"/>
    <w:rsid w:val="79C238A8"/>
    <w:rsid w:val="79E14236"/>
    <w:rsid w:val="79E365FD"/>
    <w:rsid w:val="79EA348C"/>
    <w:rsid w:val="7A0292FF"/>
    <w:rsid w:val="7A19C0B2"/>
    <w:rsid w:val="7A295367"/>
    <w:rsid w:val="7A45A646"/>
    <w:rsid w:val="7A5A6390"/>
    <w:rsid w:val="7A6CCB2D"/>
    <w:rsid w:val="7A75CF7E"/>
    <w:rsid w:val="7A898CBA"/>
    <w:rsid w:val="7A8C972C"/>
    <w:rsid w:val="7A8EECAB"/>
    <w:rsid w:val="7AAB2671"/>
    <w:rsid w:val="7ABD6165"/>
    <w:rsid w:val="7AD1A9EB"/>
    <w:rsid w:val="7AD3039B"/>
    <w:rsid w:val="7AE42DA7"/>
    <w:rsid w:val="7AF170D3"/>
    <w:rsid w:val="7B089B9F"/>
    <w:rsid w:val="7B0F3614"/>
    <w:rsid w:val="7B0F48A2"/>
    <w:rsid w:val="7B3C0C09"/>
    <w:rsid w:val="7B3CAB5F"/>
    <w:rsid w:val="7B3D8536"/>
    <w:rsid w:val="7B522A11"/>
    <w:rsid w:val="7B61982E"/>
    <w:rsid w:val="7B71C237"/>
    <w:rsid w:val="7B7AC031"/>
    <w:rsid w:val="7B8922EA"/>
    <w:rsid w:val="7BA02ECC"/>
    <w:rsid w:val="7BA6F16F"/>
    <w:rsid w:val="7BAF206E"/>
    <w:rsid w:val="7BC972A8"/>
    <w:rsid w:val="7BD9D961"/>
    <w:rsid w:val="7C1D569E"/>
    <w:rsid w:val="7C2C93E3"/>
    <w:rsid w:val="7C392646"/>
    <w:rsid w:val="7C5C776A"/>
    <w:rsid w:val="7C5FF654"/>
    <w:rsid w:val="7C6833B4"/>
    <w:rsid w:val="7C6FFB5C"/>
    <w:rsid w:val="7C7CE3B6"/>
    <w:rsid w:val="7C7E6BBE"/>
    <w:rsid w:val="7C90886A"/>
    <w:rsid w:val="7C91A688"/>
    <w:rsid w:val="7C9C3811"/>
    <w:rsid w:val="7CB20411"/>
    <w:rsid w:val="7CBE1EB6"/>
    <w:rsid w:val="7CD4B727"/>
    <w:rsid w:val="7CDBD871"/>
    <w:rsid w:val="7CE24241"/>
    <w:rsid w:val="7CE91596"/>
    <w:rsid w:val="7CEFC850"/>
    <w:rsid w:val="7CFEAF0A"/>
    <w:rsid w:val="7CFF0834"/>
    <w:rsid w:val="7D0182D4"/>
    <w:rsid w:val="7D232D2C"/>
    <w:rsid w:val="7D44A85D"/>
    <w:rsid w:val="7D4BB6AA"/>
    <w:rsid w:val="7D51641B"/>
    <w:rsid w:val="7D570E22"/>
    <w:rsid w:val="7D72D2C2"/>
    <w:rsid w:val="7D998578"/>
    <w:rsid w:val="7DA00071"/>
    <w:rsid w:val="7DAA8885"/>
    <w:rsid w:val="7DAE961A"/>
    <w:rsid w:val="7DBBC39E"/>
    <w:rsid w:val="7DBD3D37"/>
    <w:rsid w:val="7DC3D42A"/>
    <w:rsid w:val="7DDA968F"/>
    <w:rsid w:val="7DE393F6"/>
    <w:rsid w:val="7DE671B0"/>
    <w:rsid w:val="7DE7583F"/>
    <w:rsid w:val="7DE8C293"/>
    <w:rsid w:val="7DFB01E1"/>
    <w:rsid w:val="7E053C40"/>
    <w:rsid w:val="7E0FBC45"/>
    <w:rsid w:val="7E1BAFFE"/>
    <w:rsid w:val="7E23EBE2"/>
    <w:rsid w:val="7E2A50A6"/>
    <w:rsid w:val="7E324D78"/>
    <w:rsid w:val="7E36333C"/>
    <w:rsid w:val="7E3987AC"/>
    <w:rsid w:val="7E49DDD0"/>
    <w:rsid w:val="7E4D8BC6"/>
    <w:rsid w:val="7E5013E3"/>
    <w:rsid w:val="7E501AE4"/>
    <w:rsid w:val="7E52D6B0"/>
    <w:rsid w:val="7E5B21AF"/>
    <w:rsid w:val="7E66008A"/>
    <w:rsid w:val="7E68378A"/>
    <w:rsid w:val="7E6EC608"/>
    <w:rsid w:val="7E73DB05"/>
    <w:rsid w:val="7E75B237"/>
    <w:rsid w:val="7E7E8473"/>
    <w:rsid w:val="7E8F0614"/>
    <w:rsid w:val="7E902CB0"/>
    <w:rsid w:val="7EB2DCBC"/>
    <w:rsid w:val="7EBFE845"/>
    <w:rsid w:val="7EC9F5CE"/>
    <w:rsid w:val="7ECD26F1"/>
    <w:rsid w:val="7EEE05C7"/>
    <w:rsid w:val="7EF1EE2B"/>
    <w:rsid w:val="7F0186C0"/>
    <w:rsid w:val="7F1ED346"/>
    <w:rsid w:val="7F230D8A"/>
    <w:rsid w:val="7F275C2D"/>
    <w:rsid w:val="7F49B733"/>
    <w:rsid w:val="7F4A9179"/>
    <w:rsid w:val="7F5C0A3C"/>
    <w:rsid w:val="7F6650C0"/>
    <w:rsid w:val="7F665F93"/>
    <w:rsid w:val="7F7F4D2B"/>
    <w:rsid w:val="7F854EAF"/>
    <w:rsid w:val="7F88509F"/>
    <w:rsid w:val="7F8987C9"/>
    <w:rsid w:val="7FBBC659"/>
    <w:rsid w:val="7FC9CFA6"/>
    <w:rsid w:val="7FCB163B"/>
    <w:rsid w:val="7FD920ED"/>
    <w:rsid w:val="7FDBCD2B"/>
    <w:rsid w:val="7FDFD8F9"/>
    <w:rsid w:val="7FE0548E"/>
    <w:rsid w:val="7FEBF7F7"/>
    <w:rsid w:val="7FF2A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76A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730"/>
    <w:pPr>
      <w:spacing w:after="0" w:line="240" w:lineRule="auto"/>
    </w:pPr>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AD1A9EB"/>
    <w:pPr>
      <w:ind w:left="720"/>
      <w:contextualSpacing/>
    </w:pPr>
  </w:style>
  <w:style w:type="paragraph" w:customStyle="1" w:styleId="Headers">
    <w:name w:val="Headers"/>
    <w:basedOn w:val="Normal"/>
    <w:link w:val="HeadersChar"/>
    <w:uiPriority w:val="1"/>
    <w:qFormat/>
    <w:rsid w:val="2F3C876C"/>
    <w:rPr>
      <w:b/>
      <w:bCs/>
    </w:rPr>
  </w:style>
  <w:style w:type="character" w:customStyle="1" w:styleId="HeadersChar">
    <w:name w:val="Headers Char"/>
    <w:basedOn w:val="DefaultParagraphFont"/>
    <w:link w:val="Headers"/>
    <w:rsid w:val="2F3C876C"/>
    <w:rPr>
      <w:rFonts w:asciiTheme="minorHAnsi" w:eastAsiaTheme="minorEastAsia" w:hAnsiTheme="minorHAnsi" w:cstheme="minorBidi"/>
      <w:b/>
      <w:bCs/>
      <w:sz w:val="24"/>
      <w:szCs w:val="24"/>
    </w:rPr>
  </w:style>
  <w:style w:type="character" w:styleId="Hyperlink">
    <w:name w:val="Hyperlink"/>
    <w:basedOn w:val="DefaultParagraphFont"/>
    <w:uiPriority w:val="99"/>
    <w:unhideWhenUsed/>
    <w:rsid w:val="0442FCB0"/>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C5514"/>
    <w:rPr>
      <w:sz w:val="16"/>
      <w:szCs w:val="16"/>
    </w:rPr>
  </w:style>
  <w:style w:type="paragraph" w:styleId="CommentText">
    <w:name w:val="annotation text"/>
    <w:basedOn w:val="Normal"/>
    <w:link w:val="CommentTextChar"/>
    <w:uiPriority w:val="99"/>
    <w:semiHidden/>
    <w:unhideWhenUsed/>
    <w:rsid w:val="006C5514"/>
    <w:rPr>
      <w:sz w:val="20"/>
      <w:szCs w:val="20"/>
    </w:rPr>
  </w:style>
  <w:style w:type="character" w:customStyle="1" w:styleId="CommentTextChar">
    <w:name w:val="Comment Text Char"/>
    <w:basedOn w:val="DefaultParagraphFont"/>
    <w:link w:val="CommentText"/>
    <w:uiPriority w:val="99"/>
    <w:semiHidden/>
    <w:rsid w:val="006C5514"/>
    <w:rPr>
      <w:sz w:val="20"/>
      <w:szCs w:val="20"/>
    </w:rPr>
  </w:style>
  <w:style w:type="paragraph" w:styleId="CommentSubject">
    <w:name w:val="annotation subject"/>
    <w:basedOn w:val="CommentText"/>
    <w:next w:val="CommentText"/>
    <w:link w:val="CommentSubjectChar"/>
    <w:uiPriority w:val="99"/>
    <w:semiHidden/>
    <w:unhideWhenUsed/>
    <w:rsid w:val="006C5514"/>
    <w:rPr>
      <w:b/>
      <w:bCs/>
    </w:rPr>
  </w:style>
  <w:style w:type="character" w:customStyle="1" w:styleId="CommentSubjectChar">
    <w:name w:val="Comment Subject Char"/>
    <w:basedOn w:val="CommentTextChar"/>
    <w:link w:val="CommentSubject"/>
    <w:uiPriority w:val="99"/>
    <w:semiHidden/>
    <w:rsid w:val="006C5514"/>
    <w:rPr>
      <w:b/>
      <w:bCs/>
      <w:sz w:val="20"/>
      <w:szCs w:val="20"/>
    </w:rPr>
  </w:style>
  <w:style w:type="paragraph" w:styleId="NormalWeb">
    <w:name w:val="Normal (Web)"/>
    <w:basedOn w:val="Normal"/>
    <w:uiPriority w:val="99"/>
    <w:semiHidden/>
    <w:unhideWhenUsed/>
    <w:rsid w:val="002026B7"/>
    <w:pPr>
      <w:spacing w:before="100" w:beforeAutospacing="1" w:after="100" w:afterAutospacing="1"/>
    </w:pPr>
  </w:style>
  <w:style w:type="paragraph" w:styleId="Revision">
    <w:name w:val="Revision"/>
    <w:hidden/>
    <w:uiPriority w:val="99"/>
    <w:semiHidden/>
    <w:rsid w:val="000A1E7F"/>
    <w:pPr>
      <w:spacing w:after="0" w:line="240" w:lineRule="auto"/>
    </w:pPr>
  </w:style>
  <w:style w:type="table" w:styleId="TableGridLight">
    <w:name w:val="Grid Table Light"/>
    <w:basedOn w:val="TableNormal"/>
    <w:uiPriority w:val="40"/>
    <w:rsid w:val="001817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DefaultParagraphFont"/>
    <w:uiPriority w:val="99"/>
    <w:semiHidden/>
    <w:unhideWhenUsed/>
    <w:rsid w:val="00E4308E"/>
    <w:rPr>
      <w:color w:val="605E5C"/>
      <w:shd w:val="clear" w:color="auto" w:fill="E1DFDD"/>
    </w:rPr>
  </w:style>
  <w:style w:type="character" w:customStyle="1" w:styleId="normaltextrun">
    <w:name w:val="normaltextrun"/>
    <w:basedOn w:val="DefaultParagraphFont"/>
    <w:rsid w:val="00E50DD5"/>
  </w:style>
  <w:style w:type="paragraph" w:styleId="FootnoteText">
    <w:name w:val="footnote text"/>
    <w:basedOn w:val="Normal"/>
    <w:link w:val="FootnoteTextChar"/>
    <w:uiPriority w:val="99"/>
    <w:semiHidden/>
    <w:unhideWhenUsed/>
    <w:rsid w:val="003434B8"/>
    <w:rPr>
      <w:sz w:val="20"/>
      <w:szCs w:val="20"/>
    </w:rPr>
  </w:style>
  <w:style w:type="character" w:customStyle="1" w:styleId="FootnoteTextChar">
    <w:name w:val="Footnote Text Char"/>
    <w:basedOn w:val="DefaultParagraphFont"/>
    <w:link w:val="FootnoteText"/>
    <w:uiPriority w:val="99"/>
    <w:semiHidden/>
    <w:rsid w:val="003434B8"/>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3434B8"/>
    <w:rPr>
      <w:vertAlign w:val="superscript"/>
    </w:rPr>
  </w:style>
  <w:style w:type="character" w:styleId="PlaceholderText">
    <w:name w:val="Placeholder Text"/>
    <w:basedOn w:val="DefaultParagraphFont"/>
    <w:uiPriority w:val="99"/>
    <w:semiHidden/>
    <w:rsid w:val="00127BBA"/>
    <w:rPr>
      <w:color w:val="666666"/>
    </w:rPr>
  </w:style>
  <w:style w:type="character" w:styleId="FollowedHyperlink">
    <w:name w:val="FollowedHyperlink"/>
    <w:basedOn w:val="DefaultParagraphFont"/>
    <w:uiPriority w:val="99"/>
    <w:semiHidden/>
    <w:unhideWhenUsed/>
    <w:rsid w:val="002123F2"/>
    <w:rPr>
      <w:color w:val="96607D" w:themeColor="followedHyperlink"/>
      <w:u w:val="single"/>
    </w:rPr>
  </w:style>
  <w:style w:type="paragraph" w:styleId="Header">
    <w:name w:val="header"/>
    <w:basedOn w:val="Normal"/>
    <w:link w:val="HeaderChar"/>
    <w:uiPriority w:val="99"/>
    <w:unhideWhenUsed/>
    <w:rsid w:val="00B957DB"/>
    <w:pPr>
      <w:tabs>
        <w:tab w:val="center" w:pos="4513"/>
        <w:tab w:val="right" w:pos="9026"/>
      </w:tabs>
    </w:pPr>
  </w:style>
  <w:style w:type="character" w:customStyle="1" w:styleId="HeaderChar">
    <w:name w:val="Header Char"/>
    <w:basedOn w:val="DefaultParagraphFont"/>
    <w:link w:val="Header"/>
    <w:uiPriority w:val="99"/>
    <w:rsid w:val="00B957DB"/>
    <w:rPr>
      <w:rFonts w:ascii="Times New Roman" w:eastAsia="Times New Roman" w:hAnsi="Times New Roman" w:cs="Times New Roman"/>
      <w:lang w:val="en-GB" w:eastAsia="en-GB"/>
    </w:rPr>
  </w:style>
  <w:style w:type="paragraph" w:styleId="Footer">
    <w:name w:val="footer"/>
    <w:basedOn w:val="Normal"/>
    <w:link w:val="FooterChar"/>
    <w:uiPriority w:val="99"/>
    <w:unhideWhenUsed/>
    <w:rsid w:val="00B957DB"/>
    <w:pPr>
      <w:tabs>
        <w:tab w:val="center" w:pos="4513"/>
        <w:tab w:val="right" w:pos="9026"/>
      </w:tabs>
    </w:pPr>
  </w:style>
  <w:style w:type="character" w:customStyle="1" w:styleId="FooterChar">
    <w:name w:val="Footer Char"/>
    <w:basedOn w:val="DefaultParagraphFont"/>
    <w:link w:val="Footer"/>
    <w:uiPriority w:val="99"/>
    <w:rsid w:val="00B957DB"/>
    <w:rPr>
      <w:rFonts w:ascii="Times New Roman" w:eastAsia="Times New Roman" w:hAnsi="Times New Roman" w:cs="Times New Roman"/>
      <w:lang w:val="en-GB" w:eastAsia="en-GB"/>
    </w:rPr>
  </w:style>
  <w:style w:type="character" w:styleId="PageNumber">
    <w:name w:val="page number"/>
    <w:basedOn w:val="DefaultParagraphFont"/>
    <w:uiPriority w:val="99"/>
    <w:semiHidden/>
    <w:unhideWhenUsed/>
    <w:rsid w:val="00B53C14"/>
  </w:style>
  <w:style w:type="character" w:styleId="LineNumber">
    <w:name w:val="line number"/>
    <w:basedOn w:val="DefaultParagraphFont"/>
    <w:uiPriority w:val="99"/>
    <w:semiHidden/>
    <w:unhideWhenUsed/>
    <w:rsid w:val="00B53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353550">
      <w:bodyDiv w:val="1"/>
      <w:marLeft w:val="0"/>
      <w:marRight w:val="0"/>
      <w:marTop w:val="0"/>
      <w:marBottom w:val="0"/>
      <w:divBdr>
        <w:top w:val="none" w:sz="0" w:space="0" w:color="auto"/>
        <w:left w:val="none" w:sz="0" w:space="0" w:color="auto"/>
        <w:bottom w:val="none" w:sz="0" w:space="0" w:color="auto"/>
        <w:right w:val="none" w:sz="0" w:space="0" w:color="auto"/>
      </w:divBdr>
    </w:div>
    <w:div w:id="347874348">
      <w:bodyDiv w:val="1"/>
      <w:marLeft w:val="0"/>
      <w:marRight w:val="0"/>
      <w:marTop w:val="0"/>
      <w:marBottom w:val="0"/>
      <w:divBdr>
        <w:top w:val="none" w:sz="0" w:space="0" w:color="auto"/>
        <w:left w:val="none" w:sz="0" w:space="0" w:color="auto"/>
        <w:bottom w:val="none" w:sz="0" w:space="0" w:color="auto"/>
        <w:right w:val="none" w:sz="0" w:space="0" w:color="auto"/>
      </w:divBdr>
      <w:divsChild>
        <w:div w:id="1058478062">
          <w:marLeft w:val="0"/>
          <w:marRight w:val="0"/>
          <w:marTop w:val="0"/>
          <w:marBottom w:val="0"/>
          <w:divBdr>
            <w:top w:val="none" w:sz="0" w:space="0" w:color="auto"/>
            <w:left w:val="none" w:sz="0" w:space="0" w:color="auto"/>
            <w:bottom w:val="none" w:sz="0" w:space="0" w:color="auto"/>
            <w:right w:val="none" w:sz="0" w:space="0" w:color="auto"/>
          </w:divBdr>
        </w:div>
      </w:divsChild>
    </w:div>
    <w:div w:id="506018197">
      <w:bodyDiv w:val="1"/>
      <w:marLeft w:val="0"/>
      <w:marRight w:val="0"/>
      <w:marTop w:val="0"/>
      <w:marBottom w:val="0"/>
      <w:divBdr>
        <w:top w:val="none" w:sz="0" w:space="0" w:color="auto"/>
        <w:left w:val="none" w:sz="0" w:space="0" w:color="auto"/>
        <w:bottom w:val="none" w:sz="0" w:space="0" w:color="auto"/>
        <w:right w:val="none" w:sz="0" w:space="0" w:color="auto"/>
      </w:divBdr>
    </w:div>
    <w:div w:id="538279223">
      <w:bodyDiv w:val="1"/>
      <w:marLeft w:val="0"/>
      <w:marRight w:val="0"/>
      <w:marTop w:val="0"/>
      <w:marBottom w:val="0"/>
      <w:divBdr>
        <w:top w:val="none" w:sz="0" w:space="0" w:color="auto"/>
        <w:left w:val="none" w:sz="0" w:space="0" w:color="auto"/>
        <w:bottom w:val="none" w:sz="0" w:space="0" w:color="auto"/>
        <w:right w:val="none" w:sz="0" w:space="0" w:color="auto"/>
      </w:divBdr>
    </w:div>
    <w:div w:id="544216127">
      <w:bodyDiv w:val="1"/>
      <w:marLeft w:val="0"/>
      <w:marRight w:val="0"/>
      <w:marTop w:val="0"/>
      <w:marBottom w:val="0"/>
      <w:divBdr>
        <w:top w:val="none" w:sz="0" w:space="0" w:color="auto"/>
        <w:left w:val="none" w:sz="0" w:space="0" w:color="auto"/>
        <w:bottom w:val="none" w:sz="0" w:space="0" w:color="auto"/>
        <w:right w:val="none" w:sz="0" w:space="0" w:color="auto"/>
      </w:divBdr>
    </w:div>
    <w:div w:id="568030980">
      <w:bodyDiv w:val="1"/>
      <w:marLeft w:val="0"/>
      <w:marRight w:val="0"/>
      <w:marTop w:val="0"/>
      <w:marBottom w:val="0"/>
      <w:divBdr>
        <w:top w:val="none" w:sz="0" w:space="0" w:color="auto"/>
        <w:left w:val="none" w:sz="0" w:space="0" w:color="auto"/>
        <w:bottom w:val="none" w:sz="0" w:space="0" w:color="auto"/>
        <w:right w:val="none" w:sz="0" w:space="0" w:color="auto"/>
      </w:divBdr>
    </w:div>
    <w:div w:id="656694297">
      <w:bodyDiv w:val="1"/>
      <w:marLeft w:val="0"/>
      <w:marRight w:val="0"/>
      <w:marTop w:val="0"/>
      <w:marBottom w:val="0"/>
      <w:divBdr>
        <w:top w:val="none" w:sz="0" w:space="0" w:color="auto"/>
        <w:left w:val="none" w:sz="0" w:space="0" w:color="auto"/>
        <w:bottom w:val="none" w:sz="0" w:space="0" w:color="auto"/>
        <w:right w:val="none" w:sz="0" w:space="0" w:color="auto"/>
      </w:divBdr>
    </w:div>
    <w:div w:id="997921304">
      <w:bodyDiv w:val="1"/>
      <w:marLeft w:val="0"/>
      <w:marRight w:val="0"/>
      <w:marTop w:val="0"/>
      <w:marBottom w:val="0"/>
      <w:divBdr>
        <w:top w:val="none" w:sz="0" w:space="0" w:color="auto"/>
        <w:left w:val="none" w:sz="0" w:space="0" w:color="auto"/>
        <w:bottom w:val="none" w:sz="0" w:space="0" w:color="auto"/>
        <w:right w:val="none" w:sz="0" w:space="0" w:color="auto"/>
      </w:divBdr>
      <w:divsChild>
        <w:div w:id="1777944312">
          <w:marLeft w:val="0"/>
          <w:marRight w:val="0"/>
          <w:marTop w:val="0"/>
          <w:marBottom w:val="0"/>
          <w:divBdr>
            <w:top w:val="none" w:sz="0" w:space="0" w:color="auto"/>
            <w:left w:val="none" w:sz="0" w:space="0" w:color="auto"/>
            <w:bottom w:val="none" w:sz="0" w:space="0" w:color="auto"/>
            <w:right w:val="none" w:sz="0" w:space="0" w:color="auto"/>
          </w:divBdr>
          <w:divsChild>
            <w:div w:id="1317682136">
              <w:marLeft w:val="0"/>
              <w:marRight w:val="0"/>
              <w:marTop w:val="0"/>
              <w:marBottom w:val="0"/>
              <w:divBdr>
                <w:top w:val="none" w:sz="0" w:space="0" w:color="auto"/>
                <w:left w:val="none" w:sz="0" w:space="0" w:color="auto"/>
                <w:bottom w:val="none" w:sz="0" w:space="0" w:color="auto"/>
                <w:right w:val="none" w:sz="0" w:space="0" w:color="auto"/>
              </w:divBdr>
              <w:divsChild>
                <w:div w:id="29730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100609">
      <w:bodyDiv w:val="1"/>
      <w:marLeft w:val="0"/>
      <w:marRight w:val="0"/>
      <w:marTop w:val="0"/>
      <w:marBottom w:val="0"/>
      <w:divBdr>
        <w:top w:val="none" w:sz="0" w:space="0" w:color="auto"/>
        <w:left w:val="none" w:sz="0" w:space="0" w:color="auto"/>
        <w:bottom w:val="none" w:sz="0" w:space="0" w:color="auto"/>
        <w:right w:val="none" w:sz="0" w:space="0" w:color="auto"/>
      </w:divBdr>
    </w:div>
    <w:div w:id="1182432700">
      <w:bodyDiv w:val="1"/>
      <w:marLeft w:val="0"/>
      <w:marRight w:val="0"/>
      <w:marTop w:val="0"/>
      <w:marBottom w:val="0"/>
      <w:divBdr>
        <w:top w:val="none" w:sz="0" w:space="0" w:color="auto"/>
        <w:left w:val="none" w:sz="0" w:space="0" w:color="auto"/>
        <w:bottom w:val="none" w:sz="0" w:space="0" w:color="auto"/>
        <w:right w:val="none" w:sz="0" w:space="0" w:color="auto"/>
      </w:divBdr>
      <w:divsChild>
        <w:div w:id="1320039560">
          <w:marLeft w:val="0"/>
          <w:marRight w:val="0"/>
          <w:marTop w:val="0"/>
          <w:marBottom w:val="0"/>
          <w:divBdr>
            <w:top w:val="none" w:sz="0" w:space="0" w:color="auto"/>
            <w:left w:val="none" w:sz="0" w:space="0" w:color="auto"/>
            <w:bottom w:val="none" w:sz="0" w:space="0" w:color="auto"/>
            <w:right w:val="none" w:sz="0" w:space="0" w:color="auto"/>
          </w:divBdr>
        </w:div>
        <w:div w:id="1445467156">
          <w:marLeft w:val="0"/>
          <w:marRight w:val="0"/>
          <w:marTop w:val="0"/>
          <w:marBottom w:val="0"/>
          <w:divBdr>
            <w:top w:val="none" w:sz="0" w:space="0" w:color="auto"/>
            <w:left w:val="none" w:sz="0" w:space="0" w:color="auto"/>
            <w:bottom w:val="none" w:sz="0" w:space="0" w:color="auto"/>
            <w:right w:val="none" w:sz="0" w:space="0" w:color="auto"/>
          </w:divBdr>
        </w:div>
        <w:div w:id="1640724293">
          <w:marLeft w:val="0"/>
          <w:marRight w:val="0"/>
          <w:marTop w:val="0"/>
          <w:marBottom w:val="0"/>
          <w:divBdr>
            <w:top w:val="none" w:sz="0" w:space="0" w:color="auto"/>
            <w:left w:val="none" w:sz="0" w:space="0" w:color="auto"/>
            <w:bottom w:val="none" w:sz="0" w:space="0" w:color="auto"/>
            <w:right w:val="none" w:sz="0" w:space="0" w:color="auto"/>
          </w:divBdr>
        </w:div>
      </w:divsChild>
    </w:div>
    <w:div w:id="1286503775">
      <w:bodyDiv w:val="1"/>
      <w:marLeft w:val="0"/>
      <w:marRight w:val="0"/>
      <w:marTop w:val="0"/>
      <w:marBottom w:val="0"/>
      <w:divBdr>
        <w:top w:val="none" w:sz="0" w:space="0" w:color="auto"/>
        <w:left w:val="none" w:sz="0" w:space="0" w:color="auto"/>
        <w:bottom w:val="none" w:sz="0" w:space="0" w:color="auto"/>
        <w:right w:val="none" w:sz="0" w:space="0" w:color="auto"/>
      </w:divBdr>
    </w:div>
    <w:div w:id="1410931890">
      <w:bodyDiv w:val="1"/>
      <w:marLeft w:val="0"/>
      <w:marRight w:val="0"/>
      <w:marTop w:val="0"/>
      <w:marBottom w:val="0"/>
      <w:divBdr>
        <w:top w:val="none" w:sz="0" w:space="0" w:color="auto"/>
        <w:left w:val="none" w:sz="0" w:space="0" w:color="auto"/>
        <w:bottom w:val="none" w:sz="0" w:space="0" w:color="auto"/>
        <w:right w:val="none" w:sz="0" w:space="0" w:color="auto"/>
      </w:divBdr>
    </w:div>
    <w:div w:id="1870095676">
      <w:bodyDiv w:val="1"/>
      <w:marLeft w:val="0"/>
      <w:marRight w:val="0"/>
      <w:marTop w:val="0"/>
      <w:marBottom w:val="0"/>
      <w:divBdr>
        <w:top w:val="none" w:sz="0" w:space="0" w:color="auto"/>
        <w:left w:val="none" w:sz="0" w:space="0" w:color="auto"/>
        <w:bottom w:val="none" w:sz="0" w:space="0" w:color="auto"/>
        <w:right w:val="none" w:sz="0" w:space="0" w:color="auto"/>
      </w:divBdr>
      <w:divsChild>
        <w:div w:id="381906327">
          <w:marLeft w:val="0"/>
          <w:marRight w:val="0"/>
          <w:marTop w:val="0"/>
          <w:marBottom w:val="0"/>
          <w:divBdr>
            <w:top w:val="none" w:sz="0" w:space="0" w:color="auto"/>
            <w:left w:val="none" w:sz="0" w:space="0" w:color="auto"/>
            <w:bottom w:val="none" w:sz="0" w:space="0" w:color="auto"/>
            <w:right w:val="none" w:sz="0" w:space="0" w:color="auto"/>
          </w:divBdr>
        </w:div>
      </w:divsChild>
    </w:div>
    <w:div w:id="1892842728">
      <w:bodyDiv w:val="1"/>
      <w:marLeft w:val="0"/>
      <w:marRight w:val="0"/>
      <w:marTop w:val="0"/>
      <w:marBottom w:val="0"/>
      <w:divBdr>
        <w:top w:val="none" w:sz="0" w:space="0" w:color="auto"/>
        <w:left w:val="none" w:sz="0" w:space="0" w:color="auto"/>
        <w:bottom w:val="none" w:sz="0" w:space="0" w:color="auto"/>
        <w:right w:val="none" w:sz="0" w:space="0" w:color="auto"/>
      </w:divBdr>
    </w:div>
    <w:div w:id="1946574160">
      <w:bodyDiv w:val="1"/>
      <w:marLeft w:val="0"/>
      <w:marRight w:val="0"/>
      <w:marTop w:val="0"/>
      <w:marBottom w:val="0"/>
      <w:divBdr>
        <w:top w:val="none" w:sz="0" w:space="0" w:color="auto"/>
        <w:left w:val="none" w:sz="0" w:space="0" w:color="auto"/>
        <w:bottom w:val="none" w:sz="0" w:space="0" w:color="auto"/>
        <w:right w:val="none" w:sz="0" w:space="0" w:color="auto"/>
      </w:divBdr>
      <w:divsChild>
        <w:div w:id="554435250">
          <w:marLeft w:val="0"/>
          <w:marRight w:val="0"/>
          <w:marTop w:val="0"/>
          <w:marBottom w:val="0"/>
          <w:divBdr>
            <w:top w:val="none" w:sz="0" w:space="0" w:color="auto"/>
            <w:left w:val="none" w:sz="0" w:space="0" w:color="auto"/>
            <w:bottom w:val="none" w:sz="0" w:space="0" w:color="auto"/>
            <w:right w:val="none" w:sz="0" w:space="0" w:color="auto"/>
          </w:divBdr>
          <w:divsChild>
            <w:div w:id="159195045">
              <w:marLeft w:val="0"/>
              <w:marRight w:val="0"/>
              <w:marTop w:val="0"/>
              <w:marBottom w:val="0"/>
              <w:divBdr>
                <w:top w:val="none" w:sz="0" w:space="0" w:color="auto"/>
                <w:left w:val="none" w:sz="0" w:space="0" w:color="auto"/>
                <w:bottom w:val="none" w:sz="0" w:space="0" w:color="auto"/>
                <w:right w:val="none" w:sz="0" w:space="0" w:color="auto"/>
              </w:divBdr>
              <w:divsChild>
                <w:div w:id="183934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44571">
          <w:marLeft w:val="0"/>
          <w:marRight w:val="0"/>
          <w:marTop w:val="0"/>
          <w:marBottom w:val="0"/>
          <w:divBdr>
            <w:top w:val="none" w:sz="0" w:space="0" w:color="auto"/>
            <w:left w:val="none" w:sz="0" w:space="0" w:color="auto"/>
            <w:bottom w:val="none" w:sz="0" w:space="0" w:color="auto"/>
            <w:right w:val="none" w:sz="0" w:space="0" w:color="auto"/>
          </w:divBdr>
          <w:divsChild>
            <w:div w:id="288437308">
              <w:marLeft w:val="0"/>
              <w:marRight w:val="0"/>
              <w:marTop w:val="0"/>
              <w:marBottom w:val="0"/>
              <w:divBdr>
                <w:top w:val="none" w:sz="0" w:space="0" w:color="auto"/>
                <w:left w:val="none" w:sz="0" w:space="0" w:color="auto"/>
                <w:bottom w:val="none" w:sz="0" w:space="0" w:color="auto"/>
                <w:right w:val="none" w:sz="0" w:space="0" w:color="auto"/>
              </w:divBdr>
              <w:divsChild>
                <w:div w:id="1044064446">
                  <w:marLeft w:val="0"/>
                  <w:marRight w:val="0"/>
                  <w:marTop w:val="0"/>
                  <w:marBottom w:val="0"/>
                  <w:divBdr>
                    <w:top w:val="none" w:sz="0" w:space="0" w:color="auto"/>
                    <w:left w:val="none" w:sz="0" w:space="0" w:color="auto"/>
                    <w:bottom w:val="none" w:sz="0" w:space="0" w:color="auto"/>
                    <w:right w:val="none" w:sz="0" w:space="0" w:color="auto"/>
                  </w:divBdr>
                </w:div>
              </w:divsChild>
            </w:div>
            <w:div w:id="939989569">
              <w:marLeft w:val="0"/>
              <w:marRight w:val="0"/>
              <w:marTop w:val="0"/>
              <w:marBottom w:val="0"/>
              <w:divBdr>
                <w:top w:val="none" w:sz="0" w:space="0" w:color="auto"/>
                <w:left w:val="none" w:sz="0" w:space="0" w:color="auto"/>
                <w:bottom w:val="none" w:sz="0" w:space="0" w:color="auto"/>
                <w:right w:val="none" w:sz="0" w:space="0" w:color="auto"/>
              </w:divBdr>
              <w:divsChild>
                <w:div w:id="197787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626715">
      <w:bodyDiv w:val="1"/>
      <w:marLeft w:val="0"/>
      <w:marRight w:val="0"/>
      <w:marTop w:val="0"/>
      <w:marBottom w:val="0"/>
      <w:divBdr>
        <w:top w:val="none" w:sz="0" w:space="0" w:color="auto"/>
        <w:left w:val="none" w:sz="0" w:space="0" w:color="auto"/>
        <w:bottom w:val="none" w:sz="0" w:space="0" w:color="auto"/>
        <w:right w:val="none" w:sz="0" w:space="0" w:color="auto"/>
      </w:divBdr>
      <w:divsChild>
        <w:div w:id="150870436">
          <w:marLeft w:val="0"/>
          <w:marRight w:val="0"/>
          <w:marTop w:val="0"/>
          <w:marBottom w:val="0"/>
          <w:divBdr>
            <w:top w:val="none" w:sz="0" w:space="0" w:color="auto"/>
            <w:left w:val="none" w:sz="0" w:space="0" w:color="auto"/>
            <w:bottom w:val="none" w:sz="0" w:space="0" w:color="auto"/>
            <w:right w:val="none" w:sz="0" w:space="0" w:color="auto"/>
          </w:divBdr>
          <w:divsChild>
            <w:div w:id="593825833">
              <w:marLeft w:val="0"/>
              <w:marRight w:val="0"/>
              <w:marTop w:val="0"/>
              <w:marBottom w:val="0"/>
              <w:divBdr>
                <w:top w:val="none" w:sz="0" w:space="0" w:color="auto"/>
                <w:left w:val="none" w:sz="0" w:space="0" w:color="auto"/>
                <w:bottom w:val="none" w:sz="0" w:space="0" w:color="auto"/>
                <w:right w:val="none" w:sz="0" w:space="0" w:color="auto"/>
              </w:divBdr>
            </w:div>
          </w:divsChild>
        </w:div>
        <w:div w:id="179007814">
          <w:marLeft w:val="0"/>
          <w:marRight w:val="0"/>
          <w:marTop w:val="0"/>
          <w:marBottom w:val="0"/>
          <w:divBdr>
            <w:top w:val="none" w:sz="0" w:space="0" w:color="auto"/>
            <w:left w:val="none" w:sz="0" w:space="0" w:color="auto"/>
            <w:bottom w:val="none" w:sz="0" w:space="0" w:color="auto"/>
            <w:right w:val="none" w:sz="0" w:space="0" w:color="auto"/>
          </w:divBdr>
          <w:divsChild>
            <w:div w:id="1052657936">
              <w:marLeft w:val="0"/>
              <w:marRight w:val="0"/>
              <w:marTop w:val="0"/>
              <w:marBottom w:val="0"/>
              <w:divBdr>
                <w:top w:val="none" w:sz="0" w:space="0" w:color="auto"/>
                <w:left w:val="none" w:sz="0" w:space="0" w:color="auto"/>
                <w:bottom w:val="none" w:sz="0" w:space="0" w:color="auto"/>
                <w:right w:val="none" w:sz="0" w:space="0" w:color="auto"/>
              </w:divBdr>
            </w:div>
          </w:divsChild>
        </w:div>
        <w:div w:id="239172140">
          <w:marLeft w:val="0"/>
          <w:marRight w:val="0"/>
          <w:marTop w:val="0"/>
          <w:marBottom w:val="0"/>
          <w:divBdr>
            <w:top w:val="none" w:sz="0" w:space="0" w:color="auto"/>
            <w:left w:val="none" w:sz="0" w:space="0" w:color="auto"/>
            <w:bottom w:val="none" w:sz="0" w:space="0" w:color="auto"/>
            <w:right w:val="none" w:sz="0" w:space="0" w:color="auto"/>
          </w:divBdr>
          <w:divsChild>
            <w:div w:id="618681667">
              <w:marLeft w:val="0"/>
              <w:marRight w:val="0"/>
              <w:marTop w:val="0"/>
              <w:marBottom w:val="0"/>
              <w:divBdr>
                <w:top w:val="none" w:sz="0" w:space="0" w:color="auto"/>
                <w:left w:val="none" w:sz="0" w:space="0" w:color="auto"/>
                <w:bottom w:val="none" w:sz="0" w:space="0" w:color="auto"/>
                <w:right w:val="none" w:sz="0" w:space="0" w:color="auto"/>
              </w:divBdr>
            </w:div>
          </w:divsChild>
        </w:div>
        <w:div w:id="462772656">
          <w:marLeft w:val="0"/>
          <w:marRight w:val="0"/>
          <w:marTop w:val="0"/>
          <w:marBottom w:val="0"/>
          <w:divBdr>
            <w:top w:val="none" w:sz="0" w:space="0" w:color="auto"/>
            <w:left w:val="none" w:sz="0" w:space="0" w:color="auto"/>
            <w:bottom w:val="none" w:sz="0" w:space="0" w:color="auto"/>
            <w:right w:val="none" w:sz="0" w:space="0" w:color="auto"/>
          </w:divBdr>
          <w:divsChild>
            <w:div w:id="63610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jpeg"/><Relationship Id="rId68" Type="http://schemas.openxmlformats.org/officeDocument/2006/relationships/image" Target="media/image60.png"/><Relationship Id="rId84" Type="http://schemas.openxmlformats.org/officeDocument/2006/relationships/hyperlink" Target="https://doi.org/10.1088/1748-9326/ace06e" TargetMode="External"/><Relationship Id="rId89" Type="http://schemas.openxmlformats.org/officeDocument/2006/relationships/hyperlink" Target="https://doi.org/10.1046/j.1466-822X.2001.00234.x" TargetMode="External"/><Relationship Id="rId112" Type="http://schemas.openxmlformats.org/officeDocument/2006/relationships/footer" Target="footer2.xml"/><Relationship Id="rId16" Type="http://schemas.openxmlformats.org/officeDocument/2006/relationships/image" Target="media/image8.png"/><Relationship Id="rId107" Type="http://schemas.openxmlformats.org/officeDocument/2006/relationships/hyperlink" Target="https://doi.org/10.1126/science.249.4972.1017" TargetMode="External"/><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hyperlink" Target="https://doi.org/10.1007/s00382-012-1446-5" TargetMode="External"/><Relationship Id="rId79" Type="http://schemas.openxmlformats.org/officeDocument/2006/relationships/hyperlink" Target="https://doi.org/10.1890/03-5019" TargetMode="External"/><Relationship Id="rId102" Type="http://schemas.openxmlformats.org/officeDocument/2006/relationships/hyperlink" Target="https://doi.org/10.1111/j.1365-2699.2006.01456.x" TargetMode="External"/><Relationship Id="rId5" Type="http://schemas.openxmlformats.org/officeDocument/2006/relationships/webSettings" Target="webSettings.xml"/><Relationship Id="rId90" Type="http://schemas.openxmlformats.org/officeDocument/2006/relationships/hyperlink" Target="https://doi.org/10.1175/JCLI-D-12-00057.1" TargetMode="External"/><Relationship Id="rId95" Type="http://schemas.openxmlformats.org/officeDocument/2006/relationships/hyperlink" Target="https://doi.org/10.1071/WF12064"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jpeg"/><Relationship Id="rId69" Type="http://schemas.openxmlformats.org/officeDocument/2006/relationships/hyperlink" Target="https://doi.org/10.1111/1365-2745.13308" TargetMode="External"/><Relationship Id="rId113" Type="http://schemas.openxmlformats.org/officeDocument/2006/relationships/fontTable" Target="fontTable.xml"/><Relationship Id="rId80" Type="http://schemas.openxmlformats.org/officeDocument/2006/relationships/hyperlink" Target="https://doi.org/10.1191/0959683602hl570rp" TargetMode="External"/><Relationship Id="rId85" Type="http://schemas.openxmlformats.org/officeDocument/2006/relationships/hyperlink" Target="https://doi.org/10.4996/fireecology.130257453" TargetMode="Externa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emf"/><Relationship Id="rId38" Type="http://schemas.openxmlformats.org/officeDocument/2006/relationships/image" Target="media/image30.png"/><Relationship Id="rId59" Type="http://schemas.openxmlformats.org/officeDocument/2006/relationships/image" Target="media/image51.jpeg"/><Relationship Id="rId103" Type="http://schemas.openxmlformats.org/officeDocument/2006/relationships/hyperlink" Target="https://doi.org/10.1016/0168-1923(85)90001-2" TargetMode="External"/><Relationship Id="rId108" Type="http://schemas.openxmlformats.org/officeDocument/2006/relationships/hyperlink" Target="https://doi.org/10.1175/JCLI-D-22-0293.1" TargetMode="External"/><Relationship Id="rId54" Type="http://schemas.openxmlformats.org/officeDocument/2006/relationships/image" Target="media/image46.jpeg"/><Relationship Id="rId70" Type="http://schemas.openxmlformats.org/officeDocument/2006/relationships/hyperlink" Target="https://doi.org/10.1175/2011JCLI4069.1" TargetMode="External"/><Relationship Id="rId75" Type="http://schemas.openxmlformats.org/officeDocument/2006/relationships/hyperlink" Target="https://doi.org/10.1088/1748-9326/aaa85a" TargetMode="External"/><Relationship Id="rId91" Type="http://schemas.openxmlformats.org/officeDocument/2006/relationships/hyperlink" Target="https://doi.org/10.1175/2010JCLI3172.1" TargetMode="External"/><Relationship Id="rId96" Type="http://schemas.openxmlformats.org/officeDocument/2006/relationships/hyperlink" Target="https://doi.org/10.1002/2017gl07411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106" Type="http://schemas.openxmlformats.org/officeDocument/2006/relationships/hyperlink" Target="https://doi.org/10.1175/1520-0442(1998)011%3c3128:MDAERT%3e2.0.CO;2" TargetMode="External"/><Relationship Id="rId114"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hyperlink" Target="https://doi.org/10.1016/j.scitotenv.2020.142788" TargetMode="External"/><Relationship Id="rId78" Type="http://schemas.openxmlformats.org/officeDocument/2006/relationships/hyperlink" Target="https://doi.org/10.1071/WF07034" TargetMode="External"/><Relationship Id="rId81" Type="http://schemas.openxmlformats.org/officeDocument/2006/relationships/hyperlink" Target="https://doi.org/10.1071/WF07024" TargetMode="External"/><Relationship Id="rId86" Type="http://schemas.openxmlformats.org/officeDocument/2006/relationships/hyperlink" Target="https://doi.org/10.1038/s41612-022-00274-2" TargetMode="External"/><Relationship Id="rId94" Type="http://schemas.openxmlformats.org/officeDocument/2006/relationships/hyperlink" Target="https://doi.org/10.1175/1520-0477(2001)082%3c0619:PPAAWE%3e2.3.CO;2" TargetMode="External"/><Relationship Id="rId99" Type="http://schemas.openxmlformats.org/officeDocument/2006/relationships/hyperlink" Target="https://doi.org/10.1046/j.1365-2699.2003.00889.x" TargetMode="External"/><Relationship Id="rId101" Type="http://schemas.openxmlformats.org/officeDocument/2006/relationships/hyperlink" Target="https://doi.org/10.1890/04-1579"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hyperlink" Target="https://doi.org/10.1029/2009GL041695" TargetMode="External"/><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jpeg"/><Relationship Id="rId76" Type="http://schemas.openxmlformats.org/officeDocument/2006/relationships/hyperlink" Target="https://doi.org/10.1175/2007MWR2297.1" TargetMode="External"/><Relationship Id="rId97" Type="http://schemas.openxmlformats.org/officeDocument/2006/relationships/hyperlink" Target="https://doi.org/10.4996/fireecology.0201115" TargetMode="External"/><Relationship Id="rId104" Type="http://schemas.openxmlformats.org/officeDocument/2006/relationships/hyperlink" Target="https://doi.org/10.1038/s43017-021-00139-x" TargetMode="External"/><Relationship Id="rId7" Type="http://schemas.openxmlformats.org/officeDocument/2006/relationships/endnotes" Target="endnotes.xml"/><Relationship Id="rId71" Type="http://schemas.openxmlformats.org/officeDocument/2006/relationships/hyperlink" Target="https://doi.org/10.1002/2015GL063428" TargetMode="External"/><Relationship Id="rId92" Type="http://schemas.openxmlformats.org/officeDocument/2006/relationships/hyperlink" Target="https://doi.org/10.1071/WF06151"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jpeg"/><Relationship Id="rId87" Type="http://schemas.openxmlformats.org/officeDocument/2006/relationships/hyperlink" Target="https://doi.org/10.1029/2011GL050645" TargetMode="External"/><Relationship Id="rId110" Type="http://schemas.openxmlformats.org/officeDocument/2006/relationships/hyperlink" Target="https://doi.org/10.1029/2003EO490001" TargetMode="External"/><Relationship Id="rId61" Type="http://schemas.openxmlformats.org/officeDocument/2006/relationships/image" Target="media/image53.jpeg"/><Relationship Id="rId82" Type="http://schemas.openxmlformats.org/officeDocument/2006/relationships/hyperlink" Target="https://doi.org/10.1029/2009JD011805"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jpeg"/><Relationship Id="rId77" Type="http://schemas.openxmlformats.org/officeDocument/2006/relationships/hyperlink" Target="https://doi.org/10.1098/rstb.2007.2202" TargetMode="External"/><Relationship Id="rId100" Type="http://schemas.openxmlformats.org/officeDocument/2006/relationships/hyperlink" Target="https://doi.org/10.3390/geosciences11050211" TargetMode="External"/><Relationship Id="rId105" Type="http://schemas.openxmlformats.org/officeDocument/2006/relationships/hyperlink" Target="https://doi.org/10.1038/s41598-019-42922-3" TargetMode="External"/><Relationship Id="rId8" Type="http://schemas.openxmlformats.org/officeDocument/2006/relationships/hyperlink" Target="mailto:t.r.keeping@pgr.reading.ac.uk" TargetMode="External"/><Relationship Id="rId51" Type="http://schemas.openxmlformats.org/officeDocument/2006/relationships/image" Target="media/image43.jpeg"/><Relationship Id="rId72" Type="http://schemas.openxmlformats.org/officeDocument/2006/relationships/hyperlink" Target="https://doi.org/10.1038/s41467-023-36052-8" TargetMode="External"/><Relationship Id="rId93" Type="http://schemas.openxmlformats.org/officeDocument/2006/relationships/hyperlink" Target="https://doi.org/10.1175/1520-0442(1991)004%3c0517:TPATPA%3e2.0.CO;2" TargetMode="External"/><Relationship Id="rId98" Type="http://schemas.openxmlformats.org/officeDocument/2006/relationships/hyperlink" Target="https://doi.org/10.1002/2014JD021591" TargetMode="Externa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jpe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jpeg"/><Relationship Id="rId83" Type="http://schemas.openxmlformats.org/officeDocument/2006/relationships/hyperlink" Target="https://doi.org/10.1175/2011JCLI4060.1" TargetMode="External"/><Relationship Id="rId88" Type="http://schemas.openxmlformats.org/officeDocument/2006/relationships/hyperlink" Target="https://doi.org/10.1073/pnas.0606078104" TargetMode="External"/><Relationship Id="rId1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DA27-08C6-4C28-BED9-D728B05B8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55</Pages>
  <Words>9123</Words>
  <Characters>52007</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59</cp:revision>
  <dcterms:created xsi:type="dcterms:W3CDTF">2025-10-05T13:08:00Z</dcterms:created>
  <dcterms:modified xsi:type="dcterms:W3CDTF">2025-12-11T00:09:00Z</dcterms:modified>
</cp:coreProperties>
</file>