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19" w:rsidRDefault="009F5719" w:rsidP="009F5719">
      <w:pPr>
        <w:pStyle w:val="Figuretablelegend"/>
      </w:pPr>
      <w:r w:rsidRPr="00313341">
        <w:t xml:space="preserve">Supplementary </w:t>
      </w:r>
      <w:r>
        <w:t>material (online resources</w:t>
      </w:r>
      <w:r>
        <w:t xml:space="preserve"> - </w:t>
      </w:r>
      <w:r>
        <w:t xml:space="preserve">J Cancer Res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Oncol</w:t>
      </w:r>
      <w:proofErr w:type="spellEnd"/>
      <w:r>
        <w:t>)</w:t>
      </w:r>
    </w:p>
    <w:p w:rsidR="009F5719" w:rsidRDefault="009F5719" w:rsidP="009F5719">
      <w:pPr>
        <w:pStyle w:val="Title"/>
        <w:rPr>
          <w:sz w:val="24"/>
          <w:lang w:val="en-GB"/>
        </w:rPr>
      </w:pPr>
      <w:r w:rsidRPr="002A698E">
        <w:rPr>
          <w:sz w:val="24"/>
          <w:lang w:val="en-GB"/>
        </w:rPr>
        <w:t xml:space="preserve">Final analysis of the randomised PEAK trial: overall survival and tumour responses during first-line treatment with mFOLFOX6 plus either </w:t>
      </w:r>
      <w:proofErr w:type="spellStart"/>
      <w:r w:rsidRPr="002A698E">
        <w:rPr>
          <w:sz w:val="24"/>
          <w:lang w:val="en-GB"/>
        </w:rPr>
        <w:t>panitumumab</w:t>
      </w:r>
      <w:proofErr w:type="spellEnd"/>
      <w:r w:rsidRPr="002A698E">
        <w:rPr>
          <w:sz w:val="24"/>
          <w:lang w:val="en-GB"/>
        </w:rPr>
        <w:t xml:space="preserve"> or bevacizumab in patients with metastatic colorectal carcinoma</w:t>
      </w:r>
    </w:p>
    <w:p w:rsidR="009F5719" w:rsidRPr="00313341" w:rsidRDefault="009F5719" w:rsidP="009F5719">
      <w:pPr>
        <w:pStyle w:val="Authors"/>
        <w:rPr>
          <w:vertAlign w:val="superscript"/>
          <w:lang w:val="en-GB"/>
        </w:rPr>
      </w:pPr>
      <w:r w:rsidRPr="00313341">
        <w:rPr>
          <w:lang w:val="en-GB"/>
        </w:rPr>
        <w:t>Fernando Rivera</w:t>
      </w:r>
      <w:r>
        <w:rPr>
          <w:vertAlign w:val="superscript"/>
          <w:lang w:val="en-GB"/>
        </w:rPr>
        <w:t>1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Meinolf Karthaus</w:t>
      </w:r>
      <w:r>
        <w:rPr>
          <w:vertAlign w:val="superscript"/>
          <w:lang w:val="en-GB"/>
        </w:rPr>
        <w:t>2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J Randolph Hecht</w:t>
      </w:r>
      <w:r>
        <w:rPr>
          <w:vertAlign w:val="superscript"/>
          <w:lang w:val="en-GB"/>
        </w:rPr>
        <w:t>3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Isabel Sevilla</w:t>
      </w:r>
      <w:r>
        <w:rPr>
          <w:vertAlign w:val="superscript"/>
          <w:lang w:val="en-GB"/>
        </w:rPr>
        <w:t>4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Fr</w:t>
      </w:r>
      <w:r w:rsidRPr="00313341">
        <w:rPr>
          <w:rFonts w:cs="Times New Roman"/>
          <w:lang w:val="en-GB"/>
        </w:rPr>
        <w:t>é</w:t>
      </w:r>
      <w:r w:rsidRPr="00313341">
        <w:rPr>
          <w:lang w:val="en-GB"/>
        </w:rPr>
        <w:t>d</w:t>
      </w:r>
      <w:r w:rsidRPr="00313341">
        <w:rPr>
          <w:rFonts w:cs="Times New Roman"/>
          <w:lang w:val="en-GB"/>
        </w:rPr>
        <w:t>é</w:t>
      </w:r>
      <w:r w:rsidRPr="00313341">
        <w:rPr>
          <w:lang w:val="en-GB"/>
        </w:rPr>
        <w:t>ric Forget</w:t>
      </w:r>
      <w:r>
        <w:rPr>
          <w:vertAlign w:val="superscript"/>
          <w:lang w:val="en-GB"/>
        </w:rPr>
        <w:t>5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Gianpiero Fasola</w:t>
      </w:r>
      <w:r>
        <w:rPr>
          <w:vertAlign w:val="superscript"/>
          <w:lang w:val="en-GB"/>
        </w:rPr>
        <w:t>6</w:t>
      </w:r>
      <w:r w:rsidRPr="005F4099">
        <w:rPr>
          <w:lang w:val="en-GB"/>
        </w:rPr>
        <w:t xml:space="preserve"> · </w:t>
      </w:r>
      <w:r w:rsidRPr="00313341">
        <w:rPr>
          <w:lang w:val="en-GB"/>
        </w:rPr>
        <w:t>Jean</w:t>
      </w:r>
      <w:r w:rsidRPr="00313341">
        <w:rPr>
          <w:lang w:val="en-GB"/>
        </w:rPr>
        <w:noBreakHyphen/>
        <w:t>Luc Canon</w:t>
      </w:r>
      <w:r>
        <w:rPr>
          <w:vertAlign w:val="superscript"/>
          <w:lang w:val="en-GB"/>
        </w:rPr>
        <w:t>7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Xuesong Guan</w:t>
      </w:r>
      <w:r>
        <w:rPr>
          <w:vertAlign w:val="superscript"/>
          <w:lang w:val="en-GB"/>
        </w:rPr>
        <w:t>8</w:t>
      </w:r>
      <w:r w:rsidRPr="00313341">
        <w:rPr>
          <w:lang w:val="en-GB"/>
        </w:rPr>
        <w:t xml:space="preserve"> </w:t>
      </w:r>
      <w:r>
        <w:rPr>
          <w:lang w:val="en-GB"/>
        </w:rPr>
        <w:t xml:space="preserve">· </w:t>
      </w:r>
      <w:r w:rsidRPr="00313341">
        <w:rPr>
          <w:lang w:val="en-GB"/>
        </w:rPr>
        <w:t>Gaston Demonty</w:t>
      </w:r>
      <w:r>
        <w:rPr>
          <w:vertAlign w:val="superscript"/>
          <w:lang w:val="en-GB"/>
        </w:rPr>
        <w:t>9</w:t>
      </w:r>
      <w:r w:rsidRPr="00313341">
        <w:rPr>
          <w:lang w:val="en-GB"/>
        </w:rPr>
        <w:t xml:space="preserve"> </w:t>
      </w:r>
      <w:r>
        <w:rPr>
          <w:lang w:val="en-GB"/>
        </w:rPr>
        <w:t>· Lee </w:t>
      </w:r>
      <w:r w:rsidRPr="00313341">
        <w:rPr>
          <w:lang w:val="en-GB"/>
        </w:rPr>
        <w:t>S</w:t>
      </w:r>
      <w:r>
        <w:rPr>
          <w:lang w:val="en-GB"/>
        </w:rPr>
        <w:t> </w:t>
      </w:r>
      <w:r w:rsidRPr="00313341">
        <w:rPr>
          <w:lang w:val="en-GB"/>
        </w:rPr>
        <w:t>Schwartzberg</w:t>
      </w:r>
      <w:r>
        <w:rPr>
          <w:vertAlign w:val="superscript"/>
          <w:lang w:val="en-GB"/>
        </w:rPr>
        <w:t>10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1</w:t>
      </w:r>
      <w:r w:rsidRPr="00313341">
        <w:rPr>
          <w:lang w:val="en-GB"/>
        </w:rPr>
        <w:t xml:space="preserve">Hospital </w:t>
      </w:r>
      <w:proofErr w:type="spellStart"/>
      <w:r w:rsidRPr="00313341">
        <w:rPr>
          <w:lang w:val="en-GB"/>
        </w:rPr>
        <w:t>Universitario</w:t>
      </w:r>
      <w:proofErr w:type="spellEnd"/>
      <w:r w:rsidRPr="00313341">
        <w:rPr>
          <w:lang w:val="en-GB"/>
        </w:rPr>
        <w:t xml:space="preserve"> </w:t>
      </w:r>
      <w:proofErr w:type="spellStart"/>
      <w:r w:rsidRPr="00313341">
        <w:rPr>
          <w:lang w:val="en-GB"/>
        </w:rPr>
        <w:t>Marqués</w:t>
      </w:r>
      <w:proofErr w:type="spellEnd"/>
      <w:r w:rsidRPr="00313341">
        <w:rPr>
          <w:lang w:val="en-GB"/>
        </w:rPr>
        <w:t xml:space="preserve"> de </w:t>
      </w:r>
      <w:proofErr w:type="spellStart"/>
      <w:r w:rsidRPr="00313341">
        <w:rPr>
          <w:lang w:val="en-GB"/>
        </w:rPr>
        <w:t>Valdecilla</w:t>
      </w:r>
      <w:proofErr w:type="spellEnd"/>
      <w:r w:rsidRPr="00313341">
        <w:rPr>
          <w:lang w:val="en-GB"/>
        </w:rPr>
        <w:t>, Santander, Spain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2</w:t>
      </w:r>
      <w:r w:rsidRPr="00313341">
        <w:rPr>
          <w:lang w:val="en-GB"/>
        </w:rPr>
        <w:t xml:space="preserve">Städtisches </w:t>
      </w:r>
      <w:proofErr w:type="spellStart"/>
      <w:r w:rsidRPr="00313341">
        <w:rPr>
          <w:lang w:val="en-GB"/>
        </w:rPr>
        <w:t>Klinikum</w:t>
      </w:r>
      <w:proofErr w:type="spellEnd"/>
      <w:r w:rsidRPr="00313341">
        <w:rPr>
          <w:lang w:val="en-GB"/>
        </w:rPr>
        <w:t xml:space="preserve"> </w:t>
      </w:r>
      <w:proofErr w:type="spellStart"/>
      <w:r w:rsidRPr="00313341">
        <w:rPr>
          <w:lang w:val="en-GB"/>
        </w:rPr>
        <w:t>München</w:t>
      </w:r>
      <w:proofErr w:type="spellEnd"/>
      <w:r w:rsidRPr="00313341">
        <w:rPr>
          <w:lang w:val="en-GB"/>
        </w:rPr>
        <w:t xml:space="preserve">, </w:t>
      </w:r>
      <w:proofErr w:type="spellStart"/>
      <w:r w:rsidRPr="00313341">
        <w:rPr>
          <w:lang w:val="en-GB"/>
        </w:rPr>
        <w:t>Klinikum</w:t>
      </w:r>
      <w:proofErr w:type="spellEnd"/>
      <w:r w:rsidRPr="00313341">
        <w:rPr>
          <w:lang w:val="en-GB"/>
        </w:rPr>
        <w:t xml:space="preserve"> </w:t>
      </w:r>
      <w:proofErr w:type="spellStart"/>
      <w:r w:rsidRPr="00313341">
        <w:rPr>
          <w:lang w:val="en-GB"/>
        </w:rPr>
        <w:t>Neuperlach</w:t>
      </w:r>
      <w:proofErr w:type="spellEnd"/>
      <w:r w:rsidRPr="00313341">
        <w:rPr>
          <w:lang w:val="en-GB"/>
        </w:rPr>
        <w:t>, Munich, Germany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3</w:t>
      </w:r>
      <w:r w:rsidRPr="00313341">
        <w:rPr>
          <w:lang w:val="en-GB"/>
        </w:rPr>
        <w:t>David Geffen School of Medicine at University of California Los Angeles, Los Angeles, CA, USA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4</w:t>
      </w:r>
      <w:r w:rsidRPr="00313341">
        <w:rPr>
          <w:lang w:val="en-GB"/>
        </w:rPr>
        <w:t>Virgen de la Victoria University Hospital, Malaga, Spain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5</w:t>
      </w:r>
      <w:r w:rsidRPr="00313341">
        <w:rPr>
          <w:lang w:val="en-GB"/>
        </w:rPr>
        <w:t xml:space="preserve">Centre </w:t>
      </w:r>
      <w:proofErr w:type="spellStart"/>
      <w:r w:rsidRPr="00313341">
        <w:rPr>
          <w:lang w:val="en-GB"/>
        </w:rPr>
        <w:t>Hospitalier</w:t>
      </w:r>
      <w:proofErr w:type="spellEnd"/>
      <w:r w:rsidRPr="00313341">
        <w:rPr>
          <w:lang w:val="en-GB"/>
        </w:rPr>
        <w:t xml:space="preserve"> de </w:t>
      </w:r>
      <w:proofErr w:type="spellStart"/>
      <w:r w:rsidRPr="00313341">
        <w:rPr>
          <w:lang w:val="en-GB"/>
        </w:rPr>
        <w:t>l’Ardenne</w:t>
      </w:r>
      <w:proofErr w:type="spellEnd"/>
      <w:r w:rsidRPr="00313341">
        <w:rPr>
          <w:lang w:val="en-GB"/>
        </w:rPr>
        <w:t xml:space="preserve">, </w:t>
      </w:r>
      <w:proofErr w:type="spellStart"/>
      <w:r w:rsidRPr="00313341">
        <w:rPr>
          <w:lang w:val="en-GB"/>
        </w:rPr>
        <w:t>Libramont</w:t>
      </w:r>
      <w:proofErr w:type="spellEnd"/>
      <w:r w:rsidRPr="00313341">
        <w:rPr>
          <w:lang w:val="en-GB"/>
        </w:rPr>
        <w:t>, Belgium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6</w:t>
      </w:r>
      <w:r w:rsidRPr="00313341">
        <w:rPr>
          <w:lang w:val="en-GB"/>
        </w:rPr>
        <w:t xml:space="preserve">University Hospital Santa Maria </w:t>
      </w:r>
      <w:proofErr w:type="spellStart"/>
      <w:r w:rsidRPr="00313341">
        <w:rPr>
          <w:lang w:val="en-GB"/>
        </w:rPr>
        <w:t>della</w:t>
      </w:r>
      <w:proofErr w:type="spellEnd"/>
      <w:r w:rsidRPr="00313341">
        <w:rPr>
          <w:lang w:val="en-GB"/>
        </w:rPr>
        <w:t xml:space="preserve"> Misericordia, Udine, Italy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7</w:t>
      </w:r>
      <w:r w:rsidRPr="00313341">
        <w:rPr>
          <w:lang w:val="en-GB"/>
        </w:rPr>
        <w:t xml:space="preserve">Grand </w:t>
      </w:r>
      <w:proofErr w:type="spellStart"/>
      <w:r w:rsidRPr="00313341">
        <w:rPr>
          <w:lang w:val="en-GB"/>
        </w:rPr>
        <w:t>Hôpital</w:t>
      </w:r>
      <w:proofErr w:type="spellEnd"/>
      <w:r w:rsidRPr="00313341">
        <w:rPr>
          <w:lang w:val="en-GB"/>
        </w:rPr>
        <w:t xml:space="preserve"> de Charleroi, Charleroi, Belgium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8</w:t>
      </w:r>
      <w:r w:rsidRPr="00313341">
        <w:rPr>
          <w:lang w:val="en-GB"/>
        </w:rPr>
        <w:t xml:space="preserve">Amgen Inc., Biostatistics, Thousand Oaks, </w:t>
      </w:r>
      <w:r>
        <w:rPr>
          <w:lang w:val="en-GB"/>
        </w:rPr>
        <w:t xml:space="preserve">CA, </w:t>
      </w:r>
      <w:r w:rsidRPr="00313341">
        <w:rPr>
          <w:lang w:val="en-GB"/>
        </w:rPr>
        <w:t>USA</w:t>
      </w:r>
    </w:p>
    <w:p w:rsidR="009F5719" w:rsidRDefault="009F5719" w:rsidP="009F5719">
      <w:pPr>
        <w:pStyle w:val="Affiliations"/>
        <w:spacing w:after="0"/>
        <w:rPr>
          <w:lang w:val="en-GB"/>
        </w:rPr>
      </w:pPr>
      <w:r>
        <w:rPr>
          <w:vertAlign w:val="superscript"/>
          <w:lang w:val="en-GB"/>
        </w:rPr>
        <w:t>9</w:t>
      </w:r>
      <w:r w:rsidRPr="00313341">
        <w:rPr>
          <w:lang w:val="en-GB"/>
        </w:rPr>
        <w:t>Amgen (Europe) GmbH, Medical Development – Oncology, Zug, Switzerland</w:t>
      </w:r>
    </w:p>
    <w:p w:rsidR="009F5719" w:rsidRPr="00313341" w:rsidRDefault="009F5719" w:rsidP="009F5719">
      <w:pPr>
        <w:pStyle w:val="Affiliations"/>
        <w:spacing w:after="240"/>
        <w:rPr>
          <w:lang w:val="en-GB"/>
        </w:rPr>
      </w:pPr>
      <w:r>
        <w:rPr>
          <w:vertAlign w:val="superscript"/>
          <w:lang w:val="en-GB"/>
        </w:rPr>
        <w:t>10</w:t>
      </w:r>
      <w:r w:rsidRPr="00313341">
        <w:rPr>
          <w:lang w:val="en-GB"/>
        </w:rPr>
        <w:t>West Clinic, Memphis, TN, USA</w:t>
      </w:r>
      <w:r>
        <w:rPr>
          <w:lang w:val="en-GB"/>
        </w:rPr>
        <w:t xml:space="preserve"> </w:t>
      </w:r>
    </w:p>
    <w:p w:rsidR="009F5719" w:rsidRDefault="009F5719" w:rsidP="009F5719">
      <w:pPr>
        <w:rPr>
          <w:rStyle w:val="Hyperlink"/>
          <w:rFonts w:cs="Arial"/>
        </w:rPr>
      </w:pPr>
      <w:r w:rsidRPr="00313341">
        <w:t xml:space="preserve">Correspondence to: Dr Fernando Rivera, </w:t>
      </w:r>
      <w:r w:rsidRPr="00313341">
        <w:rPr>
          <w:color w:val="000000" w:themeColor="text1"/>
        </w:rPr>
        <w:t xml:space="preserve">Hospital </w:t>
      </w:r>
      <w:proofErr w:type="spellStart"/>
      <w:r w:rsidRPr="00313341">
        <w:rPr>
          <w:color w:val="000000" w:themeColor="text1"/>
        </w:rPr>
        <w:t>Universitario</w:t>
      </w:r>
      <w:proofErr w:type="spellEnd"/>
      <w:r w:rsidRPr="00313341">
        <w:rPr>
          <w:color w:val="000000" w:themeColor="text1"/>
        </w:rPr>
        <w:t xml:space="preserve"> </w:t>
      </w:r>
      <w:proofErr w:type="spellStart"/>
      <w:r w:rsidRPr="00313341">
        <w:rPr>
          <w:color w:val="000000" w:themeColor="text1"/>
        </w:rPr>
        <w:t>Marqués</w:t>
      </w:r>
      <w:proofErr w:type="spellEnd"/>
      <w:r w:rsidRPr="00313341">
        <w:rPr>
          <w:color w:val="000000" w:themeColor="text1"/>
        </w:rPr>
        <w:t xml:space="preserve"> de </w:t>
      </w:r>
      <w:proofErr w:type="spellStart"/>
      <w:r w:rsidRPr="00313341">
        <w:rPr>
          <w:color w:val="000000" w:themeColor="text1"/>
        </w:rPr>
        <w:t>Valdecilla</w:t>
      </w:r>
      <w:proofErr w:type="spellEnd"/>
      <w:r w:rsidRPr="00313341">
        <w:rPr>
          <w:color w:val="000000" w:themeColor="text1"/>
        </w:rPr>
        <w:t xml:space="preserve">, </w:t>
      </w:r>
      <w:r w:rsidRPr="00313341">
        <w:rPr>
          <w:rStyle w:val="xbe"/>
          <w:color w:val="222222"/>
        </w:rPr>
        <w:t xml:space="preserve">Av. de </w:t>
      </w:r>
      <w:proofErr w:type="spellStart"/>
      <w:r w:rsidRPr="00313341">
        <w:rPr>
          <w:rStyle w:val="xbe"/>
          <w:color w:val="222222"/>
        </w:rPr>
        <w:t>Valdecilla</w:t>
      </w:r>
      <w:proofErr w:type="spellEnd"/>
      <w:r w:rsidRPr="00313341">
        <w:rPr>
          <w:rStyle w:val="xbe"/>
          <w:color w:val="222222"/>
        </w:rPr>
        <w:t xml:space="preserve">, </w:t>
      </w:r>
      <w:r w:rsidRPr="00313341">
        <w:rPr>
          <w:color w:val="000000" w:themeColor="text1"/>
        </w:rPr>
        <w:t>39008</w:t>
      </w:r>
      <w:r w:rsidRPr="00313341">
        <w:rPr>
          <w:rFonts w:cs="Arial"/>
          <w:color w:val="000000" w:themeColor="text1"/>
        </w:rPr>
        <w:t xml:space="preserve"> Santander, Spain. Te</w:t>
      </w:r>
      <w:r w:rsidRPr="00313341">
        <w:t>l: +34 942202515; Fax: +34 942203362; E-m</w:t>
      </w:r>
      <w:r w:rsidRPr="00313341">
        <w:rPr>
          <w:rFonts w:cs="Arial"/>
          <w:color w:val="000000" w:themeColor="text1"/>
        </w:rPr>
        <w:t xml:space="preserve">ail: </w:t>
      </w:r>
      <w:hyperlink r:id="rId5" w:history="1">
        <w:r w:rsidRPr="00313341">
          <w:rPr>
            <w:rStyle w:val="Hyperlink"/>
            <w:rFonts w:cs="Arial"/>
          </w:rPr>
          <w:t>oncrhf@humv.es</w:t>
        </w:r>
      </w:hyperlink>
    </w:p>
    <w:p w:rsidR="009F5719" w:rsidRPr="009F5719" w:rsidRDefault="009F5719" w:rsidP="009F5719"/>
    <w:p w:rsidR="009F5719" w:rsidRDefault="009F5719">
      <w:pPr>
        <w:spacing w:line="360" w:lineRule="auto"/>
        <w:ind w:left="714" w:hanging="357"/>
        <w:rPr>
          <w:b/>
        </w:rPr>
      </w:pPr>
      <w:r>
        <w:br w:type="page"/>
      </w:r>
      <w:bookmarkStart w:id="0" w:name="_GoBack"/>
      <w:bookmarkEnd w:id="0"/>
    </w:p>
    <w:p w:rsidR="009F5719" w:rsidRPr="00313341" w:rsidRDefault="009F5719" w:rsidP="009F5719">
      <w:pPr>
        <w:pStyle w:val="Figuretablelegend"/>
      </w:pPr>
      <w:r w:rsidRPr="00313341">
        <w:lastRenderedPageBreak/>
        <w:t xml:space="preserve">Table </w:t>
      </w:r>
      <w:proofErr w:type="gramStart"/>
      <w:r w:rsidRPr="00313341">
        <w:t xml:space="preserve">A1 </w:t>
      </w:r>
      <w:r>
        <w:t xml:space="preserve"> </w:t>
      </w:r>
      <w:r w:rsidRPr="00313341">
        <w:rPr>
          <w:b w:val="0"/>
        </w:rPr>
        <w:t>Summary</w:t>
      </w:r>
      <w:proofErr w:type="gramEnd"/>
      <w:r w:rsidRPr="00313341">
        <w:rPr>
          <w:b w:val="0"/>
        </w:rPr>
        <w:t xml:space="preserve"> of progression-free survival, overall survival and objective response results (</w:t>
      </w:r>
      <w:r w:rsidRPr="00313341">
        <w:rPr>
          <w:b w:val="0"/>
          <w:i/>
        </w:rPr>
        <w:t>RAS</w:t>
      </w:r>
      <w:r w:rsidRPr="00313341">
        <w:rPr>
          <w:b w:val="0"/>
        </w:rPr>
        <w:t xml:space="preserve"> wild-type/</w:t>
      </w:r>
      <w:r w:rsidRPr="00313341">
        <w:rPr>
          <w:b w:val="0"/>
          <w:i/>
        </w:rPr>
        <w:t>BRAF</w:t>
      </w:r>
      <w:r w:rsidRPr="00313341">
        <w:rPr>
          <w:b w:val="0"/>
        </w:rPr>
        <w:t xml:space="preserve"> mutant population)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8"/>
        <w:gridCol w:w="2457"/>
        <w:gridCol w:w="2251"/>
      </w:tblGrid>
      <w:tr w:rsidR="009F5719" w:rsidRPr="00313341" w:rsidTr="006F606B">
        <w:tc>
          <w:tcPr>
            <w:tcW w:w="23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  <w:rPr>
                <w:b/>
              </w:rPr>
            </w:pPr>
          </w:p>
        </w:tc>
        <w:tc>
          <w:tcPr>
            <w:tcW w:w="2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  <w:i/>
              </w:rPr>
              <w:t>RAS</w:t>
            </w:r>
            <w:r w:rsidRPr="00313341">
              <w:rPr>
                <w:b/>
              </w:rPr>
              <w:t xml:space="preserve"> wild-type/</w:t>
            </w:r>
            <w:r w:rsidRPr="00313341">
              <w:rPr>
                <w:b/>
                <w:i/>
              </w:rPr>
              <w:t>BRAF</w:t>
            </w:r>
            <w:r w:rsidRPr="00313341">
              <w:rPr>
                <w:b/>
              </w:rPr>
              <w:t xml:space="preserve"> mutant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  <w:rPr>
                <w:b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proofErr w:type="spellStart"/>
            <w:r w:rsidRPr="00313341">
              <w:rPr>
                <w:b/>
              </w:rPr>
              <w:t>Panitumumab</w:t>
            </w:r>
            <w:proofErr w:type="spellEnd"/>
            <w:r w:rsidRPr="00313341">
              <w:rPr>
                <w:b/>
              </w:rPr>
              <w:t xml:space="preserve"> </w:t>
            </w:r>
            <w:r w:rsidRPr="00313341">
              <w:rPr>
                <w:b/>
              </w:rPr>
              <w:br/>
              <w:t>+ mFOLFOX6 (</w:t>
            </w:r>
            <w:r w:rsidRPr="00313341">
              <w:rPr>
                <w:b/>
                <w:i/>
              </w:rPr>
              <w:t>n=</w:t>
            </w:r>
            <w:r w:rsidRPr="00313341">
              <w:rPr>
                <w:b/>
              </w:rPr>
              <w:t>11)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 xml:space="preserve">Bevacizumab </w:t>
            </w:r>
            <w:r>
              <w:rPr>
                <w:b/>
              </w:rPr>
              <w:br/>
            </w:r>
            <w:r w:rsidRPr="00313341">
              <w:rPr>
                <w:b/>
              </w:rPr>
              <w:t>+ mFOLFOX6 (</w:t>
            </w:r>
            <w:r w:rsidRPr="00313341">
              <w:rPr>
                <w:b/>
                <w:i/>
              </w:rPr>
              <w:t>n=</w:t>
            </w:r>
            <w:r w:rsidRPr="00313341">
              <w:rPr>
                <w:b/>
              </w:rPr>
              <w:t>3)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  <w:rPr>
                <w:b/>
              </w:rPr>
            </w:pPr>
            <w:r w:rsidRPr="00313341">
              <w:rPr>
                <w:b/>
              </w:rPr>
              <w:t>Progression-free survival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 xml:space="preserve">Patients with event, </w:t>
            </w:r>
            <w:r w:rsidRPr="00263BC0">
              <w:rPr>
                <w:i/>
              </w:rPr>
              <w:t>n</w:t>
            </w:r>
            <w:r w:rsidRPr="00313341">
              <w:t xml:space="preserve"> (%)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9 (82)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3 (100)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>Median, months (95% CI)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7.4 (3.9, 10.7)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9.5 (5.6, 16.6)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  <w:t>HR (95% CI)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2.91 (0.36, 23.9)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</w:r>
            <w:r w:rsidRPr="00263BC0">
              <w:rPr>
                <w:i/>
              </w:rPr>
              <w:t>p</w:t>
            </w:r>
            <w:r w:rsidRPr="00313341">
              <w:t>-value</w:t>
            </w:r>
            <w:r w:rsidRPr="00313341">
              <w:rPr>
                <w:vertAlign w:val="superscript"/>
              </w:rPr>
              <w:t>*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0.32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  <w:rPr>
                <w:b/>
              </w:rPr>
            </w:pPr>
            <w:r w:rsidRPr="00313341">
              <w:rPr>
                <w:b/>
              </w:rPr>
              <w:t>Overall survival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 xml:space="preserve">Patients with event, </w:t>
            </w:r>
            <w:r w:rsidRPr="00263BC0">
              <w:rPr>
                <w:i/>
              </w:rPr>
              <w:t>n</w:t>
            </w:r>
            <w:r w:rsidRPr="00313341">
              <w:t xml:space="preserve"> (%)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9 (82)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 (100)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>Median, months (95% CI)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17.5 (9.1, 28.8)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21.0 (5.6, 21.0)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  <w:t>HR (95% CI)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0.66 (0.14, 3.21)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</w:r>
            <w:r w:rsidRPr="00263BC0">
              <w:rPr>
                <w:i/>
              </w:rPr>
              <w:t>p</w:t>
            </w:r>
            <w:r w:rsidRPr="00313341">
              <w:t>-value</w:t>
            </w:r>
            <w:r w:rsidRPr="00313341">
              <w:rPr>
                <w:vertAlign w:val="superscript"/>
              </w:rPr>
              <w:t>*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0.60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  <w:rPr>
                <w:b/>
              </w:rPr>
            </w:pPr>
            <w:r w:rsidRPr="00313341">
              <w:rPr>
                <w:b/>
              </w:rPr>
              <w:t>Objective response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>Responders,</w:t>
            </w:r>
            <w:r w:rsidRPr="00313341">
              <w:rPr>
                <w:vertAlign w:val="superscript"/>
              </w:rPr>
              <w:t>†</w:t>
            </w:r>
            <w:r w:rsidRPr="00313341">
              <w:t xml:space="preserve"> </w:t>
            </w:r>
            <w:r w:rsidRPr="00263BC0">
              <w:rPr>
                <w:i/>
              </w:rPr>
              <w:t>n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7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1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>ORR,</w:t>
            </w:r>
            <w:r w:rsidRPr="00313341">
              <w:rPr>
                <w:vertAlign w:val="superscript"/>
              </w:rPr>
              <w:t>†</w:t>
            </w:r>
            <w:r w:rsidRPr="00313341">
              <w:t xml:space="preserve"> % (95% CI)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63.6 (30.8, 89.1)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rFonts w:eastAsia="Calibri"/>
              </w:rPr>
            </w:pPr>
            <w:r w:rsidRPr="00313341">
              <w:rPr>
                <w:rFonts w:eastAsia="Calibri"/>
              </w:rPr>
              <w:t>33.3 (0.8, 90.6)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  <w:t>Difference in rates, % (95% CI)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30.3 (-32.6, 70.0)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  <w:t>Odds ratio</w:t>
            </w:r>
            <w:r w:rsidRPr="00313341">
              <w:rPr>
                <w:vertAlign w:val="superscript"/>
              </w:rPr>
              <w:t>‡</w:t>
            </w:r>
            <w:r w:rsidRPr="00313341">
              <w:t xml:space="preserve"> (95% CI)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1.8 (0.0, 156.7)</w:t>
            </w:r>
          </w:p>
        </w:tc>
      </w:tr>
      <w:tr w:rsidR="009F5719" w:rsidRPr="00313341" w:rsidTr="006F606B">
        <w:tc>
          <w:tcPr>
            <w:tcW w:w="23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76"/>
              </w:tabs>
            </w:pPr>
            <w:r w:rsidRPr="00313341">
              <w:tab/>
            </w:r>
            <w:r w:rsidRPr="00263BC0">
              <w:rPr>
                <w:i/>
              </w:rPr>
              <w:t>p</w:t>
            </w:r>
            <w:r w:rsidRPr="00313341">
              <w:t>-value</w:t>
            </w:r>
            <w:r w:rsidRPr="00313341">
              <w:rPr>
                <w:vertAlign w:val="superscript"/>
              </w:rPr>
              <w:t>¶</w:t>
            </w:r>
          </w:p>
        </w:tc>
        <w:tc>
          <w:tcPr>
            <w:tcW w:w="26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1.00</w:t>
            </w:r>
          </w:p>
        </w:tc>
      </w:tr>
    </w:tbl>
    <w:p w:rsidR="009F5719" w:rsidRPr="00313341" w:rsidRDefault="009F5719" w:rsidP="009F5719">
      <w:pPr>
        <w:pStyle w:val="Tabletext"/>
        <w:rPr>
          <w:sz w:val="18"/>
          <w:szCs w:val="18"/>
        </w:rPr>
      </w:pPr>
      <w:r w:rsidRPr="00313341">
        <w:rPr>
          <w:sz w:val="18"/>
          <w:szCs w:val="18"/>
          <w:vertAlign w:val="superscript"/>
        </w:rPr>
        <w:t>*</w:t>
      </w:r>
      <w:r w:rsidRPr="00313341">
        <w:rPr>
          <w:sz w:val="18"/>
          <w:szCs w:val="18"/>
        </w:rPr>
        <w:t>From stratified Cox model.</w:t>
      </w:r>
      <w:r w:rsidRPr="00313341">
        <w:rPr>
          <w:sz w:val="18"/>
          <w:szCs w:val="18"/>
          <w:vertAlign w:val="superscript"/>
        </w:rPr>
        <w:t xml:space="preserve"> †</w:t>
      </w:r>
      <w:r w:rsidRPr="00313341">
        <w:rPr>
          <w:sz w:val="18"/>
          <w:szCs w:val="18"/>
        </w:rPr>
        <w:t xml:space="preserve">As assessed by RECIST. </w:t>
      </w:r>
      <w:r w:rsidRPr="00313341">
        <w:rPr>
          <w:sz w:val="18"/>
          <w:szCs w:val="18"/>
          <w:vertAlign w:val="superscript"/>
        </w:rPr>
        <w:t>‡</w:t>
      </w:r>
      <w:r w:rsidRPr="00313341">
        <w:rPr>
          <w:sz w:val="18"/>
          <w:szCs w:val="18"/>
        </w:rPr>
        <w:t xml:space="preserve">Defined as the odds of having an objective response in the </w:t>
      </w:r>
      <w:proofErr w:type="spellStart"/>
      <w:r w:rsidRPr="00313341">
        <w:rPr>
          <w:sz w:val="18"/>
          <w:szCs w:val="18"/>
        </w:rPr>
        <w:t>panitumumab</w:t>
      </w:r>
      <w:proofErr w:type="spellEnd"/>
      <w:r w:rsidRPr="00313341">
        <w:rPr>
          <w:sz w:val="18"/>
          <w:szCs w:val="18"/>
        </w:rPr>
        <w:t xml:space="preserve"> + mFOLFOX6 arm relative to the odds in the bevacizumab + mFOLFOX6 arm adjusted for </w:t>
      </w:r>
      <w:r>
        <w:rPr>
          <w:sz w:val="18"/>
          <w:szCs w:val="18"/>
        </w:rPr>
        <w:t>interactive voice response system (</w:t>
      </w:r>
      <w:r w:rsidRPr="00313341">
        <w:rPr>
          <w:sz w:val="18"/>
          <w:szCs w:val="18"/>
        </w:rPr>
        <w:t>IVRS</w:t>
      </w:r>
      <w:r>
        <w:rPr>
          <w:sz w:val="18"/>
          <w:szCs w:val="18"/>
        </w:rPr>
        <w:t>)</w:t>
      </w:r>
      <w:r w:rsidRPr="00313341">
        <w:rPr>
          <w:sz w:val="18"/>
          <w:szCs w:val="18"/>
        </w:rPr>
        <w:t xml:space="preserve"> randomisation factors. </w:t>
      </w:r>
      <w:r w:rsidRPr="00313341">
        <w:rPr>
          <w:sz w:val="18"/>
          <w:szCs w:val="18"/>
          <w:vertAlign w:val="superscript"/>
        </w:rPr>
        <w:t>¶</w:t>
      </w:r>
      <w:r>
        <w:rPr>
          <w:sz w:val="18"/>
          <w:szCs w:val="18"/>
        </w:rPr>
        <w:t>From stratified exact test</w:t>
      </w:r>
    </w:p>
    <w:p w:rsidR="009F5719" w:rsidRPr="00313341" w:rsidRDefault="009F5719" w:rsidP="009F5719">
      <w:pPr>
        <w:pStyle w:val="Tabletext"/>
        <w:rPr>
          <w:sz w:val="18"/>
          <w:szCs w:val="18"/>
        </w:rPr>
      </w:pPr>
      <w:r w:rsidRPr="00263BC0">
        <w:rPr>
          <w:i/>
          <w:sz w:val="18"/>
          <w:szCs w:val="18"/>
        </w:rPr>
        <w:t>CI</w:t>
      </w:r>
      <w:r w:rsidRPr="00313341">
        <w:rPr>
          <w:sz w:val="18"/>
          <w:szCs w:val="18"/>
        </w:rPr>
        <w:t xml:space="preserve"> confidence interval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HR</w:t>
      </w:r>
      <w:r w:rsidRPr="00313341">
        <w:rPr>
          <w:sz w:val="18"/>
          <w:szCs w:val="18"/>
        </w:rPr>
        <w:t xml:space="preserve"> hazard ratio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ORR</w:t>
      </w:r>
      <w:r w:rsidRPr="00313341">
        <w:rPr>
          <w:sz w:val="18"/>
          <w:szCs w:val="18"/>
        </w:rPr>
        <w:t xml:space="preserve"> </w:t>
      </w:r>
      <w:r>
        <w:rPr>
          <w:sz w:val="18"/>
          <w:szCs w:val="18"/>
        </w:rPr>
        <w:t>objective response rate</w:t>
      </w:r>
    </w:p>
    <w:p w:rsidR="009F5719" w:rsidRPr="00313341" w:rsidRDefault="009F5719" w:rsidP="009F5719">
      <w:pPr>
        <w:rPr>
          <w:rFonts w:eastAsiaTheme="majorEastAsia"/>
          <w:b/>
          <w:i/>
          <w:szCs w:val="24"/>
        </w:rPr>
      </w:pPr>
      <w:r w:rsidRPr="00313341">
        <w:br w:type="page"/>
      </w:r>
    </w:p>
    <w:p w:rsidR="009F5719" w:rsidRPr="00313341" w:rsidRDefault="009F5719" w:rsidP="009F5719">
      <w:pPr>
        <w:pStyle w:val="Figuretablelegend"/>
        <w:rPr>
          <w:b w:val="0"/>
        </w:rPr>
      </w:pPr>
      <w:r w:rsidRPr="00313341">
        <w:lastRenderedPageBreak/>
        <w:t xml:space="preserve">Table </w:t>
      </w:r>
      <w:proofErr w:type="gramStart"/>
      <w:r w:rsidRPr="00313341">
        <w:t>A2</w:t>
      </w:r>
      <w:r w:rsidRPr="00313341">
        <w:rPr>
          <w:i/>
        </w:rPr>
        <w:t xml:space="preserve"> </w:t>
      </w:r>
      <w:r>
        <w:rPr>
          <w:i/>
        </w:rPr>
        <w:t xml:space="preserve"> </w:t>
      </w:r>
      <w:r w:rsidRPr="00313341">
        <w:rPr>
          <w:b w:val="0"/>
        </w:rPr>
        <w:t>Progression</w:t>
      </w:r>
      <w:proofErr w:type="gramEnd"/>
      <w:r w:rsidRPr="00313341">
        <w:rPr>
          <w:b w:val="0"/>
        </w:rPr>
        <w:t>-free and overall survival outcomes by tumour shrinkage at week 8 (</w:t>
      </w:r>
      <w:r w:rsidRPr="00313341">
        <w:rPr>
          <w:b w:val="0"/>
          <w:i/>
        </w:rPr>
        <w:t>RAS</w:t>
      </w:r>
      <w:r w:rsidRPr="00313341">
        <w:rPr>
          <w:b w:val="0"/>
        </w:rPr>
        <w:t xml:space="preserve"> wild-type population – intra-treatment comparisons)</w:t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559"/>
        <w:gridCol w:w="43"/>
        <w:gridCol w:w="1602"/>
      </w:tblGrid>
      <w:tr w:rsidR="009F5719" w:rsidRPr="00313341" w:rsidTr="006F606B">
        <w:tc>
          <w:tcPr>
            <w:tcW w:w="2410" w:type="dxa"/>
            <w:tcBorders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6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Tumour shrinkage at week 8</w:t>
            </w:r>
          </w:p>
        </w:tc>
      </w:tr>
      <w:tr w:rsidR="009F5719" w:rsidRPr="00313341" w:rsidTr="006F606B">
        <w:tc>
          <w:tcPr>
            <w:tcW w:w="2410" w:type="dxa"/>
            <w:tcBorders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proofErr w:type="spellStart"/>
            <w:r w:rsidRPr="00313341">
              <w:rPr>
                <w:b/>
              </w:rPr>
              <w:t>Panitumumab</w:t>
            </w:r>
            <w:proofErr w:type="spellEnd"/>
            <w:r w:rsidRPr="00313341">
              <w:rPr>
                <w:b/>
              </w:rPr>
              <w:t xml:space="preserve"> + mFOLFOX6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Bevacizumab + mFOLFOX6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&lt;30%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≥30%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&lt;30%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≥30%</w:t>
            </w:r>
          </w:p>
        </w:tc>
      </w:tr>
      <w:tr w:rsidR="009F5719" w:rsidRPr="00313341" w:rsidTr="006F606B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 xml:space="preserve">Patients with shrinkage, </w:t>
            </w:r>
            <w:r w:rsidRPr="00263BC0">
              <w:rPr>
                <w:i/>
              </w:rPr>
              <w:t>n</w:t>
            </w:r>
            <w:r w:rsidRPr="00313341"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29 (36)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51 (64)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41 (55)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33 (45)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Median PFS, months (95% CI)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11.6 (7.5, 15.4)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13.0 (10.9, 18.1)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9.7 (7.5, 12.9)</w:t>
            </w:r>
          </w:p>
        </w:tc>
        <w:tc>
          <w:tcPr>
            <w:tcW w:w="1645" w:type="dxa"/>
            <w:gridSpan w:val="2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11.1 (9.0, 16.6)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HR (95% CI)</w:t>
            </w: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0.62 (0.35, 1.10)</w:t>
            </w:r>
          </w:p>
        </w:tc>
        <w:tc>
          <w:tcPr>
            <w:tcW w:w="3204" w:type="dxa"/>
            <w:gridSpan w:val="3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0.60 (0.36, 1.01)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Median OS, months (95% CI)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34.2 (17.5, 42.3)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43.8 (36.4, 63.0)</w:t>
            </w:r>
          </w:p>
        </w:tc>
        <w:tc>
          <w:tcPr>
            <w:tcW w:w="1602" w:type="dxa"/>
            <w:gridSpan w:val="2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23.9 (20.1, 29.0)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35.1 (29.9, NE)</w:t>
            </w:r>
          </w:p>
        </w:tc>
      </w:tr>
      <w:tr w:rsidR="009F5719" w:rsidRPr="00313341" w:rsidTr="006F606B">
        <w:tc>
          <w:tcPr>
            <w:tcW w:w="2410" w:type="dxa"/>
            <w:tcBorders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HR (95% CI)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0.40 (0.22, 0.72)</w:t>
            </w:r>
          </w:p>
        </w:tc>
        <w:tc>
          <w:tcPr>
            <w:tcW w:w="3204" w:type="dxa"/>
            <w:gridSpan w:val="3"/>
            <w:tcBorders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0.43 (0.24, 0.78)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66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Tumour shrinkage at week 8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proofErr w:type="spellStart"/>
            <w:r w:rsidRPr="00313341">
              <w:rPr>
                <w:b/>
              </w:rPr>
              <w:t>Panitumumab</w:t>
            </w:r>
            <w:proofErr w:type="spellEnd"/>
            <w:r w:rsidRPr="00313341">
              <w:rPr>
                <w:b/>
              </w:rPr>
              <w:t xml:space="preserve"> + mFOLFOX6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Bevacizumab + mFOLFOX6</w:t>
            </w:r>
          </w:p>
        </w:tc>
      </w:tr>
      <w:tr w:rsidR="009F5719" w:rsidRPr="00313341" w:rsidTr="006F606B">
        <w:tc>
          <w:tcPr>
            <w:tcW w:w="2410" w:type="dxa"/>
            <w:tcBorders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&lt;20%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≥20%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&lt;20%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>≥20%</w:t>
            </w:r>
          </w:p>
        </w:tc>
      </w:tr>
      <w:tr w:rsidR="009F5719" w:rsidRPr="00313341" w:rsidTr="006F606B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 xml:space="preserve">Patients with shrinkage, </w:t>
            </w:r>
            <w:r w:rsidRPr="00263BC0">
              <w:rPr>
                <w:i/>
              </w:rPr>
              <w:t>n</w:t>
            </w:r>
            <w:r w:rsidRPr="00313341"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20 (25)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60 (75)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28 (38)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46 (62)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Median PFS, months (95% CI)</w:t>
            </w:r>
          </w:p>
        </w:tc>
        <w:tc>
          <w:tcPr>
            <w:tcW w:w="1701" w:type="dxa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9.8 (4.2, 15.4)</w:t>
            </w:r>
          </w:p>
        </w:tc>
        <w:tc>
          <w:tcPr>
            <w:tcW w:w="1701" w:type="dxa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13.1 (10.9, 16.2)</w:t>
            </w:r>
          </w:p>
        </w:tc>
        <w:tc>
          <w:tcPr>
            <w:tcW w:w="1559" w:type="dxa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9.5 (7.4, 12.7)</w:t>
            </w:r>
          </w:p>
        </w:tc>
        <w:tc>
          <w:tcPr>
            <w:tcW w:w="1645" w:type="dxa"/>
            <w:gridSpan w:val="2"/>
            <w:tcBorders>
              <w:top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11.3 (9.2, 13.6)</w:t>
            </w:r>
          </w:p>
        </w:tc>
      </w:tr>
      <w:tr w:rsidR="009F5719" w:rsidRPr="00313341" w:rsidTr="006F606B">
        <w:tc>
          <w:tcPr>
            <w:tcW w:w="2410" w:type="dxa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HR (95% CI)</w:t>
            </w:r>
          </w:p>
        </w:tc>
        <w:tc>
          <w:tcPr>
            <w:tcW w:w="3402" w:type="dxa"/>
            <w:gridSpan w:val="2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0.46 (0.25, 0.86)</w:t>
            </w:r>
          </w:p>
        </w:tc>
        <w:tc>
          <w:tcPr>
            <w:tcW w:w="3204" w:type="dxa"/>
            <w:gridSpan w:val="3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0.60 (0.36, 1.01)</w:t>
            </w:r>
          </w:p>
        </w:tc>
      </w:tr>
      <w:tr w:rsidR="009F5719" w:rsidRPr="00313341" w:rsidTr="006F606B">
        <w:tc>
          <w:tcPr>
            <w:tcW w:w="2410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Median OS, months (95% CI)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21.2 (14.1, 41.2)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43.4 (36.4, 55.4)</w:t>
            </w:r>
          </w:p>
        </w:tc>
        <w:tc>
          <w:tcPr>
            <w:tcW w:w="1602" w:type="dxa"/>
            <w:gridSpan w:val="2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21.8 (15.3, 28.9)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32.5 (27.7, 47.4)</w:t>
            </w:r>
          </w:p>
        </w:tc>
      </w:tr>
      <w:tr w:rsidR="009F5719" w:rsidRPr="00313341" w:rsidTr="006F606B">
        <w:tc>
          <w:tcPr>
            <w:tcW w:w="2410" w:type="dxa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HR (95% CI)</w:t>
            </w:r>
          </w:p>
        </w:tc>
        <w:tc>
          <w:tcPr>
            <w:tcW w:w="3402" w:type="dxa"/>
            <w:gridSpan w:val="2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0.38 (0.20, 0.69)</w:t>
            </w:r>
          </w:p>
        </w:tc>
        <w:tc>
          <w:tcPr>
            <w:tcW w:w="3204" w:type="dxa"/>
            <w:gridSpan w:val="3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0.42 (0.24, 0.75)</w:t>
            </w:r>
          </w:p>
        </w:tc>
      </w:tr>
    </w:tbl>
    <w:p w:rsidR="009F5719" w:rsidRPr="00313341" w:rsidRDefault="009F5719" w:rsidP="009F5719">
      <w:pPr>
        <w:pStyle w:val="Tabletext"/>
        <w:rPr>
          <w:sz w:val="18"/>
          <w:szCs w:val="18"/>
        </w:rPr>
      </w:pPr>
      <w:r w:rsidRPr="00263BC0">
        <w:rPr>
          <w:i/>
          <w:sz w:val="18"/>
          <w:szCs w:val="18"/>
        </w:rPr>
        <w:t>CI</w:t>
      </w:r>
      <w:r w:rsidRPr="00313341">
        <w:rPr>
          <w:sz w:val="18"/>
          <w:szCs w:val="18"/>
        </w:rPr>
        <w:t xml:space="preserve"> confidence interval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HR</w:t>
      </w:r>
      <w:r w:rsidRPr="00313341">
        <w:rPr>
          <w:sz w:val="18"/>
          <w:szCs w:val="18"/>
        </w:rPr>
        <w:t xml:space="preserve"> hazard ratio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NE</w:t>
      </w:r>
      <w:r w:rsidRPr="00313341">
        <w:rPr>
          <w:sz w:val="18"/>
          <w:szCs w:val="18"/>
        </w:rPr>
        <w:t xml:space="preserve"> not evaluable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OS</w:t>
      </w:r>
      <w:r w:rsidRPr="00313341">
        <w:rPr>
          <w:sz w:val="18"/>
          <w:szCs w:val="18"/>
        </w:rPr>
        <w:t xml:space="preserve"> overall survival</w:t>
      </w:r>
      <w:r>
        <w:rPr>
          <w:sz w:val="18"/>
          <w:szCs w:val="18"/>
        </w:rPr>
        <w:t>,</w:t>
      </w:r>
      <w:r w:rsidRPr="00313341">
        <w:rPr>
          <w:sz w:val="18"/>
          <w:szCs w:val="18"/>
        </w:rPr>
        <w:t xml:space="preserve"> </w:t>
      </w:r>
      <w:r w:rsidRPr="00263BC0">
        <w:rPr>
          <w:i/>
          <w:sz w:val="18"/>
          <w:szCs w:val="18"/>
        </w:rPr>
        <w:t>PFS</w:t>
      </w:r>
      <w:r w:rsidRPr="00313341">
        <w:rPr>
          <w:sz w:val="18"/>
          <w:szCs w:val="18"/>
        </w:rPr>
        <w:t xml:space="preserve"> progression-free survival</w:t>
      </w:r>
    </w:p>
    <w:p w:rsidR="009F5719" w:rsidRPr="00313341" w:rsidRDefault="009F5719" w:rsidP="009F5719">
      <w:pPr>
        <w:pStyle w:val="Tabletext"/>
        <w:rPr>
          <w:b/>
          <w:i/>
          <w:iCs/>
          <w:spacing w:val="5"/>
          <w:sz w:val="24"/>
          <w:szCs w:val="26"/>
        </w:rPr>
      </w:pPr>
      <w:r w:rsidRPr="00313341">
        <w:br w:type="page"/>
      </w:r>
    </w:p>
    <w:p w:rsidR="009F5719" w:rsidRPr="00313341" w:rsidRDefault="009F5719" w:rsidP="009F5719">
      <w:pPr>
        <w:pStyle w:val="Figuretablelegend"/>
        <w:rPr>
          <w:i/>
        </w:rPr>
      </w:pPr>
      <w:r w:rsidRPr="00313341">
        <w:lastRenderedPageBreak/>
        <w:t xml:space="preserve">Table </w:t>
      </w:r>
      <w:proofErr w:type="gramStart"/>
      <w:r w:rsidRPr="00313341">
        <w:t>A3</w:t>
      </w:r>
      <w:r w:rsidRPr="00313341">
        <w:rPr>
          <w:i/>
        </w:rPr>
        <w:t xml:space="preserve"> </w:t>
      </w:r>
      <w:r>
        <w:rPr>
          <w:i/>
        </w:rPr>
        <w:t xml:space="preserve"> </w:t>
      </w:r>
      <w:r w:rsidRPr="00313341">
        <w:rPr>
          <w:b w:val="0"/>
        </w:rPr>
        <w:t>Summary</w:t>
      </w:r>
      <w:proofErr w:type="gramEnd"/>
      <w:r w:rsidRPr="00313341">
        <w:rPr>
          <w:b w:val="0"/>
        </w:rPr>
        <w:t xml:space="preserve"> of adverse events (</w:t>
      </w:r>
      <w:r w:rsidRPr="00313341">
        <w:rPr>
          <w:b w:val="0"/>
          <w:i/>
        </w:rPr>
        <w:t>RAS</w:t>
      </w:r>
      <w:r w:rsidRPr="00313341">
        <w:rPr>
          <w:b w:val="0"/>
        </w:rPr>
        <w:t xml:space="preserve"> wild-type population)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8"/>
        <w:gridCol w:w="2773"/>
        <w:gridCol w:w="2405"/>
      </w:tblGrid>
      <w:tr w:rsidR="009F5719" w:rsidRPr="00313341" w:rsidTr="006F606B">
        <w:tc>
          <w:tcPr>
            <w:tcW w:w="2132" w:type="pct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  <w:rPr>
                <w:b/>
              </w:rPr>
            </w:pPr>
            <w:proofErr w:type="gramStart"/>
            <w:r w:rsidRPr="00263BC0">
              <w:rPr>
                <w:b/>
                <w:i/>
              </w:rPr>
              <w:t>n</w:t>
            </w:r>
            <w:proofErr w:type="gramEnd"/>
            <w:r w:rsidRPr="00313341">
              <w:rPr>
                <w:b/>
              </w:rPr>
              <w:t xml:space="preserve"> (%)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proofErr w:type="spellStart"/>
            <w:r w:rsidRPr="00313341">
              <w:rPr>
                <w:b/>
              </w:rPr>
              <w:t>Panitumumab</w:t>
            </w:r>
            <w:proofErr w:type="spellEnd"/>
            <w:r w:rsidRPr="00313341">
              <w:rPr>
                <w:b/>
              </w:rPr>
              <w:t xml:space="preserve"> </w:t>
            </w:r>
            <w:r w:rsidRPr="00313341">
              <w:rPr>
                <w:b/>
              </w:rPr>
              <w:br/>
              <w:t>+ mFOLFOX6 (</w:t>
            </w:r>
            <w:r w:rsidRPr="00313341">
              <w:rPr>
                <w:b/>
                <w:i/>
              </w:rPr>
              <w:t>n=</w:t>
            </w:r>
            <w:r w:rsidRPr="00313341">
              <w:rPr>
                <w:b/>
              </w:rPr>
              <w:t>86)</w:t>
            </w:r>
          </w:p>
        </w:tc>
        <w:tc>
          <w:tcPr>
            <w:tcW w:w="1332" w:type="pct"/>
            <w:tcBorders>
              <w:top w:val="single" w:sz="4" w:space="0" w:color="auto"/>
              <w:bottom w:val="single" w:sz="4" w:space="0" w:color="auto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  <w:r w:rsidRPr="00313341">
              <w:rPr>
                <w:b/>
              </w:rPr>
              <w:t xml:space="preserve">Bevacizumab </w:t>
            </w:r>
            <w:r>
              <w:rPr>
                <w:b/>
              </w:rPr>
              <w:br/>
            </w:r>
            <w:r w:rsidRPr="00313341">
              <w:rPr>
                <w:b/>
              </w:rPr>
              <w:t>+ mFOLFOX6 (</w:t>
            </w:r>
            <w:r w:rsidRPr="00313341">
              <w:rPr>
                <w:b/>
                <w:i/>
              </w:rPr>
              <w:t>n=</w:t>
            </w:r>
            <w:r w:rsidRPr="00313341">
              <w:rPr>
                <w:b/>
              </w:rPr>
              <w:t>80)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single" w:sz="4" w:space="0" w:color="auto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 xml:space="preserve">Any AE </w:t>
            </w:r>
          </w:p>
        </w:tc>
        <w:tc>
          <w:tcPr>
            <w:tcW w:w="1536" w:type="pct"/>
            <w:tcBorders>
              <w:top w:val="single" w:sz="4" w:space="0" w:color="auto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86 (100)</w:t>
            </w:r>
          </w:p>
        </w:tc>
        <w:tc>
          <w:tcPr>
            <w:tcW w:w="1332" w:type="pct"/>
            <w:tcBorders>
              <w:top w:val="single" w:sz="4" w:space="0" w:color="auto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80 (100)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Worst grade of 3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60 (70)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43 (54)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Worst grade of 4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17 (20)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15 (19)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Worst grade of 5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 (5)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7 (9)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Any serious AE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37 (43)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32 (40)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Any AE leading to permanent discontinuation of any study drug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25 (29)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24 (30)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Not serious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19 (22)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17 (21)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Serious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 (7)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8 (10)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>Worst grade 3+ and ≥5% difference between treatment groups</w:t>
            </w:r>
          </w:p>
        </w:tc>
        <w:tc>
          <w:tcPr>
            <w:tcW w:w="1536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</w:p>
        </w:tc>
        <w:tc>
          <w:tcPr>
            <w:tcW w:w="13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jc w:val="center"/>
              <w:rPr>
                <w:b/>
              </w:rPr>
            </w:pP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Rash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13 (15)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Hypomagnesaemia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7 (8)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Stomatitis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 (7)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Decreased appetite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5 (6)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 (1)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Dehydration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5 (6)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1 (1)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Acne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 (5)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Dermatitis acneiform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4 (5)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Deep vein thrombosis</w:t>
            </w:r>
          </w:p>
        </w:tc>
        <w:tc>
          <w:tcPr>
            <w:tcW w:w="1536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2 (2)</w:t>
            </w:r>
          </w:p>
        </w:tc>
        <w:tc>
          <w:tcPr>
            <w:tcW w:w="1332" w:type="pct"/>
            <w:tcBorders>
              <w:top w:val="nil"/>
              <w:bottom w:val="nil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 (8)</w:t>
            </w:r>
          </w:p>
        </w:tc>
      </w:tr>
      <w:tr w:rsidR="009F5719" w:rsidRPr="00313341" w:rsidTr="006F606B">
        <w:tc>
          <w:tcPr>
            <w:tcW w:w="2132" w:type="pct"/>
            <w:tcBorders>
              <w:top w:val="nil"/>
              <w:bottom w:val="single" w:sz="4" w:space="0" w:color="auto"/>
            </w:tcBorders>
            <w:vAlign w:val="bottom"/>
          </w:tcPr>
          <w:p w:rsidR="009F5719" w:rsidRPr="00313341" w:rsidRDefault="009F5719" w:rsidP="006F606B">
            <w:pPr>
              <w:pStyle w:val="Tabletext"/>
              <w:tabs>
                <w:tab w:val="left" w:pos="145"/>
              </w:tabs>
            </w:pPr>
            <w:r w:rsidRPr="00313341">
              <w:tab/>
              <w:t>Hypertension</w:t>
            </w:r>
          </w:p>
        </w:tc>
        <w:tc>
          <w:tcPr>
            <w:tcW w:w="1536" w:type="pct"/>
            <w:tcBorders>
              <w:top w:val="nil"/>
              <w:bottom w:val="single" w:sz="4" w:space="0" w:color="auto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0 (0)</w:t>
            </w:r>
          </w:p>
        </w:tc>
        <w:tc>
          <w:tcPr>
            <w:tcW w:w="1332" w:type="pct"/>
            <w:tcBorders>
              <w:top w:val="nil"/>
              <w:bottom w:val="single" w:sz="4" w:space="0" w:color="auto"/>
            </w:tcBorders>
            <w:vAlign w:val="bottom"/>
          </w:tcPr>
          <w:p w:rsidR="009F5719" w:rsidRPr="00313341" w:rsidRDefault="009F5719" w:rsidP="006F606B">
            <w:pPr>
              <w:pStyle w:val="Tabletext"/>
              <w:jc w:val="center"/>
            </w:pPr>
            <w:r w:rsidRPr="00313341">
              <w:t>6 (8)</w:t>
            </w:r>
          </w:p>
        </w:tc>
      </w:tr>
    </w:tbl>
    <w:p w:rsidR="009F5719" w:rsidRPr="00313341" w:rsidRDefault="009F5719" w:rsidP="009F5719">
      <w:pPr>
        <w:pStyle w:val="Tabletext"/>
        <w:rPr>
          <w:sz w:val="18"/>
          <w:szCs w:val="18"/>
        </w:rPr>
      </w:pPr>
      <w:r w:rsidRPr="00263BC0">
        <w:rPr>
          <w:i/>
          <w:sz w:val="18"/>
          <w:szCs w:val="18"/>
        </w:rPr>
        <w:t>AE</w:t>
      </w:r>
      <w:r w:rsidRPr="00313341">
        <w:rPr>
          <w:sz w:val="18"/>
          <w:szCs w:val="18"/>
        </w:rPr>
        <w:t xml:space="preserve"> a</w:t>
      </w:r>
      <w:r>
        <w:rPr>
          <w:sz w:val="18"/>
          <w:szCs w:val="18"/>
        </w:rPr>
        <w:t>dverse event</w:t>
      </w:r>
    </w:p>
    <w:p w:rsidR="009F5719" w:rsidRPr="00313341" w:rsidRDefault="009F5719" w:rsidP="009F5719">
      <w:pPr>
        <w:spacing w:after="160" w:line="259" w:lineRule="auto"/>
        <w:rPr>
          <w:b/>
          <w:i/>
          <w:iCs/>
          <w:spacing w:val="5"/>
          <w:sz w:val="24"/>
          <w:szCs w:val="26"/>
        </w:rPr>
      </w:pPr>
      <w:r w:rsidRPr="00313341">
        <w:br w:type="page"/>
      </w:r>
    </w:p>
    <w:p w:rsidR="009F5719" w:rsidRDefault="009F5719" w:rsidP="009F5719">
      <w:pPr>
        <w:pStyle w:val="Figuretablelegend"/>
        <w:rPr>
          <w:b w:val="0"/>
        </w:rPr>
      </w:pPr>
      <w:r w:rsidRPr="00313341">
        <w:lastRenderedPageBreak/>
        <w:t>Fig</w:t>
      </w:r>
      <w:r>
        <w:t>.</w:t>
      </w:r>
      <w:r w:rsidRPr="00313341">
        <w:t xml:space="preserve"> </w:t>
      </w:r>
      <w:proofErr w:type="gramStart"/>
      <w:r w:rsidRPr="00313341">
        <w:t>A1</w:t>
      </w:r>
      <w:r w:rsidRPr="00313341">
        <w:rPr>
          <w:i/>
        </w:rPr>
        <w:t xml:space="preserve"> </w:t>
      </w:r>
      <w:r>
        <w:rPr>
          <w:i/>
        </w:rPr>
        <w:t xml:space="preserve"> </w:t>
      </w:r>
      <w:r w:rsidRPr="00313341">
        <w:rPr>
          <w:b w:val="0"/>
        </w:rPr>
        <w:t>Forest</w:t>
      </w:r>
      <w:proofErr w:type="gramEnd"/>
      <w:r w:rsidRPr="00313341">
        <w:rPr>
          <w:b w:val="0"/>
        </w:rPr>
        <w:t xml:space="preserve"> plot for overall survival in patient subpopulations (</w:t>
      </w:r>
      <w:r w:rsidRPr="00313341">
        <w:rPr>
          <w:b w:val="0"/>
          <w:i/>
        </w:rPr>
        <w:t>RAS</w:t>
      </w:r>
      <w:r>
        <w:rPr>
          <w:b w:val="0"/>
        </w:rPr>
        <w:t xml:space="preserve"> wild-type population)</w:t>
      </w:r>
    </w:p>
    <w:p w:rsidR="009F5719" w:rsidRDefault="009F5719" w:rsidP="009F5719">
      <w:r>
        <w:rPr>
          <w:noProof/>
          <w:lang w:eastAsia="en-GB"/>
        </w:rPr>
        <w:drawing>
          <wp:inline distT="0" distB="0" distL="0" distR="0" wp14:anchorId="7E00BE8C" wp14:editId="7D9AF179">
            <wp:extent cx="5013960" cy="49072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EAK OS Online fig A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719" w:rsidRPr="00313341" w:rsidRDefault="009F5719" w:rsidP="009F5719">
      <w:pPr>
        <w:spacing w:after="120"/>
      </w:pPr>
    </w:p>
    <w:p w:rsidR="009F5719" w:rsidRPr="00313341" w:rsidRDefault="009F5719" w:rsidP="009F5719">
      <w:pPr>
        <w:spacing w:after="160" w:line="259" w:lineRule="auto"/>
        <w:rPr>
          <w:b/>
          <w:i/>
          <w:iCs/>
          <w:spacing w:val="5"/>
          <w:sz w:val="24"/>
          <w:szCs w:val="26"/>
        </w:rPr>
      </w:pPr>
      <w:r w:rsidRPr="00313341">
        <w:br w:type="page"/>
      </w:r>
    </w:p>
    <w:p w:rsidR="009F5719" w:rsidRDefault="009F5719" w:rsidP="009F5719">
      <w:pPr>
        <w:pStyle w:val="Figuretablelegend"/>
        <w:spacing w:after="120"/>
        <w:rPr>
          <w:b w:val="0"/>
        </w:rPr>
      </w:pPr>
      <w:r w:rsidRPr="00313341">
        <w:lastRenderedPageBreak/>
        <w:t>Fig</w:t>
      </w:r>
      <w:r>
        <w:t>.</w:t>
      </w:r>
      <w:r w:rsidRPr="00313341">
        <w:t xml:space="preserve"> </w:t>
      </w:r>
      <w:proofErr w:type="gramStart"/>
      <w:r w:rsidRPr="00313341">
        <w:t>A2</w:t>
      </w:r>
      <w:r w:rsidRPr="00313341">
        <w:rPr>
          <w:i/>
        </w:rPr>
        <w:t xml:space="preserve"> </w:t>
      </w:r>
      <w:r>
        <w:rPr>
          <w:i/>
        </w:rPr>
        <w:t xml:space="preserve"> </w:t>
      </w:r>
      <w:r w:rsidRPr="00313341">
        <w:rPr>
          <w:b w:val="0"/>
        </w:rPr>
        <w:t>Kaplan</w:t>
      </w:r>
      <w:proofErr w:type="gramEnd"/>
      <w:r w:rsidRPr="00313341">
        <w:rPr>
          <w:b w:val="0"/>
        </w:rPr>
        <w:t>-Meier estimates of a) Progression-free survival and b) Overall survival (</w:t>
      </w:r>
      <w:r w:rsidRPr="00313341">
        <w:rPr>
          <w:b w:val="0"/>
          <w:i/>
        </w:rPr>
        <w:t>RAS</w:t>
      </w:r>
      <w:r w:rsidRPr="00313341">
        <w:rPr>
          <w:b w:val="0"/>
        </w:rPr>
        <w:t xml:space="preserve"> wild-type/</w:t>
      </w:r>
      <w:r w:rsidRPr="00313341">
        <w:rPr>
          <w:b w:val="0"/>
          <w:i/>
        </w:rPr>
        <w:t>BRAF</w:t>
      </w:r>
      <w:r>
        <w:rPr>
          <w:b w:val="0"/>
        </w:rPr>
        <w:t xml:space="preserve"> wild-type population)</w:t>
      </w:r>
    </w:p>
    <w:p w:rsidR="009F5719" w:rsidRDefault="009F5719" w:rsidP="009F5719">
      <w:r>
        <w:rPr>
          <w:noProof/>
          <w:lang w:eastAsia="en-GB"/>
        </w:rPr>
        <w:drawing>
          <wp:inline distT="0" distB="0" distL="0" distR="0" wp14:anchorId="3C2EAF76" wp14:editId="660E091F">
            <wp:extent cx="5220000" cy="3385533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EAK OS Online fig A02a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38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719" w:rsidRPr="00313341" w:rsidRDefault="009F5719" w:rsidP="009F5719">
      <w:r>
        <w:rPr>
          <w:noProof/>
          <w:lang w:eastAsia="en-GB"/>
        </w:rPr>
        <w:drawing>
          <wp:inline distT="0" distB="0" distL="0" distR="0" wp14:anchorId="4380E080" wp14:editId="42315A1A">
            <wp:extent cx="5220000" cy="3955197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EAK OS Online fig A02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95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719" w:rsidRPr="00313341" w:rsidRDefault="009F5719" w:rsidP="009F5719">
      <w:pPr>
        <w:spacing w:after="0"/>
        <w:rPr>
          <w:sz w:val="18"/>
          <w:szCs w:val="16"/>
        </w:rPr>
      </w:pPr>
      <w:r w:rsidRPr="00313341">
        <w:rPr>
          <w:szCs w:val="22"/>
        </w:rPr>
        <w:br w:type="page"/>
      </w:r>
    </w:p>
    <w:p w:rsidR="009F5719" w:rsidRDefault="009F5719" w:rsidP="009F5719">
      <w:pPr>
        <w:pStyle w:val="Figuretablelegend"/>
        <w:rPr>
          <w:b w:val="0"/>
          <w:szCs w:val="22"/>
        </w:rPr>
      </w:pPr>
      <w:r w:rsidRPr="00313341">
        <w:rPr>
          <w:szCs w:val="22"/>
        </w:rPr>
        <w:lastRenderedPageBreak/>
        <w:t>Fig</w:t>
      </w:r>
      <w:r>
        <w:rPr>
          <w:szCs w:val="22"/>
        </w:rPr>
        <w:t>.</w:t>
      </w:r>
      <w:r w:rsidRPr="00313341">
        <w:rPr>
          <w:szCs w:val="22"/>
        </w:rPr>
        <w:t xml:space="preserve"> A3</w:t>
      </w:r>
      <w:r w:rsidRPr="00313341">
        <w:rPr>
          <w:i/>
          <w:szCs w:val="22"/>
        </w:rPr>
        <w:t xml:space="preserve"> </w:t>
      </w:r>
      <w:r>
        <w:rPr>
          <w:i/>
          <w:szCs w:val="22"/>
        </w:rPr>
        <w:t xml:space="preserve"> </w:t>
      </w:r>
      <w:r w:rsidRPr="00313341">
        <w:rPr>
          <w:b w:val="0"/>
          <w:szCs w:val="22"/>
        </w:rPr>
        <w:t>Kaplan-Meier estimates of a) Progression-free survival and b) Overall survival in patients with tumour shrinkage of ≥30% at week 8 (</w:t>
      </w:r>
      <w:r w:rsidRPr="00313341">
        <w:rPr>
          <w:b w:val="0"/>
          <w:i/>
          <w:szCs w:val="22"/>
        </w:rPr>
        <w:t>RAS</w:t>
      </w:r>
      <w:r>
        <w:rPr>
          <w:b w:val="0"/>
          <w:szCs w:val="22"/>
        </w:rPr>
        <w:t xml:space="preserve"> wild-type population)</w:t>
      </w:r>
    </w:p>
    <w:p w:rsidR="009F5719" w:rsidRDefault="009F5719" w:rsidP="009F5719">
      <w:r>
        <w:rPr>
          <w:noProof/>
          <w:lang w:eastAsia="en-GB"/>
        </w:rPr>
        <w:drawing>
          <wp:inline distT="0" distB="0" distL="0" distR="0" wp14:anchorId="7A5A7BD9" wp14:editId="7C4E1CF4">
            <wp:extent cx="5731510" cy="288099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EAK OS Online fig A03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719" w:rsidRPr="00B24B28" w:rsidRDefault="009F5719" w:rsidP="009F5719">
      <w:r>
        <w:rPr>
          <w:noProof/>
          <w:lang w:eastAsia="en-GB"/>
        </w:rPr>
        <w:drawing>
          <wp:inline distT="0" distB="0" distL="0" distR="0" wp14:anchorId="5BB9B6D9" wp14:editId="7EA8868F">
            <wp:extent cx="5731510" cy="3387725"/>
            <wp:effectExtent l="0" t="0" r="254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EAK OS Online fig A03b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655" w:rsidRDefault="00370655"/>
    <w:sectPr w:rsidR="0037065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terstate">
    <w:altName w:val="Interstat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31794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C76223" w:rsidRPr="00223168" w:rsidRDefault="009F5719" w:rsidP="005C3978">
        <w:pPr>
          <w:pStyle w:val="Footer"/>
          <w:jc w:val="center"/>
          <w:rPr>
            <w:sz w:val="20"/>
          </w:rPr>
        </w:pPr>
        <w:r w:rsidRPr="00223168">
          <w:rPr>
            <w:sz w:val="20"/>
          </w:rPr>
          <w:fldChar w:fldCharType="begin"/>
        </w:r>
        <w:r w:rsidRPr="00223168">
          <w:rPr>
            <w:sz w:val="20"/>
          </w:rPr>
          <w:instrText xml:space="preserve"> PAGE   \* MERGEFORMAT </w:instrText>
        </w:r>
        <w:r w:rsidRPr="00223168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223168">
          <w:rPr>
            <w:noProof/>
            <w:sz w:val="20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21463"/>
    <w:multiLevelType w:val="singleLevel"/>
    <w:tmpl w:val="2C7009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19"/>
    <w:rsid w:val="00370655"/>
    <w:rsid w:val="00527A16"/>
    <w:rsid w:val="009F5719"/>
    <w:rsid w:val="00BB7AA8"/>
    <w:rsid w:val="00D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7E51A-4E07-45BF-8845-E28B63CF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40"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719"/>
    <w:pPr>
      <w:spacing w:line="480" w:lineRule="auto"/>
      <w:ind w:left="0" w:firstLine="0"/>
    </w:pPr>
    <w:rPr>
      <w:rFonts w:ascii="Times New Roman" w:eastAsia="Times New Roman" w:hAnsi="Times New Roman" w:cs="Times New Roman"/>
      <w:color w:val="auto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527A16"/>
    <w:pPr>
      <w:keepNext/>
      <w:keepLines/>
      <w:spacing w:before="240" w:after="0" w:line="360" w:lineRule="auto"/>
      <w:ind w:left="714" w:hanging="357"/>
      <w:outlineLvl w:val="0"/>
    </w:pPr>
    <w:rPr>
      <w:rFonts w:ascii="Arial" w:eastAsiaTheme="majorEastAsia" w:hAnsi="Arial" w:cstheme="majorBidi"/>
      <w:b/>
      <w:caps/>
      <w:color w:val="000000" w:themeColor="text1"/>
      <w:sz w:val="26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27A16"/>
    <w:pPr>
      <w:keepNext/>
      <w:keepLines/>
      <w:spacing w:line="360" w:lineRule="auto"/>
      <w:ind w:left="714" w:hanging="357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27A16"/>
    <w:pPr>
      <w:keepNext/>
      <w:keepLines/>
      <w:spacing w:line="360" w:lineRule="auto"/>
      <w:ind w:left="714" w:hanging="357"/>
      <w:outlineLvl w:val="2"/>
    </w:pPr>
    <w:rPr>
      <w:rFonts w:ascii="Arial" w:eastAsiaTheme="majorEastAsia" w:hAnsi="Arial" w:cstheme="majorBidi"/>
      <w:b/>
      <w:i/>
      <w:color w:val="000000" w:themeColor="text1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27A16"/>
    <w:pPr>
      <w:keepNext/>
      <w:keepLines/>
      <w:spacing w:line="360" w:lineRule="auto"/>
      <w:ind w:left="714" w:hanging="357"/>
      <w:outlineLvl w:val="3"/>
    </w:pPr>
    <w:rPr>
      <w:rFonts w:ascii="Arial" w:eastAsiaTheme="majorEastAsia" w:hAnsi="Arial" w:cstheme="majorBidi"/>
      <w:i/>
      <w:iCs/>
      <w:color w:val="000000" w:themeColor="text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7A16"/>
    <w:rPr>
      <w:rFonts w:eastAsiaTheme="majorEastAsia" w:cstheme="majorBidi"/>
      <w:b/>
      <w:caps/>
      <w:sz w:val="2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7A16"/>
    <w:rPr>
      <w:rFonts w:eastAsiaTheme="majorEastAsia" w:cstheme="majorBidi"/>
      <w:b/>
      <w:sz w:val="26"/>
      <w:szCs w:val="26"/>
      <w:lang w:val="en-US"/>
    </w:rPr>
  </w:style>
  <w:style w:type="paragraph" w:customStyle="1" w:styleId="TextBullet">
    <w:name w:val="TextBullet"/>
    <w:basedOn w:val="Normal"/>
    <w:link w:val="TextBulletChar"/>
    <w:rsid w:val="00527A16"/>
    <w:pPr>
      <w:suppressAutoHyphens/>
      <w:spacing w:after="100"/>
      <w:ind w:left="360" w:hanging="360"/>
    </w:pPr>
  </w:style>
  <w:style w:type="character" w:customStyle="1" w:styleId="TextBulletChar">
    <w:name w:val="TextBullet Char"/>
    <w:basedOn w:val="DefaultParagraphFont"/>
    <w:link w:val="TextBullet"/>
    <w:locked/>
    <w:rsid w:val="00527A16"/>
    <w:rPr>
      <w:lang w:val="en-US"/>
    </w:rPr>
  </w:style>
  <w:style w:type="paragraph" w:customStyle="1" w:styleId="Default">
    <w:name w:val="Default"/>
    <w:rsid w:val="00527A16"/>
    <w:pPr>
      <w:autoSpaceDE w:val="0"/>
      <w:autoSpaceDN w:val="0"/>
      <w:adjustRightInd w:val="0"/>
      <w:spacing w:after="0" w:line="240" w:lineRule="auto"/>
    </w:pPr>
    <w:rPr>
      <w:rFonts w:ascii="Interstate" w:hAnsi="Interstate" w:cs="Interstate"/>
      <w:color w:val="000000"/>
      <w:sz w:val="24"/>
      <w:szCs w:val="24"/>
      <w:lang w:val="en-US"/>
    </w:rPr>
  </w:style>
  <w:style w:type="paragraph" w:customStyle="1" w:styleId="Pa4">
    <w:name w:val="Pa4"/>
    <w:basedOn w:val="Default"/>
    <w:next w:val="Default"/>
    <w:uiPriority w:val="99"/>
    <w:rsid w:val="00527A16"/>
    <w:pPr>
      <w:spacing w:line="16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527A16"/>
    <w:rPr>
      <w:rFonts w:cs="Interstate"/>
      <w:color w:val="221E1F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527A16"/>
    <w:pPr>
      <w:spacing w:line="141" w:lineRule="atLeast"/>
    </w:pPr>
    <w:rPr>
      <w:rFonts w:cstheme="minorBidi"/>
      <w:color w:val="auto"/>
    </w:rPr>
  </w:style>
  <w:style w:type="paragraph" w:customStyle="1" w:styleId="Style1">
    <w:name w:val="Style1"/>
    <w:basedOn w:val="Normal"/>
    <w:link w:val="Style1Char"/>
    <w:qFormat/>
    <w:rsid w:val="00527A16"/>
    <w:pPr>
      <w:spacing w:line="360" w:lineRule="auto"/>
      <w:ind w:left="714" w:hanging="357"/>
    </w:pPr>
    <w:rPr>
      <w:rFonts w:ascii="Arial" w:eastAsiaTheme="minorHAnsi" w:hAnsi="Arial" w:cstheme="minorBidi"/>
      <w:color w:val="000000" w:themeColor="text1"/>
      <w:szCs w:val="22"/>
      <w:lang w:val="en-US"/>
    </w:rPr>
  </w:style>
  <w:style w:type="character" w:customStyle="1" w:styleId="Style1Char">
    <w:name w:val="Style1 Char"/>
    <w:basedOn w:val="DefaultParagraphFont"/>
    <w:link w:val="Style1"/>
    <w:rsid w:val="00527A16"/>
    <w:rPr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527A16"/>
    <w:pPr>
      <w:spacing w:after="0" w:line="240" w:lineRule="auto"/>
      <w:ind w:left="714" w:hanging="357"/>
    </w:pPr>
    <w:rPr>
      <w:rFonts w:ascii="Arial" w:eastAsiaTheme="minorHAnsi" w:hAnsi="Arial" w:cstheme="minorBidi"/>
      <w:color w:val="000000" w:themeColor="text1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A16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A16"/>
    <w:pPr>
      <w:tabs>
        <w:tab w:val="center" w:pos="4680"/>
        <w:tab w:val="right" w:pos="9360"/>
      </w:tabs>
      <w:spacing w:after="0" w:line="240" w:lineRule="auto"/>
      <w:ind w:left="714" w:hanging="357"/>
    </w:pPr>
    <w:rPr>
      <w:rFonts w:ascii="Arial" w:eastAsiaTheme="minorHAnsi" w:hAnsi="Arial" w:cstheme="minorBidi"/>
      <w:color w:val="000000" w:themeColor="text1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27A16"/>
    <w:rPr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527A16"/>
    <w:pPr>
      <w:tabs>
        <w:tab w:val="center" w:pos="4680"/>
        <w:tab w:val="right" w:pos="9360"/>
      </w:tabs>
      <w:spacing w:after="0" w:line="240" w:lineRule="auto"/>
      <w:ind w:left="714" w:hanging="357"/>
    </w:pPr>
    <w:rPr>
      <w:rFonts w:ascii="Arial" w:eastAsiaTheme="minorHAnsi" w:hAnsi="Arial" w:cstheme="minorBidi"/>
      <w:color w:val="000000" w:themeColor="text1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527A16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27A1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A1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A16"/>
    <w:pPr>
      <w:spacing w:after="0" w:line="240" w:lineRule="auto"/>
      <w:ind w:left="714" w:hanging="357"/>
    </w:pPr>
    <w:rPr>
      <w:rFonts w:ascii="Tahoma" w:eastAsiaTheme="minorHAnsi" w:hAnsi="Tahoma" w:cs="Tahoma"/>
      <w:color w:val="000000" w:themeColor="text1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A1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7A16"/>
    <w:pPr>
      <w:spacing w:after="0" w:line="240" w:lineRule="auto"/>
      <w:ind w:left="720" w:hanging="357"/>
      <w:contextualSpacing/>
    </w:pPr>
    <w:rPr>
      <w:color w:val="000000" w:themeColor="text1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27A16"/>
    <w:rPr>
      <w:rFonts w:eastAsiaTheme="majorEastAsia" w:cstheme="majorBidi"/>
      <w:b/>
      <w:i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27A16"/>
    <w:rPr>
      <w:rFonts w:eastAsiaTheme="majorEastAsia" w:cstheme="majorBidi"/>
      <w:i/>
      <w:iCs/>
      <w:lang w:val="en-US"/>
    </w:rPr>
  </w:style>
  <w:style w:type="table" w:styleId="TableGrid">
    <w:name w:val="Table Grid"/>
    <w:basedOn w:val="TableNormal"/>
    <w:rsid w:val="009F5719"/>
    <w:pPr>
      <w:spacing w:line="480" w:lineRule="auto"/>
      <w:ind w:left="0" w:firstLine="0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9F5719"/>
    <w:pPr>
      <w:spacing w:before="60" w:after="6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qFormat/>
    <w:rsid w:val="009F5719"/>
    <w:pPr>
      <w:keepNext/>
    </w:pPr>
    <w:rPr>
      <w:b/>
    </w:rPr>
  </w:style>
  <w:style w:type="character" w:styleId="Hyperlink">
    <w:name w:val="Hyperlink"/>
    <w:basedOn w:val="DefaultParagraphFont"/>
    <w:rsid w:val="009F5719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9F5719"/>
    <w:pPr>
      <w:spacing w:after="120"/>
    </w:pPr>
    <w:rPr>
      <w:b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9F5719"/>
    <w:rPr>
      <w:rFonts w:ascii="Times New Roman" w:eastAsia="Times New Roman" w:hAnsi="Times New Roman" w:cs="Times New Roman"/>
      <w:b/>
      <w:color w:val="auto"/>
      <w:sz w:val="28"/>
      <w:szCs w:val="28"/>
      <w:lang w:val="en-US"/>
    </w:rPr>
  </w:style>
  <w:style w:type="paragraph" w:customStyle="1" w:styleId="Authors">
    <w:name w:val="Authors"/>
    <w:basedOn w:val="Normal"/>
    <w:next w:val="Normal"/>
    <w:qFormat/>
    <w:rsid w:val="009F5719"/>
    <w:pPr>
      <w:spacing w:after="120"/>
    </w:pPr>
    <w:rPr>
      <w:rFonts w:cs="Arial"/>
      <w:b/>
      <w:lang w:val="en-US"/>
    </w:rPr>
  </w:style>
  <w:style w:type="paragraph" w:customStyle="1" w:styleId="Affiliations">
    <w:name w:val="Affiliations"/>
    <w:basedOn w:val="Normal"/>
    <w:next w:val="Normal"/>
    <w:qFormat/>
    <w:rsid w:val="009F5719"/>
    <w:pPr>
      <w:spacing w:after="120"/>
    </w:pPr>
    <w:rPr>
      <w:rFonts w:cs="Arial"/>
      <w:lang w:val="en-US"/>
    </w:rPr>
  </w:style>
  <w:style w:type="character" w:customStyle="1" w:styleId="xbe">
    <w:name w:val="_xbe"/>
    <w:basedOn w:val="DefaultParagraphFont"/>
    <w:rsid w:val="009F5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hyperlink" Target="mailto:oncrhf@humv.es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714</Words>
  <Characters>4076</Characters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2016-08-15T11:27:00Z</dcterms:created>
  <dcterms:modified xsi:type="dcterms:W3CDTF">2016-08-15T11:30:00Z</dcterms:modified>
</cp:coreProperties>
</file>