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2ECE6" w14:textId="7C4D255B" w:rsidR="007F1AFD" w:rsidRDefault="007F1AFD">
      <w:pPr>
        <w:rPr>
          <w:sz w:val="20"/>
          <w:szCs w:val="20"/>
        </w:rPr>
      </w:pPr>
      <w:r w:rsidRPr="00BE139D">
        <w:rPr>
          <w:b/>
          <w:bCs/>
          <w:sz w:val="20"/>
          <w:szCs w:val="20"/>
        </w:rPr>
        <w:t>Supplementary Table 1.</w:t>
      </w:r>
      <w:r w:rsidRPr="00BE139D">
        <w:rPr>
          <w:sz w:val="20"/>
          <w:szCs w:val="20"/>
        </w:rPr>
        <w:t xml:space="preserve"> Summary of calculations for expected cases in </w:t>
      </w:r>
      <w:r w:rsidR="00A30243">
        <w:rPr>
          <w:sz w:val="20"/>
          <w:szCs w:val="20"/>
        </w:rPr>
        <w:t>standardised incidence ratios</w:t>
      </w:r>
      <w:r w:rsidR="00FE33B7">
        <w:rPr>
          <w:sz w:val="20"/>
          <w:szCs w:val="20"/>
        </w:rPr>
        <w:t xml:space="preserve"> (SIR)</w:t>
      </w:r>
      <w:r w:rsidRPr="00BE139D">
        <w:rPr>
          <w:sz w:val="20"/>
          <w:szCs w:val="20"/>
        </w:rPr>
        <w:t xml:space="preserve"> of included studies</w:t>
      </w:r>
      <w:r>
        <w:rPr>
          <w:sz w:val="20"/>
          <w:szCs w:val="20"/>
        </w:rPr>
        <w:t>.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379"/>
        <w:gridCol w:w="5864"/>
        <w:gridCol w:w="5705"/>
      </w:tblGrid>
      <w:tr w:rsidR="007F1AFD" w:rsidRPr="001F353B" w14:paraId="0EE515C7" w14:textId="77777777" w:rsidTr="00C45F85">
        <w:tc>
          <w:tcPr>
            <w:tcW w:w="2379" w:type="dxa"/>
          </w:tcPr>
          <w:p w14:paraId="73620BE2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rFonts w:cs="Times New Roman"/>
                <w:b/>
                <w:bCs/>
                <w:sz w:val="20"/>
                <w:szCs w:val="20"/>
              </w:rPr>
              <w:t>Study ID</w:t>
            </w:r>
          </w:p>
        </w:tc>
        <w:tc>
          <w:tcPr>
            <w:tcW w:w="5864" w:type="dxa"/>
          </w:tcPr>
          <w:p w14:paraId="136ED058" w14:textId="77777777" w:rsidR="007F1AFD" w:rsidRPr="001F353B" w:rsidRDefault="007F1AFD" w:rsidP="00C45F85">
            <w:pPr>
              <w:rPr>
                <w:b/>
                <w:bCs/>
                <w:sz w:val="20"/>
                <w:szCs w:val="20"/>
              </w:rPr>
            </w:pPr>
            <w:r w:rsidRPr="001F353B">
              <w:rPr>
                <w:b/>
                <w:bCs/>
                <w:sz w:val="20"/>
                <w:szCs w:val="20"/>
              </w:rPr>
              <w:t>Calculation for expected cases in SIR</w:t>
            </w:r>
          </w:p>
        </w:tc>
        <w:tc>
          <w:tcPr>
            <w:tcW w:w="5705" w:type="dxa"/>
          </w:tcPr>
          <w:p w14:paraId="1D3B8189" w14:textId="77777777" w:rsidR="007F1AFD" w:rsidRPr="001F353B" w:rsidRDefault="007F1AFD" w:rsidP="00C45F85">
            <w:pPr>
              <w:rPr>
                <w:b/>
                <w:bCs/>
                <w:sz w:val="20"/>
                <w:szCs w:val="20"/>
              </w:rPr>
            </w:pPr>
            <w:r w:rsidRPr="001F353B">
              <w:rPr>
                <w:b/>
                <w:bCs/>
                <w:sz w:val="20"/>
                <w:szCs w:val="20"/>
              </w:rPr>
              <w:t>Population/Registry, Country</w:t>
            </w:r>
          </w:p>
        </w:tc>
      </w:tr>
      <w:tr w:rsidR="007F1AFD" w:rsidRPr="001F353B" w14:paraId="09E50B6C" w14:textId="77777777" w:rsidTr="00C45F85">
        <w:tc>
          <w:tcPr>
            <w:tcW w:w="2379" w:type="dxa"/>
          </w:tcPr>
          <w:p w14:paraId="05811ED5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rFonts w:cs="Times New Roman"/>
                <w:sz w:val="20"/>
                <w:szCs w:val="20"/>
              </w:rPr>
              <w:t>Bright et al (2019)</w:t>
            </w:r>
            <w:r w:rsidRPr="001F353B">
              <w:rPr>
                <w:rFonts w:cs="Times New Roman"/>
                <w:noProof/>
                <w:sz w:val="20"/>
                <w:szCs w:val="20"/>
              </w:rPr>
              <w:t>(16)</w:t>
            </w:r>
          </w:p>
        </w:tc>
        <w:tc>
          <w:tcPr>
            <w:tcW w:w="5864" w:type="dxa"/>
          </w:tcPr>
          <w:p w14:paraId="458872F2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Multiplying the number of person-years accrued, stratified by gender, attained age (5-year bands), and calendar year (1-year bands)</w:t>
            </w:r>
          </w:p>
          <w:p w14:paraId="1EAE9624" w14:textId="77777777" w:rsidR="007F1AFD" w:rsidRPr="001F353B" w:rsidRDefault="007F1AFD" w:rsidP="00C45F85">
            <w:pPr>
              <w:rPr>
                <w:sz w:val="20"/>
                <w:szCs w:val="20"/>
              </w:rPr>
            </w:pPr>
          </w:p>
        </w:tc>
        <w:tc>
          <w:tcPr>
            <w:tcW w:w="5705" w:type="dxa"/>
          </w:tcPr>
          <w:p w14:paraId="2AC2AFF5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General population, England and Wales</w:t>
            </w:r>
          </w:p>
        </w:tc>
      </w:tr>
      <w:tr w:rsidR="007F1AFD" w:rsidRPr="001F353B" w14:paraId="4F679079" w14:textId="77777777" w:rsidTr="00C45F85">
        <w:tc>
          <w:tcPr>
            <w:tcW w:w="2379" w:type="dxa"/>
          </w:tcPr>
          <w:p w14:paraId="32F3D14D" w14:textId="77777777" w:rsidR="007F1AFD" w:rsidRPr="001F353B" w:rsidRDefault="007F1AFD" w:rsidP="00C45F85">
            <w:pPr>
              <w:rPr>
                <w:rFonts w:cs="Times New Roman"/>
                <w:sz w:val="20"/>
                <w:szCs w:val="20"/>
              </w:rPr>
            </w:pPr>
            <w:r w:rsidRPr="001F353B">
              <w:rPr>
                <w:rFonts w:cs="Times New Roman"/>
                <w:sz w:val="20"/>
                <w:szCs w:val="20"/>
              </w:rPr>
              <w:t>Caini et al (2016)</w:t>
            </w:r>
            <w:r>
              <w:rPr>
                <w:rFonts w:cs="Times New Roman"/>
                <w:noProof/>
                <w:sz w:val="20"/>
                <w:szCs w:val="20"/>
              </w:rPr>
              <w:t>(30)</w:t>
            </w:r>
          </w:p>
        </w:tc>
        <w:tc>
          <w:tcPr>
            <w:tcW w:w="5864" w:type="dxa"/>
          </w:tcPr>
          <w:p w14:paraId="4EB1511C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The application of sex-, single year age, calendar year-, and country macro region- (North-western, North-eastern, Central, Southern and Islands) of specific cancer reference rates to the follow-up time accrued after melanoma diagnosis</w:t>
            </w:r>
          </w:p>
          <w:p w14:paraId="03818CB9" w14:textId="77777777" w:rsidR="007F1AFD" w:rsidRPr="001F353B" w:rsidRDefault="007F1AFD" w:rsidP="00C45F85">
            <w:pPr>
              <w:rPr>
                <w:sz w:val="20"/>
                <w:szCs w:val="20"/>
              </w:rPr>
            </w:pPr>
          </w:p>
        </w:tc>
        <w:tc>
          <w:tcPr>
            <w:tcW w:w="5705" w:type="dxa"/>
          </w:tcPr>
          <w:p w14:paraId="1C0037C0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European Institute of Oncology Database, Italy</w:t>
            </w:r>
          </w:p>
        </w:tc>
      </w:tr>
      <w:tr w:rsidR="007F1AFD" w:rsidRPr="001F353B" w14:paraId="3181AE6E" w14:textId="77777777" w:rsidTr="00C45F85">
        <w:tc>
          <w:tcPr>
            <w:tcW w:w="2379" w:type="dxa"/>
          </w:tcPr>
          <w:p w14:paraId="531E55FC" w14:textId="77777777" w:rsidR="007F1AFD" w:rsidRPr="001F353B" w:rsidRDefault="007F1AFD" w:rsidP="00C45F85">
            <w:pPr>
              <w:rPr>
                <w:rFonts w:cs="Times New Roman"/>
                <w:sz w:val="20"/>
                <w:szCs w:val="20"/>
              </w:rPr>
            </w:pPr>
            <w:r w:rsidRPr="001F353B">
              <w:rPr>
                <w:rFonts w:cs="Times New Roman"/>
                <w:sz w:val="20"/>
                <w:szCs w:val="20"/>
              </w:rPr>
              <w:t>Chung et al (2017)</w:t>
            </w:r>
            <w:r>
              <w:rPr>
                <w:rFonts w:cs="Times New Roman"/>
                <w:noProof/>
                <w:sz w:val="20"/>
                <w:szCs w:val="20"/>
              </w:rPr>
              <w:t>(31)</w:t>
            </w:r>
          </w:p>
        </w:tc>
        <w:tc>
          <w:tcPr>
            <w:tcW w:w="5864" w:type="dxa"/>
          </w:tcPr>
          <w:p w14:paraId="4DD59131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Cancer incidence rates to the corresponding general population</w:t>
            </w:r>
          </w:p>
          <w:p w14:paraId="152FED2E" w14:textId="77777777" w:rsidR="007F1AFD" w:rsidRPr="001F353B" w:rsidRDefault="007F1AFD" w:rsidP="00C45F85">
            <w:pPr>
              <w:rPr>
                <w:sz w:val="20"/>
                <w:szCs w:val="20"/>
              </w:rPr>
            </w:pPr>
          </w:p>
        </w:tc>
        <w:tc>
          <w:tcPr>
            <w:tcW w:w="5705" w:type="dxa"/>
          </w:tcPr>
          <w:p w14:paraId="6AAAB229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Korean Central Cancer Registry, South Korea</w:t>
            </w:r>
          </w:p>
        </w:tc>
      </w:tr>
      <w:tr w:rsidR="007F1AFD" w:rsidRPr="001F353B" w14:paraId="54731804" w14:textId="77777777" w:rsidTr="00C45F85">
        <w:tc>
          <w:tcPr>
            <w:tcW w:w="2379" w:type="dxa"/>
          </w:tcPr>
          <w:p w14:paraId="570D7C24" w14:textId="77777777" w:rsidR="007F1AFD" w:rsidRPr="001F353B" w:rsidRDefault="007F1AFD" w:rsidP="00C45F85">
            <w:pPr>
              <w:rPr>
                <w:rFonts w:cs="Times New Roman"/>
                <w:sz w:val="20"/>
                <w:szCs w:val="20"/>
              </w:rPr>
            </w:pPr>
            <w:r w:rsidRPr="001F353B">
              <w:rPr>
                <w:rFonts w:cs="Times New Roman"/>
                <w:sz w:val="20"/>
                <w:szCs w:val="20"/>
              </w:rPr>
              <w:t>Cluze et al (2009)</w:t>
            </w:r>
            <w:r>
              <w:rPr>
                <w:rFonts w:cs="Times New Roman"/>
                <w:noProof/>
                <w:sz w:val="20"/>
                <w:szCs w:val="20"/>
              </w:rPr>
              <w:t>(32)</w:t>
            </w:r>
          </w:p>
        </w:tc>
        <w:tc>
          <w:tcPr>
            <w:tcW w:w="5864" w:type="dxa"/>
          </w:tcPr>
          <w:p w14:paraId="3B60442D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Site-, sex- and age (5-year intervals)-specific cancer incidence rates of the general population to the corresponding number of person–years at risk</w:t>
            </w:r>
          </w:p>
          <w:p w14:paraId="772436AE" w14:textId="77777777" w:rsidR="007F1AFD" w:rsidRPr="001F353B" w:rsidRDefault="007F1AFD" w:rsidP="00C45F85">
            <w:pPr>
              <w:rPr>
                <w:sz w:val="20"/>
                <w:szCs w:val="20"/>
              </w:rPr>
            </w:pPr>
          </w:p>
        </w:tc>
        <w:tc>
          <w:tcPr>
            <w:tcW w:w="5705" w:type="dxa"/>
          </w:tcPr>
          <w:p w14:paraId="4352A43A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 xml:space="preserve">Cancer Registry of Isère, France </w:t>
            </w:r>
          </w:p>
        </w:tc>
      </w:tr>
      <w:tr w:rsidR="00CA0A6D" w:rsidRPr="001F353B" w14:paraId="5F2F749D" w14:textId="77777777" w:rsidTr="00C45F85">
        <w:tc>
          <w:tcPr>
            <w:tcW w:w="2379" w:type="dxa"/>
          </w:tcPr>
          <w:p w14:paraId="3BEB983F" w14:textId="1F332AD9" w:rsidR="00CA0A6D" w:rsidRDefault="00CA0A6D" w:rsidP="00C45F8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Crocetti (2021)</w:t>
            </w:r>
            <w:r w:rsidR="002A1BC9">
              <w:rPr>
                <w:rFonts w:cs="Times New Roman"/>
                <w:sz w:val="20"/>
                <w:szCs w:val="20"/>
              </w:rPr>
              <w:t>(36)</w:t>
            </w:r>
          </w:p>
          <w:p w14:paraId="433BACF1" w14:textId="17192D4D" w:rsidR="00CA0A6D" w:rsidRPr="001F353B" w:rsidRDefault="00CA0A6D" w:rsidP="00C45F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64" w:type="dxa"/>
          </w:tcPr>
          <w:p w14:paraId="63666587" w14:textId="709EF993" w:rsidR="00CA0A6D" w:rsidRPr="001F353B" w:rsidRDefault="00A30243" w:rsidP="00C45F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A30243">
              <w:rPr>
                <w:sz w:val="20"/>
                <w:szCs w:val="20"/>
              </w:rPr>
              <w:t>ultiplying the cumulative person‐years of observation by the specific incidence rates for the strata in which person‐years were distributed</w:t>
            </w:r>
          </w:p>
        </w:tc>
        <w:tc>
          <w:tcPr>
            <w:tcW w:w="5705" w:type="dxa"/>
          </w:tcPr>
          <w:p w14:paraId="6A51CCEC" w14:textId="55344904" w:rsidR="00CA0A6D" w:rsidRPr="001F353B" w:rsidRDefault="00A30243" w:rsidP="00C45F85">
            <w:pPr>
              <w:rPr>
                <w:sz w:val="20"/>
                <w:szCs w:val="20"/>
              </w:rPr>
            </w:pPr>
            <w:r w:rsidRPr="00A30243">
              <w:rPr>
                <w:sz w:val="20"/>
                <w:szCs w:val="20"/>
              </w:rPr>
              <w:t>Italian cancer registries</w:t>
            </w:r>
            <w:r>
              <w:rPr>
                <w:sz w:val="20"/>
                <w:szCs w:val="20"/>
              </w:rPr>
              <w:t>, Italy.</w:t>
            </w:r>
          </w:p>
        </w:tc>
      </w:tr>
      <w:tr w:rsidR="007F1AFD" w:rsidRPr="001F353B" w14:paraId="3D40A352" w14:textId="77777777" w:rsidTr="00C45F85">
        <w:tc>
          <w:tcPr>
            <w:tcW w:w="2379" w:type="dxa"/>
          </w:tcPr>
          <w:p w14:paraId="5E6D2E36" w14:textId="77777777" w:rsidR="007F1AFD" w:rsidRPr="001F353B" w:rsidRDefault="007F1AFD" w:rsidP="00C45F85">
            <w:pPr>
              <w:rPr>
                <w:rFonts w:cs="Times New Roman"/>
                <w:sz w:val="20"/>
                <w:szCs w:val="20"/>
              </w:rPr>
            </w:pPr>
            <w:r w:rsidRPr="001F353B">
              <w:rPr>
                <w:rFonts w:cs="Times New Roman"/>
                <w:sz w:val="20"/>
                <w:szCs w:val="20"/>
              </w:rPr>
              <w:t>Dasgupta et al (2012)</w:t>
            </w:r>
            <w:r w:rsidRPr="001F353B">
              <w:rPr>
                <w:rFonts w:cs="Times New Roman"/>
                <w:noProof/>
                <w:sz w:val="20"/>
                <w:szCs w:val="20"/>
              </w:rPr>
              <w:t>(18)</w:t>
            </w:r>
          </w:p>
        </w:tc>
        <w:tc>
          <w:tcPr>
            <w:tcW w:w="5864" w:type="dxa"/>
          </w:tcPr>
          <w:p w14:paraId="1D92C8E0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Age- and sex-matched general population</w:t>
            </w:r>
          </w:p>
          <w:p w14:paraId="23310B80" w14:textId="77777777" w:rsidR="007F1AFD" w:rsidRPr="001F353B" w:rsidRDefault="007F1AFD" w:rsidP="00C45F85">
            <w:pPr>
              <w:rPr>
                <w:sz w:val="20"/>
                <w:szCs w:val="20"/>
              </w:rPr>
            </w:pPr>
          </w:p>
        </w:tc>
        <w:tc>
          <w:tcPr>
            <w:tcW w:w="5705" w:type="dxa"/>
          </w:tcPr>
          <w:p w14:paraId="2B92E3F9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Queensland Cancer Registry, Australia</w:t>
            </w:r>
          </w:p>
        </w:tc>
      </w:tr>
      <w:tr w:rsidR="007F1AFD" w:rsidRPr="001F353B" w14:paraId="01DCCCD8" w14:textId="77777777" w:rsidTr="00C45F85">
        <w:tc>
          <w:tcPr>
            <w:tcW w:w="2379" w:type="dxa"/>
          </w:tcPr>
          <w:p w14:paraId="73C64EC9" w14:textId="77777777" w:rsidR="007F1AFD" w:rsidRPr="001F353B" w:rsidRDefault="007F1AFD" w:rsidP="00C45F85">
            <w:pPr>
              <w:rPr>
                <w:rFonts w:cs="Times New Roman"/>
                <w:sz w:val="20"/>
                <w:szCs w:val="20"/>
              </w:rPr>
            </w:pPr>
            <w:r w:rsidRPr="001F353B">
              <w:rPr>
                <w:rFonts w:cs="Times New Roman"/>
                <w:sz w:val="20"/>
                <w:szCs w:val="20"/>
              </w:rPr>
              <w:t>He et al (2018)</w:t>
            </w:r>
            <w:r>
              <w:rPr>
                <w:rFonts w:cs="Times New Roman"/>
                <w:noProof/>
                <w:sz w:val="20"/>
                <w:szCs w:val="20"/>
              </w:rPr>
              <w:t>(33)</w:t>
            </w:r>
          </w:p>
        </w:tc>
        <w:tc>
          <w:tcPr>
            <w:tcW w:w="5864" w:type="dxa"/>
          </w:tcPr>
          <w:p w14:paraId="19C97899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Age-specific, sex-specific, and race-specific incidence rates</w:t>
            </w:r>
          </w:p>
          <w:p w14:paraId="6124378F" w14:textId="77777777" w:rsidR="007F1AFD" w:rsidRPr="001F353B" w:rsidRDefault="007F1AFD" w:rsidP="00C45F85">
            <w:pPr>
              <w:rPr>
                <w:sz w:val="20"/>
                <w:szCs w:val="20"/>
              </w:rPr>
            </w:pPr>
          </w:p>
        </w:tc>
        <w:tc>
          <w:tcPr>
            <w:tcW w:w="5705" w:type="dxa"/>
          </w:tcPr>
          <w:p w14:paraId="457448B5" w14:textId="77777777" w:rsidR="007F1AFD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Surveillance, Epidemiology, and End Results Program of the National Cancer in United States of America</w:t>
            </w:r>
          </w:p>
          <w:p w14:paraId="191626D7" w14:textId="77777777" w:rsidR="007F1AFD" w:rsidRPr="001F353B" w:rsidRDefault="007F1AFD" w:rsidP="00C45F85">
            <w:pPr>
              <w:rPr>
                <w:sz w:val="20"/>
                <w:szCs w:val="20"/>
              </w:rPr>
            </w:pPr>
          </w:p>
        </w:tc>
      </w:tr>
      <w:tr w:rsidR="007F1AFD" w:rsidRPr="001F353B" w14:paraId="145D5756" w14:textId="77777777" w:rsidTr="00C45F85">
        <w:tc>
          <w:tcPr>
            <w:tcW w:w="2379" w:type="dxa"/>
          </w:tcPr>
          <w:p w14:paraId="0EAB1991" w14:textId="77777777" w:rsidR="007F1AFD" w:rsidRPr="001F353B" w:rsidRDefault="007F1AFD" w:rsidP="00C45F85">
            <w:pPr>
              <w:rPr>
                <w:rFonts w:cs="Times New Roman"/>
                <w:sz w:val="20"/>
                <w:szCs w:val="20"/>
              </w:rPr>
            </w:pPr>
            <w:r w:rsidRPr="001F353B">
              <w:rPr>
                <w:rFonts w:cs="Times New Roman"/>
                <w:sz w:val="20"/>
                <w:szCs w:val="20"/>
              </w:rPr>
              <w:t>Lee et al (2015)</w:t>
            </w:r>
            <w:r>
              <w:rPr>
                <w:rFonts w:cs="Times New Roman"/>
                <w:noProof/>
                <w:sz w:val="20"/>
                <w:szCs w:val="20"/>
              </w:rPr>
              <w:t>(34)</w:t>
            </w:r>
          </w:p>
        </w:tc>
        <w:tc>
          <w:tcPr>
            <w:tcW w:w="5864" w:type="dxa"/>
          </w:tcPr>
          <w:p w14:paraId="550091C4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Age in 5-year intervals, sex, and calendar year by the specific stratified person-time variable</w:t>
            </w:r>
          </w:p>
          <w:p w14:paraId="11E4DEA1" w14:textId="77777777" w:rsidR="007F1AFD" w:rsidRPr="001F353B" w:rsidRDefault="007F1AFD" w:rsidP="00C45F85">
            <w:pPr>
              <w:rPr>
                <w:sz w:val="20"/>
                <w:szCs w:val="20"/>
              </w:rPr>
            </w:pPr>
          </w:p>
        </w:tc>
        <w:tc>
          <w:tcPr>
            <w:tcW w:w="5705" w:type="dxa"/>
          </w:tcPr>
          <w:p w14:paraId="143D7279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Taiwan National Health Insurance Database, Taiwan</w:t>
            </w:r>
          </w:p>
        </w:tc>
      </w:tr>
      <w:tr w:rsidR="007F1AFD" w:rsidRPr="001F353B" w14:paraId="362491EC" w14:textId="77777777" w:rsidTr="00C45F85">
        <w:tc>
          <w:tcPr>
            <w:tcW w:w="2379" w:type="dxa"/>
          </w:tcPr>
          <w:p w14:paraId="5BEC4DBD" w14:textId="77777777" w:rsidR="007F1AFD" w:rsidRPr="001F353B" w:rsidRDefault="007F1AFD" w:rsidP="00C45F85">
            <w:pPr>
              <w:rPr>
                <w:rFonts w:cs="Times New Roman"/>
                <w:sz w:val="20"/>
                <w:szCs w:val="20"/>
              </w:rPr>
            </w:pPr>
            <w:r w:rsidRPr="001F353B">
              <w:rPr>
                <w:rFonts w:cs="Times New Roman"/>
                <w:sz w:val="20"/>
                <w:szCs w:val="20"/>
              </w:rPr>
              <w:t>Levi et al (1999)</w:t>
            </w:r>
            <w:r w:rsidRPr="001F353B">
              <w:rPr>
                <w:rFonts w:cs="Times New Roman"/>
                <w:noProof/>
                <w:sz w:val="20"/>
                <w:szCs w:val="20"/>
              </w:rPr>
              <w:t>(21)</w:t>
            </w:r>
          </w:p>
        </w:tc>
        <w:tc>
          <w:tcPr>
            <w:tcW w:w="5864" w:type="dxa"/>
          </w:tcPr>
          <w:p w14:paraId="136F4127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Site-, age- and calendar period-specific incidence rates multiplied by the corresponding number of person-years at risk</w:t>
            </w:r>
          </w:p>
          <w:p w14:paraId="2E232174" w14:textId="77777777" w:rsidR="007F1AFD" w:rsidRPr="001F353B" w:rsidRDefault="007F1AFD" w:rsidP="00C45F85">
            <w:pPr>
              <w:rPr>
                <w:sz w:val="20"/>
                <w:szCs w:val="20"/>
              </w:rPr>
            </w:pPr>
          </w:p>
        </w:tc>
        <w:tc>
          <w:tcPr>
            <w:tcW w:w="5705" w:type="dxa"/>
          </w:tcPr>
          <w:p w14:paraId="14C72008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Vaud Cancer Registry, Switzerland</w:t>
            </w:r>
          </w:p>
        </w:tc>
      </w:tr>
      <w:tr w:rsidR="007F1AFD" w:rsidRPr="001F353B" w14:paraId="15FC9553" w14:textId="77777777" w:rsidTr="00C45F85">
        <w:tc>
          <w:tcPr>
            <w:tcW w:w="2379" w:type="dxa"/>
          </w:tcPr>
          <w:p w14:paraId="33FEDB5C" w14:textId="77777777" w:rsidR="007F1AFD" w:rsidRPr="001F353B" w:rsidRDefault="007F1AFD" w:rsidP="00C45F85">
            <w:pPr>
              <w:rPr>
                <w:rFonts w:cs="Times New Roman"/>
                <w:sz w:val="20"/>
                <w:szCs w:val="20"/>
              </w:rPr>
            </w:pPr>
            <w:r w:rsidRPr="001F353B">
              <w:rPr>
                <w:rFonts w:cs="Times New Roman"/>
                <w:sz w:val="20"/>
                <w:szCs w:val="20"/>
              </w:rPr>
              <w:t>Utada et al (2014)</w:t>
            </w:r>
            <w:r>
              <w:rPr>
                <w:rFonts w:cs="Times New Roman"/>
                <w:noProof/>
                <w:sz w:val="20"/>
                <w:szCs w:val="20"/>
              </w:rPr>
              <w:t>(27)</w:t>
            </w:r>
          </w:p>
        </w:tc>
        <w:tc>
          <w:tcPr>
            <w:tcW w:w="5864" w:type="dxa"/>
          </w:tcPr>
          <w:p w14:paraId="53321CFB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Sex-, age group-, and year of diagnosis-specific incidence rates in the general population</w:t>
            </w:r>
          </w:p>
          <w:p w14:paraId="448EAABE" w14:textId="77777777" w:rsidR="007F1AFD" w:rsidRPr="001F353B" w:rsidRDefault="007F1AFD" w:rsidP="00C45F85">
            <w:pPr>
              <w:rPr>
                <w:sz w:val="20"/>
                <w:szCs w:val="20"/>
              </w:rPr>
            </w:pPr>
          </w:p>
        </w:tc>
        <w:tc>
          <w:tcPr>
            <w:tcW w:w="5705" w:type="dxa"/>
          </w:tcPr>
          <w:p w14:paraId="30390188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Nagasaki Prefecture Cancer Registry, Japan</w:t>
            </w:r>
          </w:p>
        </w:tc>
      </w:tr>
      <w:tr w:rsidR="007F1AFD" w:rsidRPr="001F353B" w14:paraId="2A40F9FB" w14:textId="77777777" w:rsidTr="00C45F85">
        <w:tc>
          <w:tcPr>
            <w:tcW w:w="2379" w:type="dxa"/>
          </w:tcPr>
          <w:p w14:paraId="15F95F9B" w14:textId="77777777" w:rsidR="007F1AFD" w:rsidRPr="001F353B" w:rsidRDefault="007F1AFD" w:rsidP="00C45F85">
            <w:pPr>
              <w:rPr>
                <w:rFonts w:cs="Times New Roman"/>
                <w:sz w:val="20"/>
                <w:szCs w:val="20"/>
              </w:rPr>
            </w:pPr>
            <w:r w:rsidRPr="001F353B">
              <w:rPr>
                <w:rFonts w:cs="Times New Roman"/>
                <w:sz w:val="20"/>
                <w:szCs w:val="20"/>
              </w:rPr>
              <w:t>Ye et al (2018)</w:t>
            </w:r>
            <w:r>
              <w:rPr>
                <w:rFonts w:cs="Times New Roman"/>
                <w:noProof/>
                <w:sz w:val="20"/>
                <w:szCs w:val="20"/>
              </w:rPr>
              <w:t>(35)</w:t>
            </w:r>
          </w:p>
        </w:tc>
        <w:tc>
          <w:tcPr>
            <w:tcW w:w="5864" w:type="dxa"/>
          </w:tcPr>
          <w:p w14:paraId="1AD5779B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Person-years at risk within strata multiplied by corresponding site-specific cancer incidence rates in the general population</w:t>
            </w:r>
          </w:p>
          <w:p w14:paraId="0A5A34ED" w14:textId="77777777" w:rsidR="007F1AFD" w:rsidRPr="001F353B" w:rsidRDefault="007F1AFD" w:rsidP="00C45F85">
            <w:pPr>
              <w:rPr>
                <w:sz w:val="20"/>
                <w:szCs w:val="20"/>
              </w:rPr>
            </w:pPr>
          </w:p>
        </w:tc>
        <w:tc>
          <w:tcPr>
            <w:tcW w:w="5705" w:type="dxa"/>
          </w:tcPr>
          <w:p w14:paraId="41AD23BE" w14:textId="77777777" w:rsidR="007F1AFD" w:rsidRPr="001F353B" w:rsidRDefault="007F1AFD" w:rsidP="00C45F85">
            <w:pPr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>Tasmanian Cancer Registry, Australia</w:t>
            </w:r>
          </w:p>
        </w:tc>
      </w:tr>
      <w:tr w:rsidR="00CA0A6D" w:rsidRPr="001F353B" w14:paraId="25A937FF" w14:textId="77777777" w:rsidTr="00C45F85">
        <w:tc>
          <w:tcPr>
            <w:tcW w:w="2379" w:type="dxa"/>
          </w:tcPr>
          <w:p w14:paraId="7375B53B" w14:textId="2EF32011" w:rsidR="00CA0A6D" w:rsidRDefault="00CA0A6D" w:rsidP="00C45F8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Zheng et al (2021)</w:t>
            </w:r>
            <w:r w:rsidR="002A1BC9">
              <w:rPr>
                <w:rFonts w:cs="Times New Roman"/>
                <w:sz w:val="20"/>
                <w:szCs w:val="20"/>
              </w:rPr>
              <w:t>(37)</w:t>
            </w:r>
          </w:p>
          <w:p w14:paraId="44269871" w14:textId="69F191DD" w:rsidR="00CA0A6D" w:rsidRPr="001F353B" w:rsidRDefault="00CA0A6D" w:rsidP="00C45F8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64" w:type="dxa"/>
          </w:tcPr>
          <w:p w14:paraId="670C6529" w14:textId="77777777" w:rsidR="00CA0A6D" w:rsidRDefault="00A30243" w:rsidP="00C45F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A30243">
              <w:rPr>
                <w:sz w:val="20"/>
                <w:szCs w:val="20"/>
              </w:rPr>
              <w:t xml:space="preserve">trata‐specific person years in patients with diagnosis of first primary bladder or </w:t>
            </w:r>
            <w:r>
              <w:rPr>
                <w:sz w:val="20"/>
                <w:szCs w:val="20"/>
              </w:rPr>
              <w:t xml:space="preserve">upper urinary </w:t>
            </w:r>
            <w:r w:rsidR="00FE33B7">
              <w:rPr>
                <w:sz w:val="20"/>
                <w:szCs w:val="20"/>
              </w:rPr>
              <w:t>tract</w:t>
            </w:r>
            <w:r w:rsidR="00FE33B7" w:rsidRPr="00A30243">
              <w:rPr>
                <w:sz w:val="20"/>
                <w:szCs w:val="20"/>
              </w:rPr>
              <w:t xml:space="preserve"> cancers</w:t>
            </w:r>
            <w:r w:rsidRPr="00A30243">
              <w:rPr>
                <w:sz w:val="20"/>
                <w:szCs w:val="20"/>
              </w:rPr>
              <w:t>, multiplied by strata‐specific incidence rates of the same SPC as FPC in the general population</w:t>
            </w:r>
          </w:p>
          <w:p w14:paraId="17B2F73A" w14:textId="21B63B44" w:rsidR="00FE33B7" w:rsidRPr="001F353B" w:rsidRDefault="00FE33B7" w:rsidP="00C45F85">
            <w:pPr>
              <w:rPr>
                <w:sz w:val="20"/>
                <w:szCs w:val="20"/>
              </w:rPr>
            </w:pPr>
          </w:p>
        </w:tc>
        <w:tc>
          <w:tcPr>
            <w:tcW w:w="5705" w:type="dxa"/>
          </w:tcPr>
          <w:p w14:paraId="47C32D2F" w14:textId="32B9BAF5" w:rsidR="00CA0A6D" w:rsidRPr="001F353B" w:rsidRDefault="00FE33B7" w:rsidP="00C45F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Swedish Cancer Register, Sweden</w:t>
            </w:r>
          </w:p>
        </w:tc>
      </w:tr>
      <w:tr w:rsidR="00FE33B7" w:rsidRPr="001F353B" w14:paraId="41673A90" w14:textId="77777777" w:rsidTr="00C45F85">
        <w:tc>
          <w:tcPr>
            <w:tcW w:w="2379" w:type="dxa"/>
          </w:tcPr>
          <w:p w14:paraId="63151F61" w14:textId="22D54F94" w:rsidR="00FE33B7" w:rsidRDefault="00FE33B7" w:rsidP="00FE33B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Zheng et al (2021)(38)</w:t>
            </w:r>
          </w:p>
          <w:p w14:paraId="2BFF7908" w14:textId="3EE144B1" w:rsidR="00FE33B7" w:rsidRPr="001F353B" w:rsidRDefault="00FE33B7" w:rsidP="00FE33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64" w:type="dxa"/>
          </w:tcPr>
          <w:p w14:paraId="02D2E7E6" w14:textId="70E8E5DF" w:rsidR="00FE33B7" w:rsidRPr="001F353B" w:rsidRDefault="00FE33B7" w:rsidP="00FE3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FE33B7">
              <w:rPr>
                <w:sz w:val="20"/>
                <w:szCs w:val="20"/>
              </w:rPr>
              <w:t xml:space="preserve">he followed person-years after first primary cancer diagnosis, multiplied by the incidence of the same cancer as </w:t>
            </w:r>
            <w:r>
              <w:rPr>
                <w:sz w:val="20"/>
                <w:szCs w:val="20"/>
              </w:rPr>
              <w:t>first primary cancer</w:t>
            </w:r>
            <w:r w:rsidRPr="00FE33B7">
              <w:rPr>
                <w:sz w:val="20"/>
                <w:szCs w:val="20"/>
              </w:rPr>
              <w:t xml:space="preserve"> in the general population</w:t>
            </w:r>
          </w:p>
        </w:tc>
        <w:tc>
          <w:tcPr>
            <w:tcW w:w="5705" w:type="dxa"/>
          </w:tcPr>
          <w:p w14:paraId="70171AAC" w14:textId="100BC41F" w:rsidR="00FE33B7" w:rsidRPr="001F353B" w:rsidRDefault="00FE33B7" w:rsidP="00FE3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Swedish Cancer Register, Sweden</w:t>
            </w:r>
          </w:p>
        </w:tc>
      </w:tr>
    </w:tbl>
    <w:p w14:paraId="157DEF4C" w14:textId="77777777" w:rsidR="007F1AFD" w:rsidRDefault="007F1AFD"/>
    <w:sectPr w:rsidR="007F1AFD" w:rsidSect="007F1AF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33531" w14:textId="77777777" w:rsidR="00463720" w:rsidRDefault="00463720" w:rsidP="007F1AFD">
      <w:pPr>
        <w:spacing w:after="0" w:line="240" w:lineRule="auto"/>
      </w:pPr>
      <w:r>
        <w:separator/>
      </w:r>
    </w:p>
  </w:endnote>
  <w:endnote w:type="continuationSeparator" w:id="0">
    <w:p w14:paraId="1D05E70C" w14:textId="77777777" w:rsidR="00463720" w:rsidRDefault="00463720" w:rsidP="007F1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4FF60" w14:textId="77777777" w:rsidR="00463720" w:rsidRDefault="00463720" w:rsidP="007F1AFD">
      <w:pPr>
        <w:spacing w:after="0" w:line="240" w:lineRule="auto"/>
      </w:pPr>
      <w:r>
        <w:separator/>
      </w:r>
    </w:p>
  </w:footnote>
  <w:footnote w:type="continuationSeparator" w:id="0">
    <w:p w14:paraId="32DB33E4" w14:textId="77777777" w:rsidR="00463720" w:rsidRDefault="00463720" w:rsidP="007F1A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477"/>
    <w:rsid w:val="000F4A3B"/>
    <w:rsid w:val="00165477"/>
    <w:rsid w:val="002A1BC9"/>
    <w:rsid w:val="00463720"/>
    <w:rsid w:val="005A2C5E"/>
    <w:rsid w:val="007F1AFD"/>
    <w:rsid w:val="008B62D8"/>
    <w:rsid w:val="00A30243"/>
    <w:rsid w:val="00BB3722"/>
    <w:rsid w:val="00CA0A6D"/>
    <w:rsid w:val="00F44D5E"/>
    <w:rsid w:val="00FE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D30E0"/>
  <w15:chartTrackingRefBased/>
  <w15:docId w15:val="{EDF27532-3BEF-4779-9B5E-891354C1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2D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1816B-B79C-4EF7-8798-72A4E39E6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Robertson</dc:creator>
  <cp:keywords/>
  <dc:description/>
  <cp:lastModifiedBy>Dylan Robertson</cp:lastModifiedBy>
  <cp:revision>3</cp:revision>
  <dcterms:created xsi:type="dcterms:W3CDTF">2021-12-06T05:36:00Z</dcterms:created>
  <dcterms:modified xsi:type="dcterms:W3CDTF">2022-01-15T11:43:00Z</dcterms:modified>
</cp:coreProperties>
</file>