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A162" w14:textId="77777777" w:rsidR="00C70D56" w:rsidRPr="00EE3090" w:rsidRDefault="00C70D56" w:rsidP="00C70D56">
      <w:pPr>
        <w:pStyle w:val="Heading1"/>
        <w:numPr>
          <w:ilvl w:val="0"/>
          <w:numId w:val="0"/>
        </w:numPr>
        <w:spacing w:before="0" w:after="120" w:line="48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E3090">
        <w:rPr>
          <w:rFonts w:ascii="Times New Roman" w:hAnsi="Times New Roman" w:cs="Times New Roman"/>
          <w:b/>
          <w:bCs/>
          <w:color w:val="auto"/>
          <w:sz w:val="22"/>
          <w:szCs w:val="22"/>
        </w:rPr>
        <w:t>Trends in the Prevalence and Incidence of Ulcerative Colitis in Japan and the U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nited </w:t>
      </w:r>
      <w:r w:rsidRPr="00EE3090">
        <w:rPr>
          <w:rFonts w:ascii="Times New Roman" w:hAnsi="Times New Roman" w:cs="Times New Roman"/>
          <w:b/>
          <w:bCs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tates</w:t>
      </w:r>
      <w:r w:rsidRPr="00EE309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082215F4" w14:textId="77777777" w:rsidR="00C70D56" w:rsidRPr="00EE3090" w:rsidRDefault="00C70D56" w:rsidP="00C70D56">
      <w:pPr>
        <w:spacing w:after="120" w:line="480" w:lineRule="auto"/>
        <w:rPr>
          <w:rFonts w:ascii="Times New Roman" w:hAnsi="Times New Roman" w:cs="Times New Roman"/>
        </w:rPr>
      </w:pPr>
      <w:r w:rsidRPr="00EE3090">
        <w:rPr>
          <w:rFonts w:ascii="Times New Roman" w:hAnsi="Times New Roman" w:cs="Times New Roman"/>
        </w:rPr>
        <w:t>Michiyo Yamazaki, Hsingwen Chung, Y</w:t>
      </w:r>
      <w:r w:rsidRPr="0029159A">
        <w:rPr>
          <w:rFonts w:ascii="Times New Roman" w:hAnsi="Times New Roman" w:cs="Times New Roman"/>
        </w:rPr>
        <w:t>o</w:t>
      </w:r>
      <w:r w:rsidRPr="00EE3090">
        <w:rPr>
          <w:rFonts w:ascii="Times New Roman" w:hAnsi="Times New Roman" w:cs="Times New Roman"/>
        </w:rPr>
        <w:t>uran Xu, Hong Qiu</w:t>
      </w:r>
    </w:p>
    <w:p w14:paraId="1C2FEEA1" w14:textId="77777777" w:rsidR="00C70D56" w:rsidRDefault="00C70D56" w:rsidP="00C70D56">
      <w:pPr>
        <w:spacing w:after="120" w:line="480" w:lineRule="auto"/>
        <w:rPr>
          <w:rFonts w:ascii="Times New Roman" w:hAnsi="Times New Roman" w:cs="Times New Roman"/>
          <w:b/>
          <w:bCs/>
        </w:rPr>
      </w:pPr>
      <w:r w:rsidRPr="009759DC">
        <w:rPr>
          <w:rFonts w:ascii="Times New Roman" w:hAnsi="Times New Roman" w:cs="Times New Roman"/>
          <w:b/>
          <w:bCs/>
        </w:rPr>
        <w:t>Supplementary material</w:t>
      </w:r>
    </w:p>
    <w:p w14:paraId="1A3034D6" w14:textId="1B1CEBD1" w:rsidR="00C70D56" w:rsidRDefault="00C70D56" w:rsidP="00C70D56">
      <w:pPr>
        <w:rPr>
          <w:rFonts w:ascii="Times New Roman" w:hAnsi="Times New Roman" w:cs="Times New Roman"/>
          <w:b/>
          <w:bCs/>
        </w:rPr>
      </w:pPr>
    </w:p>
    <w:p w14:paraId="4667B6B4" w14:textId="278D94AF" w:rsidR="00C70D56" w:rsidRDefault="00C70D56" w:rsidP="00C70D56">
      <w:pPr>
        <w:pStyle w:val="ListParagraph"/>
        <w:widowControl w:val="0"/>
        <w:spacing w:after="120" w:line="480" w:lineRule="auto"/>
        <w:ind w:left="0"/>
        <w:contextualSpacing w:val="0"/>
        <w:rPr>
          <w:rFonts w:ascii="Times New Roman" w:hAnsi="Times New Roman" w:cs="Times New Roman"/>
        </w:rPr>
      </w:pPr>
      <w:r w:rsidRPr="009759D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9759DC">
        <w:rPr>
          <w:rFonts w:ascii="Times New Roman" w:hAnsi="Times New Roman" w:cs="Times New Roman"/>
          <w:b/>
          <w:bCs/>
        </w:rPr>
        <w:t xml:space="preserve"> S1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P</w:t>
      </w:r>
      <w:r w:rsidRPr="00584C6A">
        <w:rPr>
          <w:rFonts w:ascii="Times New Roman" w:hAnsi="Times New Roman" w:cs="Times New Roman"/>
        </w:rPr>
        <w:t xml:space="preserve">eriod </w:t>
      </w:r>
      <w:r w:rsidR="009329FD">
        <w:rPr>
          <w:rFonts w:ascii="Times New Roman" w:hAnsi="Times New Roman" w:cs="Times New Roman"/>
        </w:rPr>
        <w:t>P</w:t>
      </w:r>
      <w:r w:rsidRPr="00584C6A">
        <w:rPr>
          <w:rFonts w:ascii="Times New Roman" w:hAnsi="Times New Roman" w:cs="Times New Roman"/>
        </w:rPr>
        <w:t>revalence</w:t>
      </w:r>
      <w:r>
        <w:rPr>
          <w:rFonts w:ascii="Times New Roman" w:hAnsi="Times New Roman" w:cs="Times New Roman"/>
        </w:rPr>
        <w:t xml:space="preserve">* </w:t>
      </w:r>
      <w:r w:rsidRPr="00584C6A">
        <w:rPr>
          <w:rFonts w:ascii="Times New Roman" w:hAnsi="Times New Roman" w:cs="Times New Roman"/>
        </w:rPr>
        <w:t>(per 100</w:t>
      </w:r>
      <w:r>
        <w:rPr>
          <w:rFonts w:ascii="Times New Roman" w:hAnsi="Times New Roman" w:cs="Times New Roman"/>
        </w:rPr>
        <w:t>,</w:t>
      </w:r>
      <w:r w:rsidRPr="00584C6A">
        <w:rPr>
          <w:rFonts w:ascii="Times New Roman" w:hAnsi="Times New Roman" w:cs="Times New Roman"/>
        </w:rPr>
        <w:t xml:space="preserve">000 population) of UC stratified by sex </w:t>
      </w:r>
      <w:r>
        <w:rPr>
          <w:rFonts w:ascii="Times New Roman" w:hAnsi="Times New Roman" w:cs="Times New Roman"/>
        </w:rPr>
        <w:t xml:space="preserve">and age </w:t>
      </w:r>
      <w:r w:rsidRPr="00584C6A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 xml:space="preserve">the </w:t>
      </w:r>
      <w:r w:rsidRPr="00584C6A">
        <w:rPr>
          <w:rFonts w:ascii="Times New Roman" w:hAnsi="Times New Roman" w:cs="Times New Roman"/>
        </w:rPr>
        <w:t>JMDC</w:t>
      </w:r>
      <w:r>
        <w:rPr>
          <w:rFonts w:ascii="Times New Roman" w:hAnsi="Times New Roman" w:cs="Times New Roman"/>
        </w:rPr>
        <w:t xml:space="preserve"> (Japan) and </w:t>
      </w:r>
      <w:r w:rsidRPr="00584C6A">
        <w:rPr>
          <w:rFonts w:ascii="Times New Roman" w:hAnsi="Times New Roman" w:cs="Times New Roman"/>
        </w:rPr>
        <w:t>CCAE</w:t>
      </w:r>
      <w:r>
        <w:rPr>
          <w:rFonts w:ascii="Times New Roman" w:hAnsi="Times New Roman" w:cs="Times New Roman"/>
        </w:rPr>
        <w:t xml:space="preserve"> (US) databases</w:t>
      </w:r>
    </w:p>
    <w:p w14:paraId="13D903BD" w14:textId="000DB365" w:rsidR="00C70D56" w:rsidRDefault="004F5FA3" w:rsidP="00C70D56">
      <w:pPr>
        <w:pStyle w:val="ListParagraph"/>
        <w:widowControl w:val="0"/>
        <w:spacing w:after="120" w:line="240" w:lineRule="auto"/>
        <w:ind w:left="0"/>
        <w:contextualSpacing w:val="0"/>
      </w:pPr>
      <w:r>
        <w:rPr>
          <w:noProof/>
        </w:rPr>
        <w:drawing>
          <wp:inline distT="0" distB="0" distL="0" distR="0" wp14:anchorId="6097F8F5" wp14:editId="6B9B0641">
            <wp:extent cx="5890862" cy="3276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806" cy="3278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0D56" w:rsidRPr="00EE07C9">
        <w:t xml:space="preserve"> </w:t>
      </w:r>
    </w:p>
    <w:p w14:paraId="0771362A" w14:textId="77777777" w:rsidR="00C70D56" w:rsidRPr="0055654F" w:rsidRDefault="00C70D56" w:rsidP="00C70D56">
      <w:pPr>
        <w:pStyle w:val="ListParagraph"/>
        <w:widowControl w:val="0"/>
        <w:spacing w:after="120" w:line="240" w:lineRule="auto"/>
        <w:ind w:left="0"/>
        <w:contextualSpacing w:val="0"/>
        <w:rPr>
          <w:rFonts w:ascii="Times New Roman" w:hAnsi="Times New Roman" w:cs="Times New Roman"/>
          <w:sz w:val="18"/>
          <w:szCs w:val="18"/>
        </w:rPr>
      </w:pPr>
      <w:r w:rsidRPr="0055654F">
        <w:rPr>
          <w:rFonts w:ascii="Times New Roman" w:hAnsi="Times New Roman" w:cs="Times New Roman"/>
          <w:sz w:val="18"/>
          <w:szCs w:val="18"/>
        </w:rPr>
        <w:t>*</w:t>
      </w:r>
      <w:proofErr w:type="gramStart"/>
      <w:r w:rsidRPr="0055654F">
        <w:rPr>
          <w:rFonts w:ascii="Times New Roman" w:hAnsi="Times New Roman" w:cs="Times New Roman"/>
          <w:sz w:val="18"/>
          <w:szCs w:val="18"/>
        </w:rPr>
        <w:t>crude</w:t>
      </w:r>
      <w:proofErr w:type="gramEnd"/>
      <w:r w:rsidRPr="0055654F">
        <w:rPr>
          <w:rFonts w:ascii="Times New Roman" w:hAnsi="Times New Roman" w:cs="Times New Roman"/>
          <w:sz w:val="18"/>
          <w:szCs w:val="18"/>
        </w:rPr>
        <w:t xml:space="preserve"> (unweighted) rates in the CCAE and age-standardized rates in the JMDC using direct standardization based on the CCAE’s age distribution.</w:t>
      </w:r>
    </w:p>
    <w:p w14:paraId="1D37AE32" w14:textId="77777777" w:rsidR="00C70D56" w:rsidRDefault="00C70D56" w:rsidP="00C70D56">
      <w:pPr>
        <w:spacing w:after="120" w:line="480" w:lineRule="auto"/>
        <w:rPr>
          <w:rFonts w:ascii="Times New Roman" w:hAnsi="Times New Roman" w:cs="Times New Roman"/>
        </w:rPr>
      </w:pPr>
    </w:p>
    <w:p w14:paraId="7C226BD5" w14:textId="77777777" w:rsidR="00C70D56" w:rsidRDefault="00C70D56" w:rsidP="00C70D56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14:paraId="4F8FC902" w14:textId="56CA92F0" w:rsidR="00C70D56" w:rsidRDefault="00C70D56" w:rsidP="00C70D56">
      <w:pPr>
        <w:spacing w:after="120" w:line="480" w:lineRule="auto"/>
        <w:rPr>
          <w:rFonts w:ascii="Times New Roman" w:hAnsi="Times New Roman" w:cs="Times New Roman"/>
        </w:rPr>
      </w:pPr>
      <w:r w:rsidRPr="00287BF6">
        <w:rPr>
          <w:rFonts w:ascii="Times New Roman" w:hAnsi="Times New Roman" w:cs="Times New Roman"/>
          <w:b/>
          <w:bCs/>
        </w:rPr>
        <w:lastRenderedPageBreak/>
        <w:t>Fig. S2-1</w:t>
      </w:r>
      <w:r w:rsidRPr="00287BF6">
        <w:rPr>
          <w:rFonts w:ascii="Times New Roman" w:hAnsi="Times New Roman" w:cs="Times New Roman"/>
        </w:rPr>
        <w:t xml:space="preserve"> </w:t>
      </w:r>
      <w:r w:rsidRPr="00287BF6">
        <w:rPr>
          <w:rFonts w:ascii="Times New Roman" w:hAnsi="Times New Roman" w:cs="Times New Roman"/>
        </w:rPr>
        <w:tab/>
        <w:t xml:space="preserve">Annual </w:t>
      </w:r>
      <w:r w:rsidR="009329FD">
        <w:rPr>
          <w:rFonts w:ascii="Times New Roman" w:hAnsi="Times New Roman" w:cs="Times New Roman"/>
        </w:rPr>
        <w:t>P</w:t>
      </w:r>
      <w:r w:rsidRPr="00287BF6">
        <w:rPr>
          <w:rFonts w:ascii="Times New Roman" w:hAnsi="Times New Roman" w:cs="Times New Roman"/>
        </w:rPr>
        <w:t xml:space="preserve">eriod </w:t>
      </w:r>
      <w:r w:rsidR="009329FD">
        <w:rPr>
          <w:rFonts w:ascii="Times New Roman" w:hAnsi="Times New Roman" w:cs="Times New Roman"/>
        </w:rPr>
        <w:t>P</w:t>
      </w:r>
      <w:r w:rsidRPr="00287BF6">
        <w:rPr>
          <w:rFonts w:ascii="Times New Roman" w:hAnsi="Times New Roman" w:cs="Times New Roman"/>
        </w:rPr>
        <w:t>revalence per 100,000 population in the CCAE (US)</w:t>
      </w:r>
      <w:r>
        <w:rPr>
          <w:rFonts w:ascii="Times New Roman" w:hAnsi="Times New Roman" w:cs="Times New Roman"/>
        </w:rPr>
        <w:t xml:space="preserve"> </w:t>
      </w:r>
    </w:p>
    <w:p w14:paraId="5A1F2AAA" w14:textId="0822A7B0" w:rsidR="00C70D56" w:rsidRDefault="00EC1774" w:rsidP="00C70D56">
      <w:pPr>
        <w:pStyle w:val="ListParagraph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56E6C8B" wp14:editId="51C2394C">
            <wp:extent cx="4299039" cy="75057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223" cy="7516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4ACE5" w14:textId="77777777" w:rsidR="00C70D56" w:rsidRDefault="00C70D56" w:rsidP="00C70D56">
      <w:pPr>
        <w:pStyle w:val="ListParagraph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16"/>
          <w:szCs w:val="16"/>
        </w:rPr>
      </w:pPr>
    </w:p>
    <w:p w14:paraId="4659D809" w14:textId="77777777" w:rsidR="00C70D56" w:rsidRDefault="00C70D56" w:rsidP="00C70D5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C19B12" w14:textId="5CB780ED" w:rsidR="00C70D56" w:rsidRDefault="00C70D56" w:rsidP="00C70D56">
      <w:pPr>
        <w:spacing w:after="0" w:line="240" w:lineRule="auto"/>
        <w:rPr>
          <w:rFonts w:ascii="Times New Roman" w:hAnsi="Times New Roman" w:cs="Times New Roman"/>
        </w:rPr>
      </w:pPr>
      <w:r w:rsidRPr="0055654F">
        <w:rPr>
          <w:rFonts w:ascii="Times New Roman" w:hAnsi="Times New Roman" w:cs="Times New Roman"/>
          <w:b/>
          <w:bCs/>
        </w:rPr>
        <w:lastRenderedPageBreak/>
        <w:t>Fig. S2-2</w:t>
      </w:r>
      <w:r w:rsidRPr="0055654F">
        <w:rPr>
          <w:rFonts w:ascii="Times New Roman" w:hAnsi="Times New Roman" w:cs="Times New Roman"/>
        </w:rPr>
        <w:t xml:space="preserve"> </w:t>
      </w:r>
      <w:r w:rsidRPr="0055654F">
        <w:rPr>
          <w:rFonts w:ascii="Times New Roman" w:hAnsi="Times New Roman" w:cs="Times New Roman"/>
        </w:rPr>
        <w:tab/>
        <w:t xml:space="preserve">Annual </w:t>
      </w:r>
      <w:r w:rsidR="009329FD">
        <w:rPr>
          <w:rFonts w:ascii="Times New Roman" w:hAnsi="Times New Roman" w:cs="Times New Roman"/>
        </w:rPr>
        <w:t>P</w:t>
      </w:r>
      <w:r w:rsidRPr="0055654F">
        <w:rPr>
          <w:rFonts w:ascii="Times New Roman" w:hAnsi="Times New Roman" w:cs="Times New Roman"/>
        </w:rPr>
        <w:t xml:space="preserve">eriod </w:t>
      </w:r>
      <w:r w:rsidR="009329FD">
        <w:rPr>
          <w:rFonts w:ascii="Times New Roman" w:hAnsi="Times New Roman" w:cs="Times New Roman"/>
        </w:rPr>
        <w:t>P</w:t>
      </w:r>
      <w:r w:rsidRPr="0055654F">
        <w:rPr>
          <w:rFonts w:ascii="Times New Roman" w:hAnsi="Times New Roman" w:cs="Times New Roman"/>
        </w:rPr>
        <w:t>revalence* per 100,000 population in</w:t>
      </w:r>
      <w:r w:rsidRPr="008112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81128C">
        <w:rPr>
          <w:rFonts w:ascii="Times New Roman" w:hAnsi="Times New Roman" w:cs="Times New Roman"/>
        </w:rPr>
        <w:t>JMDC</w:t>
      </w:r>
      <w:r w:rsidRPr="004831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(Japan) </w:t>
      </w:r>
    </w:p>
    <w:p w14:paraId="273F0D42" w14:textId="13A52727" w:rsidR="00C70D56" w:rsidRDefault="00EC1774" w:rsidP="00C70D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9F95E6" wp14:editId="592E12CD">
            <wp:extent cx="3940200" cy="772477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15" cy="7735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C67C1" w14:textId="77777777" w:rsidR="00C70D56" w:rsidRDefault="00C70D56" w:rsidP="00C70D56">
      <w:pPr>
        <w:spacing w:after="0" w:line="240" w:lineRule="auto"/>
        <w:rPr>
          <w:rFonts w:ascii="Times New Roman" w:hAnsi="Times New Roman" w:cs="Times New Roman"/>
        </w:rPr>
      </w:pPr>
    </w:p>
    <w:p w14:paraId="60553B97" w14:textId="77777777" w:rsidR="00C70D56" w:rsidRPr="00E30477" w:rsidRDefault="00C70D56" w:rsidP="00C70D56">
      <w:pPr>
        <w:pStyle w:val="ListParagraph"/>
        <w:widowControl w:val="0"/>
        <w:spacing w:after="120" w:line="240" w:lineRule="auto"/>
        <w:ind w:left="0"/>
        <w:contextualSpacing w:val="0"/>
        <w:rPr>
          <w:rFonts w:ascii="Times New Roman" w:hAnsi="Times New Roman" w:cs="Times New Roman"/>
          <w:sz w:val="16"/>
          <w:szCs w:val="16"/>
        </w:rPr>
      </w:pPr>
      <w:r w:rsidRPr="0055654F">
        <w:rPr>
          <w:rFonts w:ascii="Times New Roman" w:hAnsi="Times New Roman" w:cs="Times New Roman"/>
          <w:sz w:val="16"/>
          <w:szCs w:val="16"/>
        </w:rPr>
        <w:t>*</w:t>
      </w:r>
      <w:proofErr w:type="gramStart"/>
      <w:r w:rsidRPr="0055654F">
        <w:rPr>
          <w:rFonts w:ascii="Times New Roman" w:hAnsi="Times New Roman" w:cs="Times New Roman"/>
          <w:sz w:val="16"/>
          <w:szCs w:val="16"/>
        </w:rPr>
        <w:t>age</w:t>
      </w:r>
      <w:proofErr w:type="gramEnd"/>
      <w:r w:rsidRPr="0055654F">
        <w:rPr>
          <w:rFonts w:ascii="Times New Roman" w:hAnsi="Times New Roman" w:cs="Times New Roman"/>
          <w:sz w:val="16"/>
          <w:szCs w:val="16"/>
        </w:rPr>
        <w:t>-standardized rates in the JMDC using direct standardization based on the CCAE’s age distribution.</w:t>
      </w:r>
    </w:p>
    <w:p w14:paraId="40DBFFF3" w14:textId="77777777" w:rsidR="00C70D56" w:rsidRDefault="00C70D56" w:rsidP="00C70D56">
      <w:pPr>
        <w:pStyle w:val="ListParagraph"/>
        <w:widowControl w:val="0"/>
        <w:spacing w:after="120" w:line="480" w:lineRule="auto"/>
        <w:ind w:left="0"/>
        <w:contextualSpacing w:val="0"/>
        <w:rPr>
          <w:rFonts w:ascii="Times New Roman" w:hAnsi="Times New Roman" w:cs="Times New Roman"/>
          <w:b/>
          <w:bCs/>
        </w:rPr>
      </w:pPr>
      <w:bookmarkStart w:id="0" w:name="_Hlk116736358"/>
    </w:p>
    <w:p w14:paraId="52F6DCED" w14:textId="1219DC78" w:rsidR="00C70D56" w:rsidRDefault="00C70D56" w:rsidP="00C70D56">
      <w:pPr>
        <w:pStyle w:val="ListParagraph"/>
        <w:widowControl w:val="0"/>
        <w:spacing w:after="120" w:line="480" w:lineRule="auto"/>
        <w:ind w:left="0"/>
        <w:contextualSpacing w:val="0"/>
        <w:rPr>
          <w:rFonts w:ascii="Times New Roman" w:hAnsi="Times New Roman" w:cs="Times New Roman"/>
        </w:rPr>
      </w:pPr>
      <w:r w:rsidRPr="00745EEE">
        <w:rPr>
          <w:rFonts w:ascii="Times New Roman" w:hAnsi="Times New Roman" w:cs="Times New Roman"/>
          <w:b/>
          <w:bCs/>
        </w:rPr>
        <w:t>Fig S3</w:t>
      </w:r>
      <w:r w:rsidRPr="00745E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45EEE">
        <w:rPr>
          <w:rFonts w:ascii="Times New Roman" w:hAnsi="Times New Roman" w:cs="Times New Roman"/>
        </w:rPr>
        <w:t xml:space="preserve">Age-specific </w:t>
      </w:r>
      <w:r w:rsidR="009329FD">
        <w:rPr>
          <w:rFonts w:ascii="Times New Roman" w:hAnsi="Times New Roman" w:cs="Times New Roman"/>
        </w:rPr>
        <w:t>A</w:t>
      </w:r>
      <w:r w:rsidRPr="00745EEE">
        <w:rPr>
          <w:rFonts w:ascii="Times New Roman" w:hAnsi="Times New Roman" w:cs="Times New Roman"/>
        </w:rPr>
        <w:t xml:space="preserve">nnual </w:t>
      </w:r>
      <w:r w:rsidR="009329FD">
        <w:rPr>
          <w:rFonts w:ascii="Times New Roman" w:hAnsi="Times New Roman" w:cs="Times New Roman"/>
        </w:rPr>
        <w:t>I</w:t>
      </w:r>
      <w:r w:rsidRPr="00745EEE">
        <w:rPr>
          <w:rFonts w:ascii="Times New Roman" w:hAnsi="Times New Roman" w:cs="Times New Roman"/>
        </w:rPr>
        <w:t xml:space="preserve">ncidence </w:t>
      </w:r>
      <w:r w:rsidR="009329FD">
        <w:rPr>
          <w:rFonts w:ascii="Times New Roman" w:hAnsi="Times New Roman" w:cs="Times New Roman"/>
        </w:rPr>
        <w:t>R</w:t>
      </w:r>
      <w:r w:rsidRPr="00745EEE">
        <w:rPr>
          <w:rFonts w:ascii="Times New Roman" w:hAnsi="Times New Roman" w:cs="Times New Roman"/>
        </w:rPr>
        <w:t>ates</w:t>
      </w:r>
      <w:r>
        <w:rPr>
          <w:rFonts w:ascii="Times New Roman" w:hAnsi="Times New Roman" w:cs="Times New Roman"/>
        </w:rPr>
        <w:t>*</w:t>
      </w:r>
      <w:r w:rsidRPr="00745EEE">
        <w:rPr>
          <w:rFonts w:ascii="Times New Roman" w:hAnsi="Times New Roman" w:cs="Times New Roman"/>
        </w:rPr>
        <w:t xml:space="preserve"> (per 100,000 person-years) of UC in the JMDC (Japan) and CCAE (US) databases stratified by sex</w:t>
      </w:r>
    </w:p>
    <w:bookmarkEnd w:id="0"/>
    <w:p w14:paraId="63864D28" w14:textId="0FE9951C" w:rsidR="00C70D56" w:rsidRDefault="00EC1774" w:rsidP="00C70D56">
      <w:pPr>
        <w:spacing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B17965" wp14:editId="2A97C5FF">
            <wp:extent cx="5733415" cy="3167476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167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AE84D" w14:textId="77777777" w:rsidR="00C70D56" w:rsidRPr="0055654F" w:rsidRDefault="00C70D56" w:rsidP="00C70D56">
      <w:pPr>
        <w:pStyle w:val="ListParagraph"/>
        <w:widowControl w:val="0"/>
        <w:spacing w:after="120" w:line="240" w:lineRule="auto"/>
        <w:ind w:left="0"/>
        <w:contextualSpacing w:val="0"/>
        <w:rPr>
          <w:rFonts w:ascii="Times New Roman" w:hAnsi="Times New Roman" w:cs="Times New Roman"/>
          <w:sz w:val="18"/>
          <w:szCs w:val="18"/>
        </w:rPr>
      </w:pPr>
      <w:r w:rsidRPr="0055654F">
        <w:rPr>
          <w:rFonts w:ascii="Times New Roman" w:hAnsi="Times New Roman" w:cs="Times New Roman"/>
          <w:sz w:val="18"/>
          <w:szCs w:val="18"/>
        </w:rPr>
        <w:t>*</w:t>
      </w:r>
      <w:proofErr w:type="gramStart"/>
      <w:r w:rsidRPr="0055654F">
        <w:rPr>
          <w:rFonts w:ascii="Times New Roman" w:hAnsi="Times New Roman" w:cs="Times New Roman"/>
          <w:sz w:val="18"/>
          <w:szCs w:val="18"/>
        </w:rPr>
        <w:t>crude</w:t>
      </w:r>
      <w:proofErr w:type="gramEnd"/>
      <w:r w:rsidRPr="0055654F">
        <w:rPr>
          <w:rFonts w:ascii="Times New Roman" w:hAnsi="Times New Roman" w:cs="Times New Roman"/>
          <w:sz w:val="18"/>
          <w:szCs w:val="18"/>
        </w:rPr>
        <w:t xml:space="preserve"> (unweighted) rates in the CCAE and age-standardized rates in the JMDC using direct standardization based on the CCAE’s age distribution.</w:t>
      </w:r>
    </w:p>
    <w:p w14:paraId="7EBE939B" w14:textId="77777777" w:rsidR="00C70D56" w:rsidRDefault="00C70D56" w:rsidP="00C70D56">
      <w:pPr>
        <w:spacing w:after="120" w:line="480" w:lineRule="auto"/>
        <w:rPr>
          <w:rFonts w:ascii="Times New Roman" w:hAnsi="Times New Roman" w:cs="Times New Roman"/>
        </w:rPr>
      </w:pPr>
    </w:p>
    <w:p w14:paraId="7031A601" w14:textId="77777777" w:rsidR="00C70D56" w:rsidRPr="004831F4" w:rsidRDefault="00C70D56" w:rsidP="00C70D56">
      <w:pPr>
        <w:spacing w:after="120" w:line="480" w:lineRule="auto"/>
        <w:rPr>
          <w:rFonts w:ascii="Times New Roman" w:hAnsi="Times New Roman" w:cs="Times New Roman"/>
        </w:rPr>
      </w:pPr>
    </w:p>
    <w:p w14:paraId="75D60C0E" w14:textId="77777777" w:rsidR="00A7501C" w:rsidRDefault="00C70D56" w:rsidP="00A7501C">
      <w:pPr>
        <w:pStyle w:val="BodyText12"/>
        <w:rPr>
          <w:b/>
          <w:bCs/>
        </w:rPr>
      </w:pPr>
      <w:r>
        <w:rPr>
          <w:b/>
          <w:bCs/>
        </w:rPr>
        <w:br w:type="page"/>
      </w:r>
    </w:p>
    <w:p w14:paraId="2F997032" w14:textId="77777777" w:rsidR="00A7501C" w:rsidRDefault="00A7501C" w:rsidP="00A7501C">
      <w:pPr>
        <w:pStyle w:val="BodyText12"/>
        <w:rPr>
          <w:b/>
          <w:bCs/>
        </w:rPr>
      </w:pPr>
    </w:p>
    <w:p w14:paraId="2C71F26D" w14:textId="4561C444" w:rsidR="00A7501C" w:rsidRDefault="00A7501C" w:rsidP="00A7501C">
      <w:pPr>
        <w:pStyle w:val="BodyText12"/>
      </w:pPr>
      <w:r w:rsidRPr="000D532D">
        <w:rPr>
          <w:b/>
          <w:bCs/>
        </w:rPr>
        <w:t>Table S1</w:t>
      </w:r>
      <w:r>
        <w:rPr>
          <w:b/>
          <w:bCs/>
        </w:rPr>
        <w:tab/>
      </w:r>
      <w:r>
        <w:t xml:space="preserve">UC-specific Medications Available During the Study Period (2010-219) </w:t>
      </w:r>
      <w:r w:rsidRPr="000D532D">
        <w:t xml:space="preserve">in </w:t>
      </w:r>
      <w:r>
        <w:t xml:space="preserve">the US and </w:t>
      </w:r>
      <w:r w:rsidRPr="000D532D">
        <w:t xml:space="preserve">Japan </w:t>
      </w:r>
      <w:r>
        <w:t xml:space="preserve">and the </w:t>
      </w:r>
      <w:r w:rsidRPr="000D532D">
        <w:t xml:space="preserve">Date of Approval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530"/>
        <w:gridCol w:w="2340"/>
        <w:gridCol w:w="2340"/>
        <w:gridCol w:w="2065"/>
      </w:tblGrid>
      <w:tr w:rsidR="00A7501C" w:rsidRPr="00340790" w14:paraId="7F70D4DF" w14:textId="77777777" w:rsidTr="00F13CBA">
        <w:tc>
          <w:tcPr>
            <w:tcW w:w="1075" w:type="dxa"/>
            <w:vMerge w:val="restart"/>
          </w:tcPr>
          <w:p w14:paraId="2A6E0548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  <w:r w:rsidRPr="00DC5C1D">
              <w:rPr>
                <w:b/>
                <w:bCs/>
              </w:rPr>
              <w:t>Drug category</w:t>
            </w:r>
          </w:p>
        </w:tc>
        <w:tc>
          <w:tcPr>
            <w:tcW w:w="1530" w:type="dxa"/>
            <w:vMerge w:val="restart"/>
          </w:tcPr>
          <w:p w14:paraId="59CD7226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  <w:r w:rsidRPr="00DC5C1D">
              <w:rPr>
                <w:b/>
                <w:bCs/>
              </w:rPr>
              <w:t>ATC code</w:t>
            </w:r>
          </w:p>
        </w:tc>
        <w:tc>
          <w:tcPr>
            <w:tcW w:w="2340" w:type="dxa"/>
            <w:vMerge w:val="restart"/>
          </w:tcPr>
          <w:p w14:paraId="39A0F139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  <w:r w:rsidRPr="00DC5C1D">
              <w:rPr>
                <w:b/>
                <w:bCs/>
              </w:rPr>
              <w:t>Drug (generic name)</w:t>
            </w:r>
          </w:p>
        </w:tc>
        <w:tc>
          <w:tcPr>
            <w:tcW w:w="4405" w:type="dxa"/>
            <w:gridSpan w:val="2"/>
          </w:tcPr>
          <w:p w14:paraId="6E52F43E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  <w:r w:rsidRPr="00DC5C1D">
              <w:rPr>
                <w:b/>
                <w:bCs/>
              </w:rPr>
              <w:t>Year of first approval for UC indication</w:t>
            </w:r>
          </w:p>
        </w:tc>
      </w:tr>
      <w:tr w:rsidR="00A7501C" w:rsidRPr="00340790" w14:paraId="56ECC02C" w14:textId="77777777" w:rsidTr="00F13CBA">
        <w:tc>
          <w:tcPr>
            <w:tcW w:w="1075" w:type="dxa"/>
            <w:vMerge/>
          </w:tcPr>
          <w:p w14:paraId="26A37403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30" w:type="dxa"/>
            <w:vMerge/>
          </w:tcPr>
          <w:p w14:paraId="67A65A73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40" w:type="dxa"/>
            <w:vMerge/>
          </w:tcPr>
          <w:p w14:paraId="73E8D2ED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40" w:type="dxa"/>
          </w:tcPr>
          <w:p w14:paraId="45F0D68B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  <w:r w:rsidRPr="00DC5C1D">
              <w:rPr>
                <w:b/>
                <w:bCs/>
              </w:rPr>
              <w:t>The US</w:t>
            </w:r>
          </w:p>
        </w:tc>
        <w:tc>
          <w:tcPr>
            <w:tcW w:w="2065" w:type="dxa"/>
          </w:tcPr>
          <w:p w14:paraId="4363637E" w14:textId="77777777" w:rsidR="00A7501C" w:rsidRPr="00DC5C1D" w:rsidRDefault="00A7501C" w:rsidP="00F13CBA">
            <w:pPr>
              <w:spacing w:after="0" w:line="240" w:lineRule="auto"/>
              <w:rPr>
                <w:b/>
                <w:bCs/>
              </w:rPr>
            </w:pPr>
            <w:r w:rsidRPr="00DC5C1D">
              <w:rPr>
                <w:b/>
                <w:bCs/>
              </w:rPr>
              <w:t>Japan</w:t>
            </w:r>
          </w:p>
        </w:tc>
      </w:tr>
      <w:tr w:rsidR="00A7501C" w:rsidRPr="000D532D" w14:paraId="674CE588" w14:textId="77777777" w:rsidTr="00F13CBA">
        <w:tc>
          <w:tcPr>
            <w:tcW w:w="1075" w:type="dxa"/>
            <w:vMerge w:val="restart"/>
          </w:tcPr>
          <w:p w14:paraId="53954B4C" w14:textId="77777777" w:rsidR="00A7501C" w:rsidRPr="00DC5C1D" w:rsidRDefault="00A7501C" w:rsidP="00F13CBA">
            <w:pPr>
              <w:spacing w:after="0" w:line="240" w:lineRule="auto"/>
            </w:pPr>
            <w:r w:rsidRPr="00DC5C1D">
              <w:t>5-ASA</w:t>
            </w:r>
          </w:p>
        </w:tc>
        <w:tc>
          <w:tcPr>
            <w:tcW w:w="1530" w:type="dxa"/>
          </w:tcPr>
          <w:p w14:paraId="2176915B" w14:textId="77777777" w:rsidR="00A7501C" w:rsidRPr="000D532D" w:rsidRDefault="00A7501C" w:rsidP="00F13CBA">
            <w:pPr>
              <w:spacing w:after="0" w:line="240" w:lineRule="auto"/>
            </w:pPr>
            <w:r w:rsidRPr="000D532D">
              <w:t>A07EC01</w:t>
            </w:r>
          </w:p>
        </w:tc>
        <w:tc>
          <w:tcPr>
            <w:tcW w:w="2340" w:type="dxa"/>
          </w:tcPr>
          <w:p w14:paraId="5CB3155E" w14:textId="77777777" w:rsidR="00A7501C" w:rsidRPr="00340790" w:rsidRDefault="00A7501C" w:rsidP="00F13CBA">
            <w:pPr>
              <w:spacing w:after="0" w:line="240" w:lineRule="auto"/>
            </w:pPr>
            <w:r w:rsidRPr="000D532D">
              <w:t>Sulfasalazine</w:t>
            </w:r>
          </w:p>
        </w:tc>
        <w:tc>
          <w:tcPr>
            <w:tcW w:w="2340" w:type="dxa"/>
          </w:tcPr>
          <w:p w14:paraId="5D4791A9" w14:textId="77777777" w:rsidR="00A7501C" w:rsidRPr="00B33810" w:rsidRDefault="00A7501C" w:rsidP="00F13CBA">
            <w:pPr>
              <w:spacing w:after="0" w:line="240" w:lineRule="auto"/>
              <w:rPr>
                <w:color w:val="FF0000"/>
              </w:rPr>
            </w:pPr>
            <w:r>
              <w:t>1950</w:t>
            </w:r>
            <w:r>
              <w:rPr>
                <w:rStyle w:val="EndnoteReference"/>
              </w:rPr>
              <w:endnoteReference w:id="1"/>
            </w:r>
          </w:p>
        </w:tc>
        <w:tc>
          <w:tcPr>
            <w:tcW w:w="2065" w:type="dxa"/>
          </w:tcPr>
          <w:p w14:paraId="1DABEA6C" w14:textId="77777777" w:rsidR="00A7501C" w:rsidRPr="000D532D" w:rsidRDefault="00A7501C" w:rsidP="00F13CBA">
            <w:pPr>
              <w:spacing w:after="0" w:line="240" w:lineRule="auto"/>
            </w:pPr>
            <w:r>
              <w:t>1969</w:t>
            </w:r>
            <w:r>
              <w:rPr>
                <w:rStyle w:val="EndnoteReference"/>
              </w:rPr>
              <w:endnoteReference w:id="2"/>
            </w:r>
          </w:p>
        </w:tc>
      </w:tr>
      <w:tr w:rsidR="00A7501C" w:rsidRPr="000D532D" w14:paraId="609B7FB7" w14:textId="77777777" w:rsidTr="00F13CBA">
        <w:tc>
          <w:tcPr>
            <w:tcW w:w="1075" w:type="dxa"/>
            <w:vMerge/>
          </w:tcPr>
          <w:p w14:paraId="0C0E8A5F" w14:textId="77777777" w:rsidR="00A7501C" w:rsidRPr="00DC5C1D" w:rsidRDefault="00A7501C" w:rsidP="00F13CBA">
            <w:pPr>
              <w:spacing w:after="0" w:line="240" w:lineRule="auto"/>
            </w:pPr>
          </w:p>
        </w:tc>
        <w:tc>
          <w:tcPr>
            <w:tcW w:w="1530" w:type="dxa"/>
          </w:tcPr>
          <w:p w14:paraId="24DF0A92" w14:textId="77777777" w:rsidR="00A7501C" w:rsidRPr="000D532D" w:rsidRDefault="00A7501C" w:rsidP="00F13CBA">
            <w:pPr>
              <w:spacing w:after="0" w:line="240" w:lineRule="auto"/>
            </w:pPr>
            <w:r w:rsidRPr="000D532D">
              <w:t>A07EC02</w:t>
            </w:r>
          </w:p>
        </w:tc>
        <w:tc>
          <w:tcPr>
            <w:tcW w:w="2340" w:type="dxa"/>
          </w:tcPr>
          <w:p w14:paraId="1BA55563" w14:textId="77777777" w:rsidR="00A7501C" w:rsidRPr="00340790" w:rsidRDefault="00A7501C" w:rsidP="00F13CBA">
            <w:pPr>
              <w:spacing w:after="0" w:line="240" w:lineRule="auto"/>
            </w:pPr>
            <w:proofErr w:type="spellStart"/>
            <w:r>
              <w:t>M</w:t>
            </w:r>
            <w:r w:rsidRPr="00340790">
              <w:t>esala</w:t>
            </w:r>
            <w:r>
              <w:t>z</w:t>
            </w:r>
            <w:r w:rsidRPr="00340790">
              <w:t>ine</w:t>
            </w:r>
            <w:proofErr w:type="spellEnd"/>
            <w:r w:rsidRPr="00340790">
              <w:t xml:space="preserve"> </w:t>
            </w:r>
          </w:p>
        </w:tc>
        <w:tc>
          <w:tcPr>
            <w:tcW w:w="2340" w:type="dxa"/>
          </w:tcPr>
          <w:p w14:paraId="30C98258" w14:textId="77777777" w:rsidR="00A7501C" w:rsidRPr="00340790" w:rsidRDefault="00A7501C" w:rsidP="00F13CBA">
            <w:pPr>
              <w:spacing w:after="0" w:line="240" w:lineRule="auto"/>
            </w:pPr>
            <w:r>
              <w:t>1987</w:t>
            </w:r>
            <w:r>
              <w:rPr>
                <w:rStyle w:val="EndnoteReference"/>
              </w:rPr>
              <w:endnoteReference w:id="3"/>
            </w:r>
          </w:p>
        </w:tc>
        <w:tc>
          <w:tcPr>
            <w:tcW w:w="2065" w:type="dxa"/>
          </w:tcPr>
          <w:p w14:paraId="3D9A3978" w14:textId="77777777" w:rsidR="00A7501C" w:rsidRPr="000D532D" w:rsidRDefault="00A7501C" w:rsidP="00F13CBA">
            <w:pPr>
              <w:spacing w:after="0" w:line="240" w:lineRule="auto"/>
            </w:pPr>
            <w:r>
              <w:t>1996</w:t>
            </w:r>
            <w:r>
              <w:rPr>
                <w:rStyle w:val="EndnoteReference"/>
              </w:rPr>
              <w:endnoteReference w:id="4"/>
            </w:r>
            <w:r>
              <w:t xml:space="preserve"> </w:t>
            </w:r>
          </w:p>
        </w:tc>
      </w:tr>
      <w:tr w:rsidR="00A7501C" w:rsidRPr="000D532D" w14:paraId="1A916700" w14:textId="77777777" w:rsidTr="00F13CBA">
        <w:tc>
          <w:tcPr>
            <w:tcW w:w="1075" w:type="dxa"/>
            <w:vMerge/>
          </w:tcPr>
          <w:p w14:paraId="487F887D" w14:textId="77777777" w:rsidR="00A7501C" w:rsidRPr="00DC5C1D" w:rsidRDefault="00A7501C" w:rsidP="00F13CBA">
            <w:pPr>
              <w:spacing w:after="0" w:line="240" w:lineRule="auto"/>
            </w:pPr>
          </w:p>
        </w:tc>
        <w:tc>
          <w:tcPr>
            <w:tcW w:w="1530" w:type="dxa"/>
          </w:tcPr>
          <w:p w14:paraId="5FA40AA9" w14:textId="77777777" w:rsidR="00A7501C" w:rsidRPr="000D532D" w:rsidRDefault="00A7501C" w:rsidP="00F13CBA">
            <w:pPr>
              <w:spacing w:after="0" w:line="240" w:lineRule="auto"/>
            </w:pPr>
            <w:r w:rsidRPr="000D532D">
              <w:t>A07EC03</w:t>
            </w:r>
          </w:p>
        </w:tc>
        <w:tc>
          <w:tcPr>
            <w:tcW w:w="2340" w:type="dxa"/>
          </w:tcPr>
          <w:p w14:paraId="3339DAC6" w14:textId="77777777" w:rsidR="00A7501C" w:rsidRPr="00340790" w:rsidRDefault="00A7501C" w:rsidP="00F13CBA">
            <w:pPr>
              <w:spacing w:after="0" w:line="240" w:lineRule="auto"/>
            </w:pPr>
            <w:proofErr w:type="spellStart"/>
            <w:r>
              <w:t>O</w:t>
            </w:r>
            <w:r w:rsidRPr="00340790">
              <w:t>lsalazine</w:t>
            </w:r>
            <w:proofErr w:type="spellEnd"/>
          </w:p>
        </w:tc>
        <w:tc>
          <w:tcPr>
            <w:tcW w:w="2340" w:type="dxa"/>
          </w:tcPr>
          <w:p w14:paraId="4D8AAE8D" w14:textId="77777777" w:rsidR="00A7501C" w:rsidRPr="00340790" w:rsidRDefault="00A7501C" w:rsidP="00F13CBA">
            <w:pPr>
              <w:spacing w:after="0" w:line="240" w:lineRule="auto"/>
            </w:pPr>
            <w:r w:rsidRPr="00340790">
              <w:t>1990</w:t>
            </w:r>
            <w:r>
              <w:rPr>
                <w:rStyle w:val="EndnoteReference"/>
              </w:rPr>
              <w:endnoteReference w:id="5"/>
            </w:r>
          </w:p>
        </w:tc>
        <w:tc>
          <w:tcPr>
            <w:tcW w:w="2065" w:type="dxa"/>
          </w:tcPr>
          <w:p w14:paraId="5C574225" w14:textId="77777777" w:rsidR="00A7501C" w:rsidRPr="000D532D" w:rsidRDefault="00A7501C" w:rsidP="00F13CBA">
            <w:pPr>
              <w:spacing w:after="0" w:line="240" w:lineRule="auto"/>
            </w:pPr>
            <w:r>
              <w:t>-</w:t>
            </w:r>
          </w:p>
        </w:tc>
      </w:tr>
      <w:tr w:rsidR="00A7501C" w:rsidRPr="000D532D" w14:paraId="47312630" w14:textId="77777777" w:rsidTr="00F13CBA">
        <w:tc>
          <w:tcPr>
            <w:tcW w:w="1075" w:type="dxa"/>
            <w:vMerge/>
          </w:tcPr>
          <w:p w14:paraId="57293182" w14:textId="77777777" w:rsidR="00A7501C" w:rsidRPr="00DC5C1D" w:rsidRDefault="00A7501C" w:rsidP="00F13CBA">
            <w:pPr>
              <w:spacing w:after="0" w:line="240" w:lineRule="auto"/>
            </w:pPr>
          </w:p>
        </w:tc>
        <w:tc>
          <w:tcPr>
            <w:tcW w:w="1530" w:type="dxa"/>
          </w:tcPr>
          <w:p w14:paraId="625D1F24" w14:textId="77777777" w:rsidR="00A7501C" w:rsidRPr="00205ED4" w:rsidRDefault="00A7501C" w:rsidP="00F13CBA">
            <w:pPr>
              <w:spacing w:after="0" w:line="240" w:lineRule="auto"/>
              <w:rPr>
                <w:strike/>
              </w:rPr>
            </w:pPr>
            <w:r w:rsidRPr="000D532D">
              <w:t>A07EC04 </w:t>
            </w:r>
          </w:p>
        </w:tc>
        <w:tc>
          <w:tcPr>
            <w:tcW w:w="2340" w:type="dxa"/>
          </w:tcPr>
          <w:p w14:paraId="29809CE5" w14:textId="77777777" w:rsidR="00A7501C" w:rsidRPr="000D532D" w:rsidRDefault="00A7501C" w:rsidP="00F13CBA">
            <w:pPr>
              <w:spacing w:after="0" w:line="240" w:lineRule="auto"/>
            </w:pPr>
            <w:proofErr w:type="spellStart"/>
            <w:r>
              <w:t>B</w:t>
            </w:r>
            <w:r w:rsidRPr="00340790">
              <w:t>alsalazide</w:t>
            </w:r>
            <w:proofErr w:type="spellEnd"/>
          </w:p>
        </w:tc>
        <w:tc>
          <w:tcPr>
            <w:tcW w:w="2340" w:type="dxa"/>
          </w:tcPr>
          <w:p w14:paraId="460FB77C" w14:textId="77777777" w:rsidR="00A7501C" w:rsidRPr="000D532D" w:rsidRDefault="00A7501C" w:rsidP="00F13CBA">
            <w:pPr>
              <w:spacing w:after="0" w:line="240" w:lineRule="auto"/>
            </w:pPr>
            <w:r w:rsidRPr="00340790">
              <w:t>20</w:t>
            </w:r>
            <w:r>
              <w:t>00</w:t>
            </w:r>
            <w:r>
              <w:rPr>
                <w:rStyle w:val="EndnoteReference"/>
              </w:rPr>
              <w:endnoteReference w:id="6"/>
            </w:r>
            <w:r>
              <w:t xml:space="preserve"> </w:t>
            </w:r>
            <w:r>
              <w:rPr>
                <w:rStyle w:val="EndnoteReference"/>
              </w:rPr>
              <w:endnoteReference w:id="7"/>
            </w:r>
            <w:r>
              <w:t xml:space="preserve"> </w:t>
            </w:r>
            <w:r w:rsidRPr="00072AA9">
              <w:rPr>
                <w:vertAlign w:val="superscript"/>
              </w:rPr>
              <w:t>a</w:t>
            </w:r>
          </w:p>
        </w:tc>
        <w:tc>
          <w:tcPr>
            <w:tcW w:w="2065" w:type="dxa"/>
          </w:tcPr>
          <w:p w14:paraId="63FEF606" w14:textId="77777777" w:rsidR="00A7501C" w:rsidRPr="000D532D" w:rsidRDefault="00A7501C" w:rsidP="00F13CBA">
            <w:pPr>
              <w:spacing w:after="0" w:line="240" w:lineRule="auto"/>
            </w:pPr>
            <w:r>
              <w:t>-</w:t>
            </w:r>
          </w:p>
        </w:tc>
      </w:tr>
      <w:tr w:rsidR="00A7501C" w:rsidRPr="000D532D" w14:paraId="72BB2154" w14:textId="77777777" w:rsidTr="00F13CBA">
        <w:tc>
          <w:tcPr>
            <w:tcW w:w="1075" w:type="dxa"/>
            <w:vMerge w:val="restart"/>
          </w:tcPr>
          <w:p w14:paraId="4392C964" w14:textId="77777777" w:rsidR="00A7501C" w:rsidRPr="00DC5C1D" w:rsidRDefault="00A7501C" w:rsidP="00F13CBA">
            <w:pPr>
              <w:spacing w:after="0" w:line="240" w:lineRule="auto"/>
            </w:pPr>
            <w:r w:rsidRPr="00DC5C1D">
              <w:t>Biologic</w:t>
            </w:r>
          </w:p>
        </w:tc>
        <w:tc>
          <w:tcPr>
            <w:tcW w:w="1530" w:type="dxa"/>
          </w:tcPr>
          <w:p w14:paraId="7144E5E1" w14:textId="77777777" w:rsidR="00A7501C" w:rsidRPr="000D532D" w:rsidRDefault="00A7501C" w:rsidP="00F13CBA">
            <w:pPr>
              <w:spacing w:after="0" w:line="240" w:lineRule="auto"/>
            </w:pPr>
            <w:r w:rsidRPr="000D532D">
              <w:t>L04AB02</w:t>
            </w:r>
          </w:p>
        </w:tc>
        <w:tc>
          <w:tcPr>
            <w:tcW w:w="2340" w:type="dxa"/>
          </w:tcPr>
          <w:p w14:paraId="7B33DFCC" w14:textId="77777777" w:rsidR="00A7501C" w:rsidRPr="000D532D" w:rsidRDefault="00A7501C" w:rsidP="00F13CBA">
            <w:pPr>
              <w:spacing w:after="0" w:line="240" w:lineRule="auto"/>
            </w:pPr>
            <w:r w:rsidRPr="000D532D">
              <w:t>Infliximab</w:t>
            </w:r>
          </w:p>
        </w:tc>
        <w:tc>
          <w:tcPr>
            <w:tcW w:w="2340" w:type="dxa"/>
          </w:tcPr>
          <w:p w14:paraId="101D8714" w14:textId="77777777" w:rsidR="00A7501C" w:rsidRPr="000D532D" w:rsidRDefault="00A7501C" w:rsidP="00F13CBA">
            <w:pPr>
              <w:spacing w:after="0" w:line="240" w:lineRule="auto"/>
            </w:pPr>
            <w:r>
              <w:t>Sep 2005</w:t>
            </w:r>
            <w:r>
              <w:rPr>
                <w:rStyle w:val="EndnoteReference"/>
              </w:rPr>
              <w:endnoteReference w:id="8"/>
            </w:r>
          </w:p>
        </w:tc>
        <w:tc>
          <w:tcPr>
            <w:tcW w:w="2065" w:type="dxa"/>
          </w:tcPr>
          <w:p w14:paraId="57D3C861" w14:textId="77777777" w:rsidR="00A7501C" w:rsidRPr="000D532D" w:rsidRDefault="00A7501C" w:rsidP="00F13CBA">
            <w:pPr>
              <w:spacing w:after="0" w:line="240" w:lineRule="auto"/>
            </w:pPr>
            <w:r w:rsidRPr="000D532D">
              <w:t>Jun 2010</w:t>
            </w:r>
            <w:r>
              <w:rPr>
                <w:rStyle w:val="EndnoteReference"/>
              </w:rPr>
              <w:endnoteReference w:id="9"/>
            </w:r>
            <w:r>
              <w:t xml:space="preserve"> </w:t>
            </w:r>
            <w:r>
              <w:rPr>
                <w:rStyle w:val="EndnoteReference"/>
              </w:rPr>
              <w:endnoteReference w:id="10"/>
            </w:r>
            <w:r>
              <w:t xml:space="preserve"> </w:t>
            </w:r>
            <w:r w:rsidRPr="00072AA9">
              <w:rPr>
                <w:vertAlign w:val="superscript"/>
              </w:rPr>
              <w:t>b</w:t>
            </w:r>
          </w:p>
        </w:tc>
      </w:tr>
      <w:tr w:rsidR="00A7501C" w:rsidRPr="000D532D" w14:paraId="5C2F2271" w14:textId="77777777" w:rsidTr="00F13CBA">
        <w:tc>
          <w:tcPr>
            <w:tcW w:w="1075" w:type="dxa"/>
            <w:vMerge/>
          </w:tcPr>
          <w:p w14:paraId="0FFA8988" w14:textId="77777777" w:rsidR="00A7501C" w:rsidRPr="000D532D" w:rsidRDefault="00A7501C" w:rsidP="00F13CBA">
            <w:pPr>
              <w:spacing w:after="0" w:line="240" w:lineRule="auto"/>
            </w:pPr>
          </w:p>
        </w:tc>
        <w:tc>
          <w:tcPr>
            <w:tcW w:w="1530" w:type="dxa"/>
          </w:tcPr>
          <w:p w14:paraId="197ADD2E" w14:textId="77777777" w:rsidR="00A7501C" w:rsidRPr="008825E3" w:rsidRDefault="00A7501C" w:rsidP="00F13CBA">
            <w:pPr>
              <w:spacing w:after="0" w:line="240" w:lineRule="auto"/>
            </w:pPr>
            <w:r w:rsidRPr="008825E3">
              <w:t>L04AB04</w:t>
            </w:r>
          </w:p>
        </w:tc>
        <w:tc>
          <w:tcPr>
            <w:tcW w:w="2340" w:type="dxa"/>
          </w:tcPr>
          <w:p w14:paraId="1983FF16" w14:textId="77777777" w:rsidR="00A7501C" w:rsidRPr="008825E3" w:rsidRDefault="00A7501C" w:rsidP="00F13CBA">
            <w:pPr>
              <w:spacing w:after="0" w:line="240" w:lineRule="auto"/>
            </w:pPr>
            <w:r w:rsidRPr="008825E3">
              <w:t>Adalimumab</w:t>
            </w:r>
          </w:p>
        </w:tc>
        <w:tc>
          <w:tcPr>
            <w:tcW w:w="2340" w:type="dxa"/>
          </w:tcPr>
          <w:p w14:paraId="77DDAC81" w14:textId="77777777" w:rsidR="00A7501C" w:rsidRPr="008825E3" w:rsidRDefault="00A7501C" w:rsidP="00F13CBA">
            <w:pPr>
              <w:spacing w:after="0" w:line="240" w:lineRule="auto"/>
            </w:pPr>
            <w:r w:rsidRPr="008825E3">
              <w:t>Sep 2012</w:t>
            </w:r>
            <w:r>
              <w:rPr>
                <w:rStyle w:val="EndnoteReference"/>
              </w:rPr>
              <w:endnoteReference w:id="11"/>
            </w:r>
            <w:r>
              <w:t xml:space="preserve"> </w:t>
            </w:r>
            <w:r w:rsidRPr="00072AA9">
              <w:rPr>
                <w:vertAlign w:val="superscript"/>
              </w:rPr>
              <w:t xml:space="preserve">c </w:t>
            </w:r>
          </w:p>
        </w:tc>
        <w:tc>
          <w:tcPr>
            <w:tcW w:w="2065" w:type="dxa"/>
          </w:tcPr>
          <w:p w14:paraId="0E2FD5F0" w14:textId="77777777" w:rsidR="00A7501C" w:rsidRPr="000D532D" w:rsidRDefault="00A7501C" w:rsidP="00F13CBA">
            <w:pPr>
              <w:spacing w:after="0" w:line="240" w:lineRule="auto"/>
            </w:pPr>
            <w:r w:rsidRPr="000D532D">
              <w:t>Jun 2013</w:t>
            </w:r>
            <w:r>
              <w:rPr>
                <w:rStyle w:val="EndnoteReference"/>
              </w:rPr>
              <w:endnoteReference w:id="12"/>
            </w:r>
          </w:p>
        </w:tc>
      </w:tr>
      <w:tr w:rsidR="00A7501C" w:rsidRPr="000D532D" w14:paraId="15DB7ACE" w14:textId="77777777" w:rsidTr="00F13CBA">
        <w:tc>
          <w:tcPr>
            <w:tcW w:w="1075" w:type="dxa"/>
            <w:vMerge/>
          </w:tcPr>
          <w:p w14:paraId="1749231E" w14:textId="77777777" w:rsidR="00A7501C" w:rsidRPr="000D532D" w:rsidRDefault="00A7501C" w:rsidP="00F13CBA">
            <w:pPr>
              <w:spacing w:after="0" w:line="240" w:lineRule="auto"/>
            </w:pPr>
          </w:p>
        </w:tc>
        <w:tc>
          <w:tcPr>
            <w:tcW w:w="1530" w:type="dxa"/>
          </w:tcPr>
          <w:p w14:paraId="6BD4F61C" w14:textId="77777777" w:rsidR="00A7501C" w:rsidRPr="008825E3" w:rsidRDefault="00A7501C" w:rsidP="00F13CBA">
            <w:pPr>
              <w:spacing w:after="0" w:line="240" w:lineRule="auto"/>
            </w:pPr>
            <w:r w:rsidRPr="008825E3">
              <w:t>L04AB06</w:t>
            </w:r>
          </w:p>
        </w:tc>
        <w:tc>
          <w:tcPr>
            <w:tcW w:w="2340" w:type="dxa"/>
          </w:tcPr>
          <w:p w14:paraId="63F2838F" w14:textId="77777777" w:rsidR="00A7501C" w:rsidRPr="008825E3" w:rsidRDefault="00A7501C" w:rsidP="00F13CBA">
            <w:pPr>
              <w:spacing w:after="0" w:line="240" w:lineRule="auto"/>
            </w:pPr>
            <w:r w:rsidRPr="008825E3">
              <w:t>Golimumab</w:t>
            </w:r>
          </w:p>
        </w:tc>
        <w:tc>
          <w:tcPr>
            <w:tcW w:w="2340" w:type="dxa"/>
          </w:tcPr>
          <w:p w14:paraId="69ADFAA9" w14:textId="77777777" w:rsidR="00A7501C" w:rsidRPr="008825E3" w:rsidRDefault="00A7501C" w:rsidP="00F13CBA">
            <w:pPr>
              <w:spacing w:after="0" w:line="240" w:lineRule="auto"/>
            </w:pPr>
            <w:r w:rsidRPr="008825E3">
              <w:t>May 2013</w:t>
            </w:r>
            <w:r>
              <w:rPr>
                <w:rStyle w:val="EndnoteReference"/>
              </w:rPr>
              <w:endnoteReference w:id="13"/>
            </w:r>
            <w:r>
              <w:t xml:space="preserve"> </w:t>
            </w:r>
            <w:r w:rsidRPr="00072AA9">
              <w:rPr>
                <w:vertAlign w:val="superscript"/>
              </w:rPr>
              <w:t xml:space="preserve"> c</w:t>
            </w:r>
          </w:p>
        </w:tc>
        <w:tc>
          <w:tcPr>
            <w:tcW w:w="2065" w:type="dxa"/>
          </w:tcPr>
          <w:p w14:paraId="52760CF2" w14:textId="77777777" w:rsidR="00A7501C" w:rsidRPr="000D532D" w:rsidRDefault="00A7501C" w:rsidP="00F13CBA">
            <w:pPr>
              <w:spacing w:after="0" w:line="240" w:lineRule="auto"/>
            </w:pPr>
            <w:r w:rsidRPr="000D532D">
              <w:t>Mar 2017</w:t>
            </w:r>
            <w:r>
              <w:rPr>
                <w:rStyle w:val="EndnoteReference"/>
              </w:rPr>
              <w:endnoteReference w:id="14"/>
            </w:r>
          </w:p>
        </w:tc>
      </w:tr>
      <w:tr w:rsidR="00A7501C" w:rsidRPr="000D532D" w14:paraId="69963E41" w14:textId="77777777" w:rsidTr="00F13CBA">
        <w:tc>
          <w:tcPr>
            <w:tcW w:w="1075" w:type="dxa"/>
            <w:vMerge/>
          </w:tcPr>
          <w:p w14:paraId="2002F0FA" w14:textId="77777777" w:rsidR="00A7501C" w:rsidRPr="000D532D" w:rsidRDefault="00A7501C" w:rsidP="00F13CBA">
            <w:pPr>
              <w:spacing w:after="0" w:line="240" w:lineRule="auto"/>
            </w:pPr>
          </w:p>
        </w:tc>
        <w:tc>
          <w:tcPr>
            <w:tcW w:w="1530" w:type="dxa"/>
          </w:tcPr>
          <w:p w14:paraId="2BE36CE1" w14:textId="77777777" w:rsidR="00A7501C" w:rsidRPr="008825E3" w:rsidRDefault="00A7501C" w:rsidP="00F13CBA">
            <w:pPr>
              <w:spacing w:after="0" w:line="240" w:lineRule="auto"/>
            </w:pPr>
            <w:r w:rsidRPr="000D532D">
              <w:t>L04AA33</w:t>
            </w:r>
          </w:p>
        </w:tc>
        <w:tc>
          <w:tcPr>
            <w:tcW w:w="2340" w:type="dxa"/>
          </w:tcPr>
          <w:p w14:paraId="4ED4C735" w14:textId="77777777" w:rsidR="00A7501C" w:rsidRPr="008825E3" w:rsidRDefault="00A7501C" w:rsidP="00F13CBA">
            <w:pPr>
              <w:spacing w:after="0" w:line="240" w:lineRule="auto"/>
            </w:pPr>
            <w:r w:rsidRPr="000D532D">
              <w:t>Vedolizumab</w:t>
            </w:r>
          </w:p>
        </w:tc>
        <w:tc>
          <w:tcPr>
            <w:tcW w:w="2340" w:type="dxa"/>
          </w:tcPr>
          <w:p w14:paraId="53EB236E" w14:textId="77777777" w:rsidR="00A7501C" w:rsidRPr="008825E3" w:rsidRDefault="00A7501C" w:rsidP="00F13CBA">
            <w:pPr>
              <w:spacing w:after="0" w:line="240" w:lineRule="auto"/>
            </w:pPr>
            <w:r>
              <w:t>May 2014</w:t>
            </w:r>
            <w:r>
              <w:rPr>
                <w:rStyle w:val="EndnoteReference"/>
              </w:rPr>
              <w:endnoteReference w:id="15"/>
            </w:r>
          </w:p>
        </w:tc>
        <w:tc>
          <w:tcPr>
            <w:tcW w:w="2065" w:type="dxa"/>
          </w:tcPr>
          <w:p w14:paraId="7EBB115E" w14:textId="77777777" w:rsidR="00A7501C" w:rsidRPr="000D532D" w:rsidRDefault="00A7501C" w:rsidP="00F13CBA">
            <w:pPr>
              <w:spacing w:after="0" w:line="240" w:lineRule="auto"/>
            </w:pPr>
            <w:r w:rsidRPr="000D532D">
              <w:t>Jul 2018</w:t>
            </w:r>
            <w:r>
              <w:rPr>
                <w:rStyle w:val="EndnoteReference"/>
              </w:rPr>
              <w:endnoteReference w:id="16"/>
            </w:r>
          </w:p>
        </w:tc>
      </w:tr>
      <w:tr w:rsidR="00A7501C" w:rsidRPr="000D532D" w14:paraId="5EDDF470" w14:textId="77777777" w:rsidTr="00F13CBA">
        <w:tc>
          <w:tcPr>
            <w:tcW w:w="1075" w:type="dxa"/>
            <w:vMerge/>
          </w:tcPr>
          <w:p w14:paraId="43DF2E3D" w14:textId="77777777" w:rsidR="00A7501C" w:rsidRPr="000D532D" w:rsidRDefault="00A7501C" w:rsidP="00F13CBA">
            <w:pPr>
              <w:spacing w:after="0" w:line="240" w:lineRule="auto"/>
            </w:pPr>
          </w:p>
        </w:tc>
        <w:tc>
          <w:tcPr>
            <w:tcW w:w="1530" w:type="dxa"/>
          </w:tcPr>
          <w:p w14:paraId="63FD9FD7" w14:textId="77777777" w:rsidR="00A7501C" w:rsidRPr="000D532D" w:rsidRDefault="00A7501C" w:rsidP="00F13CBA">
            <w:pPr>
              <w:spacing w:after="0" w:line="240" w:lineRule="auto"/>
            </w:pPr>
            <w:r w:rsidRPr="008825E3">
              <w:t>L04AC05</w:t>
            </w:r>
          </w:p>
        </w:tc>
        <w:tc>
          <w:tcPr>
            <w:tcW w:w="2340" w:type="dxa"/>
          </w:tcPr>
          <w:p w14:paraId="13E9F877" w14:textId="77777777" w:rsidR="00A7501C" w:rsidRPr="000D532D" w:rsidRDefault="00A7501C" w:rsidP="00F13CBA">
            <w:pPr>
              <w:spacing w:after="0" w:line="240" w:lineRule="auto"/>
            </w:pPr>
            <w:r w:rsidRPr="008825E3">
              <w:t>Ustekinumab</w:t>
            </w:r>
          </w:p>
        </w:tc>
        <w:tc>
          <w:tcPr>
            <w:tcW w:w="2340" w:type="dxa"/>
          </w:tcPr>
          <w:p w14:paraId="11ED9C4A" w14:textId="77777777" w:rsidR="00A7501C" w:rsidRPr="000D532D" w:rsidRDefault="00A7501C" w:rsidP="00F13CBA">
            <w:pPr>
              <w:spacing w:after="0" w:line="240" w:lineRule="auto"/>
            </w:pPr>
            <w:r w:rsidRPr="008825E3">
              <w:t>Oct 2019</w:t>
            </w:r>
            <w:r>
              <w:rPr>
                <w:rStyle w:val="EndnoteReference"/>
              </w:rPr>
              <w:endnoteReference w:id="17"/>
            </w:r>
            <w:r>
              <w:t xml:space="preserve"> </w:t>
            </w:r>
            <w:r w:rsidRPr="00072AA9">
              <w:rPr>
                <w:vertAlign w:val="superscript"/>
              </w:rPr>
              <w:t xml:space="preserve"> c</w:t>
            </w:r>
          </w:p>
        </w:tc>
        <w:tc>
          <w:tcPr>
            <w:tcW w:w="2065" w:type="dxa"/>
          </w:tcPr>
          <w:p w14:paraId="6391790E" w14:textId="77777777" w:rsidR="00A7501C" w:rsidRPr="000D532D" w:rsidRDefault="00A7501C" w:rsidP="00F13CBA">
            <w:pPr>
              <w:spacing w:after="0" w:line="240" w:lineRule="auto"/>
            </w:pPr>
            <w:r>
              <w:t xml:space="preserve">- </w:t>
            </w:r>
            <w:r>
              <w:rPr>
                <w:vertAlign w:val="superscript"/>
              </w:rPr>
              <w:t xml:space="preserve"> d</w:t>
            </w:r>
          </w:p>
        </w:tc>
      </w:tr>
    </w:tbl>
    <w:p w14:paraId="03F74B2D" w14:textId="77777777" w:rsidR="00A7501C" w:rsidRPr="00E04446" w:rsidRDefault="00A7501C" w:rsidP="00A7501C">
      <w:pPr>
        <w:rPr>
          <w:rFonts w:ascii="Times New Roman" w:hAnsi="Times New Roman" w:cs="Times New Roman"/>
          <w:sz w:val="16"/>
          <w:szCs w:val="16"/>
        </w:rPr>
      </w:pPr>
      <w:r w:rsidRPr="00E04446">
        <w:rPr>
          <w:rFonts w:ascii="Times New Roman" w:hAnsi="Times New Roman" w:cs="Times New Roman"/>
          <w:sz w:val="16"/>
          <w:szCs w:val="16"/>
        </w:rPr>
        <w:t>Abbreviations: 5-ASA= ATC=The Anatomical Therapeutic Chemical code; UC= ulcerative colitis; US=United States.</w:t>
      </w:r>
    </w:p>
    <w:p w14:paraId="410BB2B2" w14:textId="77777777" w:rsidR="00A7501C" w:rsidRDefault="00A7501C" w:rsidP="00A7501C">
      <w:pPr>
        <w:rPr>
          <w:rFonts w:ascii="Times New Roman" w:hAnsi="Times New Roman" w:cs="Times New Roman"/>
          <w:sz w:val="16"/>
          <w:szCs w:val="16"/>
        </w:rPr>
      </w:pPr>
      <w:r w:rsidRPr="00E04446">
        <w:rPr>
          <w:rFonts w:ascii="Times New Roman" w:hAnsi="Times New Roman" w:cs="Times New Roman"/>
          <w:sz w:val="16"/>
          <w:szCs w:val="16"/>
        </w:rPr>
        <w:t xml:space="preserve">Footnotes: </w:t>
      </w:r>
      <w:r w:rsidRPr="00E04446">
        <w:rPr>
          <w:rFonts w:ascii="Times New Roman" w:hAnsi="Times New Roman" w:cs="Times New Roman"/>
          <w:sz w:val="16"/>
          <w:szCs w:val="16"/>
        </w:rPr>
        <w:br/>
        <w:t>a: indication expansion for 5 years of age and older in 2006; b: infliximab was approved for 6 years of age and older in 2017; c: orphan designation for pediatric population during the study period (adalimumab was approved for pediatric population 5-&lt;17 years of age in 2021, outside the study period); d: ustekinumab was approved in 2020 (outside the study period).</w:t>
      </w:r>
    </w:p>
    <w:sectPr w:rsidR="00A7501C" w:rsidSect="00586D40">
      <w:head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C5AC" w14:textId="77777777" w:rsidR="00C70D56" w:rsidRDefault="00C70D56" w:rsidP="00C70D56">
      <w:pPr>
        <w:spacing w:after="0" w:line="240" w:lineRule="auto"/>
      </w:pPr>
      <w:r>
        <w:separator/>
      </w:r>
    </w:p>
  </w:endnote>
  <w:endnote w:type="continuationSeparator" w:id="0">
    <w:p w14:paraId="11B07F95" w14:textId="77777777" w:rsidR="00C70D56" w:rsidRDefault="00C70D56" w:rsidP="00C70D56">
      <w:pPr>
        <w:spacing w:after="0" w:line="240" w:lineRule="auto"/>
      </w:pPr>
      <w:r>
        <w:continuationSeparator/>
      </w:r>
    </w:p>
  </w:endnote>
  <w:endnote w:id="1">
    <w:p w14:paraId="31E95CF1" w14:textId="77777777" w:rsidR="00A7501C" w:rsidRDefault="00A7501C" w:rsidP="00A7501C">
      <w:pPr>
        <w:pStyle w:val="CommentText"/>
        <w:spacing w:after="0"/>
      </w:pPr>
      <w:r>
        <w:rPr>
          <w:rStyle w:val="EndnoteReference"/>
        </w:rPr>
        <w:endnoteRef/>
      </w:r>
      <w:r>
        <w:t xml:space="preserve"> </w:t>
      </w:r>
      <w:r w:rsidRPr="001F5D25">
        <w:t>https://www.accessdata.fda.gov/scripts/cder/daf/index.cfm?event=overview.process&amp;ApplNo=007073</w:t>
      </w:r>
    </w:p>
  </w:endnote>
  <w:endnote w:id="2">
    <w:p w14:paraId="5BFCF8C9" w14:textId="66523010" w:rsidR="00A7501C" w:rsidRPr="00A7501C" w:rsidRDefault="00A7501C" w:rsidP="00A7501C">
      <w:pPr>
        <w:autoSpaceDE w:val="0"/>
        <w:autoSpaceDN w:val="0"/>
        <w:adjustRightInd w:val="0"/>
        <w:spacing w:after="0" w:line="240" w:lineRule="auto"/>
        <w:rPr>
          <w:rFonts w:ascii="JmdmsmAdvTTe45e47d2" w:hAnsi="JmdmsmAdvTTe45e47d2" w:cs="JmdmsmAdvTTe45e47d2"/>
          <w:color w:val="131413"/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Real life results in using 5-ASA for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maintaining mild to moderate UC patients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in Japan, a multi-center study, OPTIMUM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Study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. Nagahori </w:t>
      </w:r>
      <w:r>
        <w:rPr>
          <w:rFonts w:ascii="XjxlfhAdvTT7329fd89.I" w:hAnsi="XjxlfhAdvTT7329fd89.I" w:cs="XjxlfhAdvTT7329fd89.I"/>
          <w:color w:val="131413"/>
          <w:sz w:val="16"/>
          <w:szCs w:val="16"/>
        </w:rPr>
        <w:t xml:space="preserve">et al. BMC Gastroenterology </w:t>
      </w:r>
      <w:r>
        <w:rPr>
          <w:rFonts w:ascii="MyriadPro-Regular" w:hAnsi="MyriadPro-Regular" w:cs="MyriadPro-Regular"/>
          <w:color w:val="131413"/>
          <w:sz w:val="16"/>
          <w:szCs w:val="16"/>
        </w:rPr>
        <w:t xml:space="preserve">(2017) 17:47. 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>DOI 10.1186/s12876-017-0604-y</w:t>
      </w:r>
    </w:p>
  </w:endnote>
  <w:endnote w:id="3">
    <w:p w14:paraId="12E1211F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4F19EB">
        <w:t>https://www.accessdata.fda.gov/scripts/cder/daf/index.cfm?event=overview.process&amp;ApplNo=019618</w:t>
      </w:r>
    </w:p>
  </w:endnote>
  <w:endnote w:id="4">
    <w:p w14:paraId="2BD0F7E2" w14:textId="6DE12418" w:rsidR="00A7501C" w:rsidRPr="00A7501C" w:rsidRDefault="00A7501C" w:rsidP="00A7501C">
      <w:pPr>
        <w:autoSpaceDE w:val="0"/>
        <w:autoSpaceDN w:val="0"/>
        <w:adjustRightInd w:val="0"/>
        <w:spacing w:after="0" w:line="240" w:lineRule="auto"/>
        <w:rPr>
          <w:rFonts w:ascii="JmdmsmAdvTTe45e47d2" w:hAnsi="JmdmsmAdvTTe45e47d2" w:cs="JmdmsmAdvTTe45e47d2"/>
          <w:color w:val="131413"/>
          <w:sz w:val="16"/>
          <w:szCs w:val="16"/>
        </w:rPr>
      </w:pPr>
      <w:r>
        <w:rPr>
          <w:rStyle w:val="EndnoteReference"/>
        </w:rPr>
        <w:endnoteRef/>
      </w:r>
      <w: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Real life results in using 5-ASA for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maintaining mild to moderate UC patients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in Japan, a multi-center study, OPTIMUM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 </w:t>
      </w:r>
      <w:r w:rsidRPr="00235D33">
        <w:rPr>
          <w:rFonts w:ascii="JmdmsmAdvTTe45e47d2" w:hAnsi="JmdmsmAdvTTe45e47d2" w:cs="JmdmsmAdvTTe45e47d2"/>
          <w:color w:val="131413"/>
          <w:sz w:val="16"/>
          <w:szCs w:val="16"/>
        </w:rPr>
        <w:t>Study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 xml:space="preserve">. Nagahori </w:t>
      </w:r>
      <w:r>
        <w:rPr>
          <w:rFonts w:ascii="XjxlfhAdvTT7329fd89.I" w:hAnsi="XjxlfhAdvTT7329fd89.I" w:cs="XjxlfhAdvTT7329fd89.I"/>
          <w:color w:val="131413"/>
          <w:sz w:val="16"/>
          <w:szCs w:val="16"/>
        </w:rPr>
        <w:t xml:space="preserve">et al. BMC Gastroenterology </w:t>
      </w:r>
      <w:r>
        <w:rPr>
          <w:rFonts w:ascii="MyriadPro-Regular" w:hAnsi="MyriadPro-Regular" w:cs="MyriadPro-Regular"/>
          <w:color w:val="131413"/>
          <w:sz w:val="16"/>
          <w:szCs w:val="16"/>
        </w:rPr>
        <w:t xml:space="preserve">(2017) 17:47. </w:t>
      </w:r>
      <w:r>
        <w:rPr>
          <w:rFonts w:ascii="JmdmsmAdvTTe45e47d2" w:hAnsi="JmdmsmAdvTTe45e47d2" w:cs="JmdmsmAdvTTe45e47d2"/>
          <w:color w:val="131413"/>
          <w:sz w:val="16"/>
          <w:szCs w:val="16"/>
        </w:rPr>
        <w:t>DOI 10.1186/s12876-017-0604-y</w:t>
      </w:r>
    </w:p>
  </w:endnote>
  <w:endnote w:id="5">
    <w:p w14:paraId="0AC26BE7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0D0D28">
          <w:rPr>
            <w:rStyle w:val="Hyperlink"/>
          </w:rPr>
          <w:t>https://www.accessdata.fda.gov/scripts/cder/daf/index.cfm?event=BasicSearch.process</w:t>
        </w:r>
      </w:hyperlink>
    </w:p>
  </w:endnote>
  <w:endnote w:id="6">
    <w:p w14:paraId="5FB22561" w14:textId="77777777" w:rsidR="00A7501C" w:rsidRDefault="00A7501C" w:rsidP="00A7501C">
      <w:pPr>
        <w:pStyle w:val="CommentText"/>
        <w:spacing w:after="0"/>
      </w:pPr>
      <w:r>
        <w:rPr>
          <w:rStyle w:val="EndnoteReference"/>
        </w:rPr>
        <w:endnoteRef/>
      </w:r>
      <w:r>
        <w:t xml:space="preserve"> </w:t>
      </w:r>
      <w:r w:rsidRPr="004F19EB">
        <w:t>https://www.accessdata.fda.gov/scripts/cder/daf/index.cfm?event=overview.process&amp;ApplNo=020610</w:t>
      </w:r>
    </w:p>
  </w:endnote>
  <w:endnote w:id="7">
    <w:p w14:paraId="5050D760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072AA9">
        <w:rPr>
          <w:rFonts w:eastAsia="MS Mincho"/>
          <w:lang w:eastAsia="en-US"/>
        </w:rPr>
        <w:t>https://www.accessdata.fda.gov/drugsatfda_docs/appletter/2006/020610s016ltr.pdf</w:t>
      </w:r>
    </w:p>
  </w:endnote>
  <w:endnote w:id="8">
    <w:p w14:paraId="48634F3F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0184D">
        <w:t>https://www.accessdata.fda.gov/drugsatfda_docs/appletter/2005/103772_5113ltr.pdf</w:t>
      </w:r>
    </w:p>
  </w:endnote>
  <w:endnote w:id="9">
    <w:p w14:paraId="24E407C5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C2F13">
        <w:t>https://www.pmda.go.jp/files/000232774.pdf</w:t>
      </w:r>
    </w:p>
  </w:endnote>
  <w:endnote w:id="10">
    <w:p w14:paraId="5B0AC8E9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072AA9">
        <w:t>https://www.mt-pharma.co.jp/news/assets/pdf/MTPC170518.pdf</w:t>
      </w:r>
    </w:p>
  </w:endnote>
  <w:endnote w:id="11">
    <w:p w14:paraId="47CA8343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A4357">
        <w:t>https://www.accessdata.fda.gov/drugsatfda_docs/appletter/2012/125057Orig1s232ltr.pdf</w:t>
      </w:r>
    </w:p>
  </w:endnote>
  <w:endnote w:id="12">
    <w:p w14:paraId="3F1A7B67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C2F13">
        <w:t>https://www.pmda.go.jp/files/000232771.pdf</w:t>
      </w:r>
    </w:p>
  </w:endnote>
  <w:endnote w:id="13">
    <w:p w14:paraId="75FD04FE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A4357">
        <w:t>https://www.accessdata.fda.gov/drugsatfda_docs/appletter/2013/125289Orig1s077,s078,s079ltr.pdf</w:t>
      </w:r>
    </w:p>
  </w:endnote>
  <w:endnote w:id="14">
    <w:p w14:paraId="06B577AB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C2F13">
        <w:t>https://www.pmda.go.jp/files/000232770.pdf</w:t>
      </w:r>
    </w:p>
  </w:endnote>
  <w:endnote w:id="15">
    <w:p w14:paraId="7ABC841B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A4357">
        <w:t>https://www.accessdata.fda.gov/drugsatfda_docs/appletter/2014/125476Orig1s000ltr.pdf</w:t>
      </w:r>
    </w:p>
  </w:endnote>
  <w:endnote w:id="16">
    <w:p w14:paraId="2D24E75C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FC2F13">
        <w:t>https://www.pmda.go.jp/files/000235288.pdf</w:t>
      </w:r>
    </w:p>
  </w:endnote>
  <w:endnote w:id="17">
    <w:p w14:paraId="7BCC8F75" w14:textId="77777777" w:rsidR="00A7501C" w:rsidRDefault="00A7501C" w:rsidP="00A7501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A4357">
        <w:t>https://www.accessdata.fda.gov/drugsatfda_docs/appletter/2019/761044Orig1s003,%20125261Orig1s152ltr.pd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JmdmsmAdvTTe45e47d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XjxlfhAdvTT7329fd89.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450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273751" w14:textId="6A1224C7" w:rsidR="00EC1774" w:rsidRDefault="00EC17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B658DC" w14:textId="77777777" w:rsidR="004831F4" w:rsidRDefault="0007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D307D" w14:textId="77777777" w:rsidR="00C70D56" w:rsidRDefault="00C70D56" w:rsidP="00C70D56">
      <w:pPr>
        <w:spacing w:after="0" w:line="240" w:lineRule="auto"/>
      </w:pPr>
      <w:r>
        <w:separator/>
      </w:r>
    </w:p>
  </w:footnote>
  <w:footnote w:type="continuationSeparator" w:id="0">
    <w:p w14:paraId="606CB08A" w14:textId="77777777" w:rsidR="00C70D56" w:rsidRDefault="00C70D56" w:rsidP="00C70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92126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F0EC7E" w14:textId="0B23CDEC" w:rsidR="00EC1774" w:rsidRDefault="00077421">
        <w:pPr>
          <w:pStyle w:val="Header"/>
          <w:jc w:val="right"/>
        </w:pPr>
      </w:p>
    </w:sdtContent>
  </w:sdt>
  <w:p w14:paraId="536419D2" w14:textId="77777777" w:rsidR="009E32AA" w:rsidRPr="004831F4" w:rsidRDefault="00077421" w:rsidP="004831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5686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514852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56"/>
    <w:rsid w:val="00077421"/>
    <w:rsid w:val="0019094E"/>
    <w:rsid w:val="004F5FA3"/>
    <w:rsid w:val="0058363D"/>
    <w:rsid w:val="006942C8"/>
    <w:rsid w:val="00757422"/>
    <w:rsid w:val="0085009D"/>
    <w:rsid w:val="009329FD"/>
    <w:rsid w:val="00A7501C"/>
    <w:rsid w:val="00C70D56"/>
    <w:rsid w:val="00EC1774"/>
    <w:rsid w:val="00FB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59848"/>
  <w15:chartTrackingRefBased/>
  <w15:docId w15:val="{F3E8FE7C-47EE-4E72-A8B3-3D1FFB0C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D56"/>
    <w:pPr>
      <w:spacing w:after="200" w:line="276" w:lineRule="auto"/>
    </w:pPr>
    <w:rPr>
      <w:rFonts w:eastAsia="MS Minch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D5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70D56"/>
    <w:pPr>
      <w:numPr>
        <w:ilvl w:val="1"/>
      </w:numPr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70D56"/>
    <w:pPr>
      <w:numPr>
        <w:ilvl w:val="2"/>
      </w:numPr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D5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D5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D5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D5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D5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D5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D56"/>
    <w:rPr>
      <w:rFonts w:eastAsia="MS Mincho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0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D56"/>
    <w:rPr>
      <w:rFonts w:eastAsia="MS Mincho"/>
      <w:lang w:val="en-US"/>
    </w:rPr>
  </w:style>
  <w:style w:type="character" w:styleId="Hyperlink">
    <w:name w:val="Hyperlink"/>
    <w:basedOn w:val="DefaultParagraphFont"/>
    <w:uiPriority w:val="99"/>
    <w:unhideWhenUsed/>
    <w:rsid w:val="00C70D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70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2">
    <w:name w:val="Body Text 12"/>
    <w:link w:val="BodyText120"/>
    <w:qFormat/>
    <w:rsid w:val="00C70D56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C70D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0D56"/>
    <w:rPr>
      <w:rFonts w:eastAsia="MS Mincho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0D56"/>
    <w:pPr>
      <w:spacing w:after="160" w:line="259" w:lineRule="auto"/>
      <w:ind w:left="720"/>
      <w:contextualSpacing/>
    </w:pPr>
  </w:style>
  <w:style w:type="character" w:customStyle="1" w:styleId="BodyText120">
    <w:name w:val="Body Text 12 (文字)"/>
    <w:basedOn w:val="DefaultParagraphFont"/>
    <w:link w:val="BodyText12"/>
    <w:locked/>
    <w:rsid w:val="00C70D5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70D56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0D56"/>
    <w:rPr>
      <w:rFonts w:eastAsiaTheme="minorEastAsia"/>
      <w:sz w:val="20"/>
      <w:szCs w:val="20"/>
      <w:lang w:val="en-US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C70D5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C70D56"/>
    <w:rPr>
      <w:rFonts w:asciiTheme="majorHAnsi" w:eastAsiaTheme="majorEastAsia" w:hAnsiTheme="majorHAnsi" w:cstheme="majorBidi"/>
      <w:color w:val="2F5496" w:themeColor="accent1" w:themeShade="BF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70D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70D56"/>
    <w:rPr>
      <w:rFonts w:asciiTheme="majorHAnsi" w:eastAsiaTheme="majorEastAsia" w:hAnsiTheme="majorHAnsi" w:cstheme="majorBidi"/>
      <w:color w:val="2F5496" w:themeColor="accent1" w:themeShade="BF"/>
      <w:sz w:val="28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70D5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D56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D56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D56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D5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D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Revision">
    <w:name w:val="Revision"/>
    <w:hidden/>
    <w:uiPriority w:val="99"/>
    <w:semiHidden/>
    <w:rsid w:val="009329FD"/>
    <w:pPr>
      <w:spacing w:after="0" w:line="240" w:lineRule="auto"/>
    </w:pPr>
    <w:rPr>
      <w:rFonts w:eastAsia="MS Minch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cessdata.fda.gov/scripts/cder/daf/index.cfm?event=BasicSearch.proc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Joanne [JACAU Non-J&amp;J]</dc:creator>
  <cp:keywords/>
  <dc:description/>
  <cp:lastModifiedBy>Wolter, Joanne [JACAU Non-J&amp;J]</cp:lastModifiedBy>
  <cp:revision>3</cp:revision>
  <dcterms:created xsi:type="dcterms:W3CDTF">2023-04-05T01:59:00Z</dcterms:created>
  <dcterms:modified xsi:type="dcterms:W3CDTF">2023-04-05T01:59:00Z</dcterms:modified>
</cp:coreProperties>
</file>