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7A12C">
      <w:pPr>
        <w:keepNext w:val="0"/>
        <w:keepLines w:val="0"/>
        <w:widowControl/>
        <w:suppressLineNumbers w:val="0"/>
        <w:jc w:val="center"/>
        <w:rPr>
          <w:rFonts w:hint="default" w:ascii="Times New Roman" w:hAnsi="Times New Roman" w:eastAsia="宋体" w:cs="Times New Roman"/>
          <w:b/>
          <w:bCs/>
          <w:color w:val="000000"/>
          <w:kern w:val="0"/>
          <w:sz w:val="44"/>
          <w:szCs w:val="44"/>
          <w:lang w:val="en-US" w:eastAsia="zh-CN" w:bidi="ar"/>
        </w:rPr>
      </w:pPr>
      <w:bookmarkStart w:id="0" w:name="OLE_LINK5"/>
      <w:bookmarkStart w:id="1" w:name="OLE_LINK6"/>
    </w:p>
    <w:p w14:paraId="56BAECB6">
      <w:pPr>
        <w:keepNext w:val="0"/>
        <w:keepLines w:val="0"/>
        <w:widowControl/>
        <w:suppressLineNumbers w:val="0"/>
        <w:jc w:val="center"/>
        <w:rPr>
          <w:rFonts w:hint="default" w:ascii="Times New Roman" w:hAnsi="Times New Roman" w:eastAsia="宋体" w:cs="Times New Roman"/>
          <w:b/>
          <w:bCs/>
          <w:color w:val="000000"/>
          <w:kern w:val="0"/>
          <w:sz w:val="44"/>
          <w:szCs w:val="44"/>
          <w:lang w:val="en-US" w:eastAsia="zh-CN" w:bidi="ar"/>
        </w:rPr>
      </w:pPr>
    </w:p>
    <w:p w14:paraId="3B5E74B1">
      <w:pPr>
        <w:keepNext w:val="0"/>
        <w:keepLines w:val="0"/>
        <w:widowControl/>
        <w:suppressLineNumbers w:val="0"/>
        <w:jc w:val="both"/>
        <w:rPr>
          <w:rFonts w:hint="default" w:ascii="Times New Roman" w:hAnsi="Times New Roman" w:eastAsia="宋体" w:cs="Times New Roman"/>
          <w:b/>
          <w:bCs/>
          <w:color w:val="000000"/>
          <w:kern w:val="0"/>
          <w:sz w:val="44"/>
          <w:szCs w:val="44"/>
          <w:lang w:val="en-US" w:eastAsia="zh-CN" w:bidi="ar"/>
        </w:rPr>
      </w:pPr>
    </w:p>
    <w:p w14:paraId="030F1166">
      <w:pPr>
        <w:keepNext w:val="0"/>
        <w:keepLines w:val="0"/>
        <w:widowControl/>
        <w:suppressLineNumbers w:val="0"/>
        <w:jc w:val="center"/>
        <w:rPr>
          <w:rFonts w:hint="default" w:ascii="Times New Roman" w:hAnsi="Times New Roman" w:eastAsia="宋体" w:cs="Times New Roman"/>
          <w:b/>
          <w:bCs/>
          <w:color w:val="000000"/>
          <w:kern w:val="0"/>
          <w:sz w:val="44"/>
          <w:szCs w:val="44"/>
          <w:lang w:val="en-US" w:eastAsia="zh-CN" w:bidi="ar"/>
        </w:rPr>
      </w:pPr>
      <w:r>
        <w:rPr>
          <w:rFonts w:hint="default" w:ascii="Times New Roman" w:hAnsi="Times New Roman" w:eastAsia="宋体" w:cs="Times New Roman"/>
          <w:b/>
          <w:bCs/>
          <w:color w:val="000000"/>
          <w:kern w:val="0"/>
          <w:sz w:val="44"/>
          <w:szCs w:val="44"/>
          <w:lang w:val="en-US" w:eastAsia="zh-CN" w:bidi="ar"/>
        </w:rPr>
        <w:t>CLINICAL STUDY PROTOCOL</w:t>
      </w:r>
    </w:p>
    <w:p w14:paraId="4F3E2AA7">
      <w:pPr>
        <w:keepNext w:val="0"/>
        <w:keepLines w:val="0"/>
        <w:widowControl/>
        <w:suppressLineNumbers w:val="0"/>
        <w:jc w:val="center"/>
        <w:rPr>
          <w:rFonts w:hint="default" w:ascii="Times New Roman" w:hAnsi="Times New Roman" w:eastAsia="宋体" w:cs="Times New Roman"/>
          <w:b/>
          <w:bCs/>
          <w:color w:val="000000"/>
          <w:kern w:val="0"/>
          <w:sz w:val="44"/>
          <w:szCs w:val="44"/>
          <w:lang w:val="en-US" w:eastAsia="zh-CN" w:bidi="ar"/>
        </w:rPr>
      </w:pPr>
    </w:p>
    <w:p w14:paraId="1DA11494">
      <w:pPr>
        <w:jc w:val="center"/>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Electroacupuncture</w:t>
      </w:r>
      <w:bookmarkEnd w:id="0"/>
      <w:r>
        <w:rPr>
          <w:rFonts w:ascii="Times New Roman" w:hAnsi="Times New Roman" w:eastAsia="宋体" w:cs="Times New Roman"/>
          <w:b/>
          <w:bCs/>
          <w:sz w:val="28"/>
          <w:szCs w:val="28"/>
        </w:rPr>
        <w:t xml:space="preserve"> </w:t>
      </w:r>
      <w:r>
        <w:rPr>
          <w:rFonts w:hint="eastAsia" w:ascii="Times New Roman" w:hAnsi="Times New Roman" w:eastAsia="宋体" w:cs="Times New Roman"/>
          <w:b/>
          <w:bCs/>
          <w:sz w:val="28"/>
          <w:szCs w:val="28"/>
          <w:lang w:val="en-US" w:eastAsia="zh-CN"/>
        </w:rPr>
        <w:t>P</w:t>
      </w:r>
      <w:r>
        <w:rPr>
          <w:rFonts w:ascii="Times New Roman" w:hAnsi="Times New Roman" w:eastAsia="宋体" w:cs="Times New Roman"/>
          <w:b/>
          <w:bCs/>
          <w:sz w:val="28"/>
          <w:szCs w:val="28"/>
        </w:rPr>
        <w:t xml:space="preserve">romotes </w:t>
      </w:r>
      <w:r>
        <w:rPr>
          <w:rFonts w:hint="eastAsia" w:ascii="Times New Roman" w:hAnsi="Times New Roman" w:eastAsia="宋体" w:cs="Times New Roman"/>
          <w:b/>
          <w:bCs/>
          <w:sz w:val="28"/>
          <w:szCs w:val="28"/>
          <w:lang w:val="en-US" w:eastAsia="zh-CN"/>
        </w:rPr>
        <w:t>G</w:t>
      </w:r>
      <w:r>
        <w:rPr>
          <w:rFonts w:hint="eastAsia" w:ascii="Times New Roman" w:hAnsi="Times New Roman" w:eastAsia="宋体" w:cs="Times New Roman"/>
          <w:b/>
          <w:bCs/>
          <w:sz w:val="28"/>
          <w:szCs w:val="28"/>
        </w:rPr>
        <w:t xml:space="preserve">astrointestinal </w:t>
      </w:r>
      <w:r>
        <w:rPr>
          <w:rFonts w:hint="eastAsia" w:ascii="Times New Roman" w:hAnsi="Times New Roman" w:eastAsia="宋体" w:cs="Times New Roman"/>
          <w:b/>
          <w:bCs/>
          <w:sz w:val="28"/>
          <w:szCs w:val="28"/>
          <w:lang w:val="en-US" w:eastAsia="zh-CN"/>
        </w:rPr>
        <w:t>F</w:t>
      </w:r>
      <w:r>
        <w:rPr>
          <w:rFonts w:hint="eastAsia" w:ascii="Times New Roman" w:hAnsi="Times New Roman" w:eastAsia="宋体" w:cs="Times New Roman"/>
          <w:b/>
          <w:bCs/>
          <w:sz w:val="28"/>
          <w:szCs w:val="28"/>
        </w:rPr>
        <w:t xml:space="preserve">unctional </w:t>
      </w:r>
      <w:r>
        <w:rPr>
          <w:rFonts w:hint="eastAsia" w:ascii="Times New Roman" w:hAnsi="Times New Roman" w:eastAsia="宋体" w:cs="Times New Roman"/>
          <w:b/>
          <w:bCs/>
          <w:sz w:val="28"/>
          <w:szCs w:val="28"/>
          <w:lang w:val="en-US" w:eastAsia="zh-CN"/>
        </w:rPr>
        <w:t>R</w:t>
      </w:r>
      <w:r>
        <w:rPr>
          <w:rFonts w:hint="eastAsia" w:ascii="Times New Roman" w:hAnsi="Times New Roman" w:eastAsia="宋体" w:cs="Times New Roman"/>
          <w:b/>
          <w:bCs/>
          <w:sz w:val="28"/>
          <w:szCs w:val="28"/>
        </w:rPr>
        <w:t xml:space="preserve">ecovery </w:t>
      </w:r>
      <w:r>
        <w:rPr>
          <w:rFonts w:hint="eastAsia" w:ascii="Times New Roman" w:hAnsi="Times New Roman" w:eastAsia="宋体" w:cs="Times New Roman"/>
          <w:b/>
          <w:bCs/>
          <w:sz w:val="28"/>
          <w:szCs w:val="28"/>
          <w:lang w:val="en-US" w:eastAsia="zh-CN"/>
        </w:rPr>
        <w:t>a</w:t>
      </w:r>
      <w:r>
        <w:rPr>
          <w:rFonts w:hint="eastAsia" w:ascii="Times New Roman" w:hAnsi="Times New Roman" w:eastAsia="宋体" w:cs="Times New Roman"/>
          <w:b/>
          <w:bCs/>
          <w:sz w:val="28"/>
          <w:szCs w:val="28"/>
        </w:rPr>
        <w:t xml:space="preserve">fter </w:t>
      </w:r>
      <w:r>
        <w:rPr>
          <w:rFonts w:hint="eastAsia" w:ascii="Times New Roman" w:hAnsi="Times New Roman" w:eastAsia="宋体" w:cs="Times New Roman"/>
          <w:b/>
          <w:bCs/>
          <w:sz w:val="28"/>
          <w:szCs w:val="28"/>
          <w:lang w:val="en-US" w:eastAsia="zh-CN"/>
        </w:rPr>
        <w:t>R</w:t>
      </w:r>
      <w:r>
        <w:rPr>
          <w:rFonts w:hint="eastAsia" w:ascii="Times New Roman" w:hAnsi="Times New Roman" w:eastAsia="宋体" w:cs="Times New Roman"/>
          <w:b/>
          <w:bCs/>
          <w:sz w:val="28"/>
          <w:szCs w:val="28"/>
        </w:rPr>
        <w:t xml:space="preserve">adical </w:t>
      </w:r>
      <w:r>
        <w:rPr>
          <w:rFonts w:hint="eastAsia" w:ascii="Times New Roman" w:hAnsi="Times New Roman" w:eastAsia="宋体" w:cs="Times New Roman"/>
          <w:b/>
          <w:bCs/>
          <w:sz w:val="28"/>
          <w:szCs w:val="28"/>
          <w:lang w:val="en-US" w:eastAsia="zh-CN"/>
        </w:rPr>
        <w:t>C</w:t>
      </w:r>
      <w:r>
        <w:rPr>
          <w:rFonts w:hint="eastAsia" w:ascii="Times New Roman" w:hAnsi="Times New Roman" w:eastAsia="宋体" w:cs="Times New Roman"/>
          <w:b/>
          <w:bCs/>
          <w:sz w:val="28"/>
          <w:szCs w:val="28"/>
        </w:rPr>
        <w:t xml:space="preserve">olorectal </w:t>
      </w:r>
      <w:r>
        <w:rPr>
          <w:rFonts w:hint="eastAsia" w:ascii="Times New Roman" w:hAnsi="Times New Roman" w:eastAsia="宋体" w:cs="Times New Roman"/>
          <w:b/>
          <w:bCs/>
          <w:sz w:val="28"/>
          <w:szCs w:val="28"/>
          <w:lang w:val="en-US" w:eastAsia="zh-CN"/>
        </w:rPr>
        <w:t>C</w:t>
      </w:r>
      <w:r>
        <w:rPr>
          <w:rFonts w:hint="eastAsia" w:ascii="Times New Roman" w:hAnsi="Times New Roman" w:eastAsia="宋体" w:cs="Times New Roman"/>
          <w:b/>
          <w:bCs/>
          <w:sz w:val="28"/>
          <w:szCs w:val="28"/>
        </w:rPr>
        <w:t xml:space="preserve">ancer </w:t>
      </w:r>
      <w:r>
        <w:rPr>
          <w:rFonts w:hint="eastAsia" w:ascii="Times New Roman" w:hAnsi="Times New Roman" w:eastAsia="宋体" w:cs="Times New Roman"/>
          <w:b/>
          <w:bCs/>
          <w:sz w:val="28"/>
          <w:szCs w:val="28"/>
          <w:lang w:val="en-US" w:eastAsia="zh-CN"/>
        </w:rPr>
        <w:t>S</w:t>
      </w:r>
      <w:r>
        <w:rPr>
          <w:rFonts w:hint="eastAsia" w:ascii="Times New Roman" w:hAnsi="Times New Roman" w:eastAsia="宋体" w:cs="Times New Roman"/>
          <w:b/>
          <w:bCs/>
          <w:sz w:val="28"/>
          <w:szCs w:val="28"/>
        </w:rPr>
        <w:t xml:space="preserve">urgery: </w:t>
      </w:r>
      <w:r>
        <w:rPr>
          <w:rFonts w:hint="eastAsia" w:ascii="Times New Roman" w:hAnsi="Times New Roman" w:eastAsia="宋体" w:cs="Times New Roman"/>
          <w:b/>
          <w:bCs/>
          <w:sz w:val="28"/>
          <w:szCs w:val="28"/>
          <w:lang w:val="en-US" w:eastAsia="zh-CN"/>
        </w:rPr>
        <w:t>A</w:t>
      </w:r>
      <w:r>
        <w:rPr>
          <w:rFonts w:hint="eastAsia" w:ascii="Times New Roman" w:hAnsi="Times New Roman" w:eastAsia="宋体" w:cs="Times New Roman"/>
          <w:b/>
          <w:bCs/>
          <w:sz w:val="28"/>
          <w:szCs w:val="28"/>
        </w:rPr>
        <w:t xml:space="preserve"> </w:t>
      </w:r>
      <w:r>
        <w:rPr>
          <w:rFonts w:hint="eastAsia" w:ascii="Times New Roman" w:hAnsi="Times New Roman" w:eastAsia="宋体" w:cs="Times New Roman"/>
          <w:b/>
          <w:bCs/>
          <w:sz w:val="28"/>
          <w:szCs w:val="28"/>
          <w:lang w:val="en-US" w:eastAsia="zh-CN"/>
        </w:rPr>
        <w:t>M</w:t>
      </w:r>
      <w:r>
        <w:rPr>
          <w:rFonts w:hint="eastAsia" w:ascii="Times New Roman" w:hAnsi="Times New Roman" w:eastAsia="宋体" w:cs="Times New Roman"/>
          <w:b/>
          <w:bCs/>
          <w:sz w:val="28"/>
          <w:szCs w:val="28"/>
        </w:rPr>
        <w:t xml:space="preserve">ulticenter </w:t>
      </w:r>
    </w:p>
    <w:p w14:paraId="750D163D">
      <w:pPr>
        <w:jc w:val="center"/>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lang w:val="en-US" w:eastAsia="zh-CN"/>
        </w:rPr>
        <w:t>R</w:t>
      </w:r>
      <w:r>
        <w:rPr>
          <w:rFonts w:hint="eastAsia" w:ascii="Times New Roman" w:hAnsi="Times New Roman" w:eastAsia="宋体" w:cs="Times New Roman"/>
          <w:b/>
          <w:bCs/>
          <w:sz w:val="28"/>
          <w:szCs w:val="28"/>
        </w:rPr>
        <w:t xml:space="preserve">andomized </w:t>
      </w:r>
      <w:r>
        <w:rPr>
          <w:rFonts w:hint="eastAsia" w:ascii="Times New Roman" w:hAnsi="Times New Roman" w:eastAsia="宋体" w:cs="Times New Roman"/>
          <w:b/>
          <w:bCs/>
          <w:sz w:val="28"/>
          <w:szCs w:val="28"/>
          <w:lang w:val="en-US" w:eastAsia="zh-CN"/>
        </w:rPr>
        <w:t>C</w:t>
      </w:r>
      <w:r>
        <w:rPr>
          <w:rFonts w:hint="eastAsia" w:ascii="Times New Roman" w:hAnsi="Times New Roman" w:eastAsia="宋体" w:cs="Times New Roman"/>
          <w:b/>
          <w:bCs/>
          <w:sz w:val="28"/>
          <w:szCs w:val="28"/>
        </w:rPr>
        <w:t xml:space="preserve">ontrolled </w:t>
      </w:r>
      <w:r>
        <w:rPr>
          <w:rFonts w:hint="eastAsia" w:ascii="Times New Roman" w:hAnsi="Times New Roman" w:eastAsia="宋体" w:cs="Times New Roman"/>
          <w:b/>
          <w:bCs/>
          <w:sz w:val="28"/>
          <w:szCs w:val="28"/>
          <w:lang w:val="en-US" w:eastAsia="zh-CN"/>
        </w:rPr>
        <w:t>T</w:t>
      </w:r>
      <w:r>
        <w:rPr>
          <w:rFonts w:hint="eastAsia" w:ascii="Times New Roman" w:hAnsi="Times New Roman" w:eastAsia="宋体" w:cs="Times New Roman"/>
          <w:b/>
          <w:bCs/>
          <w:sz w:val="28"/>
          <w:szCs w:val="28"/>
        </w:rPr>
        <w:t>rial</w:t>
      </w:r>
      <w:bookmarkEnd w:id="1"/>
    </w:p>
    <w:p w14:paraId="02BCC017">
      <w:pPr>
        <w:jc w:val="center"/>
        <w:rPr>
          <w:rFonts w:hint="eastAsia" w:ascii="Times New Roman" w:hAnsi="Times New Roman" w:eastAsia="宋体" w:cs="Times New Roman"/>
          <w:b/>
          <w:bCs/>
          <w:sz w:val="28"/>
          <w:szCs w:val="28"/>
        </w:rPr>
      </w:pPr>
    </w:p>
    <w:p w14:paraId="433DC5DA">
      <w:pPr>
        <w:jc w:val="center"/>
        <w:rPr>
          <w:rFonts w:hint="eastAsia" w:ascii="Times New Roman" w:hAnsi="Times New Roman" w:eastAsia="宋体" w:cs="Times New Roman"/>
          <w:b/>
          <w:bCs/>
          <w:sz w:val="28"/>
          <w:szCs w:val="28"/>
        </w:rPr>
      </w:pPr>
    </w:p>
    <w:p w14:paraId="7937E01B">
      <w:pPr>
        <w:jc w:val="center"/>
        <w:rPr>
          <w:rFonts w:hint="eastAsia" w:ascii="Times New Roman" w:hAnsi="Times New Roman" w:eastAsia="宋体" w:cs="Times New Roman"/>
          <w:b/>
          <w:bCs/>
          <w:sz w:val="28"/>
          <w:szCs w:val="28"/>
        </w:rPr>
      </w:pPr>
    </w:p>
    <w:p w14:paraId="273DA005">
      <w:pPr>
        <w:jc w:val="center"/>
        <w:rPr>
          <w:rFonts w:hint="eastAsia" w:ascii="Times New Roman" w:hAnsi="Times New Roman" w:eastAsia="宋体" w:cs="Times New Roman"/>
          <w:b/>
          <w:bCs/>
          <w:sz w:val="28"/>
          <w:szCs w:val="28"/>
        </w:rPr>
      </w:pPr>
    </w:p>
    <w:p w14:paraId="0ED8D9A9">
      <w:pPr>
        <w:jc w:val="center"/>
        <w:rPr>
          <w:rFonts w:hint="eastAsia" w:ascii="Times New Roman" w:hAnsi="Times New Roman" w:eastAsia="宋体" w:cs="Times New Roman"/>
          <w:b/>
          <w:bCs/>
          <w:sz w:val="28"/>
          <w:szCs w:val="28"/>
        </w:rPr>
      </w:pPr>
    </w:p>
    <w:p w14:paraId="44A6D3C8">
      <w:pPr>
        <w:jc w:val="center"/>
        <w:rPr>
          <w:rFonts w:hint="eastAsia" w:ascii="Times New Roman" w:hAnsi="Times New Roman" w:eastAsia="宋体" w:cs="Times New Roman"/>
          <w:b/>
          <w:bCs/>
          <w:sz w:val="28"/>
          <w:szCs w:val="28"/>
        </w:rPr>
      </w:pPr>
    </w:p>
    <w:p w14:paraId="543530DB">
      <w:pPr>
        <w:jc w:val="center"/>
        <w:rPr>
          <w:rFonts w:hint="eastAsia" w:ascii="Times New Roman" w:hAnsi="Times New Roman" w:eastAsia="宋体" w:cs="Times New Roman"/>
          <w:b/>
          <w:bCs/>
          <w:sz w:val="28"/>
          <w:szCs w:val="28"/>
        </w:rPr>
      </w:pPr>
    </w:p>
    <w:p w14:paraId="0C9FCA4D">
      <w:pPr>
        <w:jc w:val="center"/>
        <w:rPr>
          <w:rFonts w:hint="eastAsia" w:ascii="Times New Roman" w:hAnsi="Times New Roman" w:eastAsia="宋体" w:cs="Times New Roman"/>
          <w:b/>
          <w:bCs/>
          <w:sz w:val="28"/>
          <w:szCs w:val="28"/>
        </w:rPr>
      </w:pPr>
    </w:p>
    <w:p w14:paraId="2F9C9906">
      <w:pPr>
        <w:jc w:val="center"/>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PROTOCOL VERSION 2.0</w:t>
      </w:r>
    </w:p>
    <w:p w14:paraId="17988E6F">
      <w:pPr>
        <w:jc w:val="center"/>
        <w:rPr>
          <w:rFonts w:hint="eastAsia" w:ascii="Times New Roman" w:hAnsi="Times New Roman" w:eastAsia="宋体" w:cs="Times New Roman"/>
          <w:b w:val="0"/>
          <w:bCs w:val="0"/>
          <w:sz w:val="28"/>
          <w:szCs w:val="28"/>
        </w:rPr>
      </w:pPr>
      <w:r>
        <w:rPr>
          <w:rFonts w:hint="eastAsia" w:ascii="Times New Roman" w:hAnsi="Times New Roman" w:eastAsia="宋体" w:cs="Times New Roman"/>
          <w:b w:val="0"/>
          <w:bCs w:val="0"/>
          <w:sz w:val="28"/>
          <w:szCs w:val="28"/>
        </w:rPr>
        <w:t xml:space="preserve">Dated: July 18, 2023 </w:t>
      </w:r>
    </w:p>
    <w:p w14:paraId="615B6F61">
      <w:pPr>
        <w:jc w:val="center"/>
        <w:rPr>
          <w:rFonts w:hint="eastAsia" w:ascii="Times New Roman" w:hAnsi="Times New Roman" w:eastAsia="宋体" w:cs="Times New Roman"/>
          <w:b w:val="0"/>
          <w:bCs w:val="0"/>
          <w:sz w:val="28"/>
          <w:szCs w:val="28"/>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b w:val="0"/>
          <w:bCs w:val="0"/>
          <w:sz w:val="28"/>
          <w:szCs w:val="28"/>
        </w:rPr>
        <w:t>Sh</w:t>
      </w:r>
      <w:r>
        <w:rPr>
          <w:rFonts w:hint="eastAsia" w:ascii="Times New Roman" w:hAnsi="Times New Roman" w:eastAsia="宋体" w:cs="Times New Roman"/>
          <w:b w:val="0"/>
          <w:bCs w:val="0"/>
          <w:sz w:val="28"/>
          <w:szCs w:val="28"/>
          <w:lang w:val="en-US" w:eastAsia="zh-CN"/>
        </w:rPr>
        <w:t>anghai</w:t>
      </w:r>
      <w:r>
        <w:rPr>
          <w:rFonts w:hint="eastAsia" w:ascii="Times New Roman" w:hAnsi="Times New Roman" w:eastAsia="宋体" w:cs="Times New Roman"/>
          <w:b w:val="0"/>
          <w:bCs w:val="0"/>
          <w:sz w:val="28"/>
          <w:szCs w:val="28"/>
        </w:rPr>
        <w:t>, China</w:t>
      </w:r>
    </w:p>
    <w:p w14:paraId="0B8938D2">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1 </w:t>
      </w:r>
      <w:r>
        <w:rPr>
          <w:rFonts w:hint="default"/>
          <w:sz w:val="24"/>
          <w:szCs w:val="24"/>
        </w:rPr>
        <w:t>Background of the study</w:t>
      </w:r>
    </w:p>
    <w:p w14:paraId="54588B4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Currently, Enhanced Recovery After Surgery (ERAS) is becoming a new concept and treatment and rehabilitation mode in the 21st century, which is essentially to reduce and block the stress response of surgery and anesthesia through a series of perioperative treatment procedures and management method innovation. ERAS is essentially a series of perioperative procedures and management innovations to reduce and block the body's stress response, especially the negative effects of surgery and anesthesia, and ultimately to achieve the goal of less pain, low risk, less cost and rapid recovery of surgical patients</w:t>
      </w:r>
      <w:r>
        <w:rPr>
          <w:rFonts w:ascii="Times New Roman" w:hAnsi="Times New Roman" w:eastAsia="宋体" w:cs="Times New Roman"/>
          <w:sz w:val="24"/>
          <w:szCs w:val="24"/>
          <w:vertAlign w:val="superscript"/>
        </w:rPr>
        <w:t>[1</w:t>
      </w:r>
      <w:r>
        <w:rPr>
          <w:rFonts w:hint="eastAsia" w:ascii="Times New Roman" w:hAnsi="Times New Roman" w:eastAsia="宋体" w:cs="Times New Roman"/>
          <w:sz w:val="24"/>
          <w:szCs w:val="24"/>
          <w:vertAlign w:val="superscript"/>
        </w:rPr>
        <w:t>，</w:t>
      </w:r>
      <w:r>
        <w:rPr>
          <w:rFonts w:ascii="Times New Roman" w:hAnsi="Times New Roman" w:eastAsia="宋体" w:cs="Times New Roman"/>
          <w:sz w:val="24"/>
          <w:szCs w:val="24"/>
          <w:vertAlign w:val="superscript"/>
        </w:rPr>
        <w:t>2]</w:t>
      </w:r>
      <w:r>
        <w:rPr>
          <w:rFonts w:ascii="Times New Roman" w:hAnsi="Times New Roman" w:eastAsia="宋体" w:cs="Times New Roman"/>
          <w:sz w:val="24"/>
          <w:szCs w:val="24"/>
        </w:rPr>
        <w:t xml:space="preserve"> . The concept of ERAS is being widely accepted internationally, and is expanding its application to the majority of surgical fields.</w:t>
      </w:r>
    </w:p>
    <w:p w14:paraId="4EFCA876">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Colorectal cancer is the most common and predominant malignant tumor, and radical resection surgery, as the current mainstay of treatment for cancer of the colorectal gastrointestinal tract, is performed on a large number of patients each year. Clinically, abdominal surgery causes gastrointestinal dysfunction with the highest frequency and relatively longest duration of dysfunction</w:t>
      </w:r>
      <w:r>
        <w:rPr>
          <w:rFonts w:ascii="Times New Roman" w:hAnsi="Times New Roman" w:eastAsia="宋体" w:cs="Times New Roman"/>
          <w:sz w:val="24"/>
          <w:szCs w:val="24"/>
          <w:vertAlign w:val="superscript"/>
        </w:rPr>
        <w:t>[3</w:t>
      </w:r>
      <w:r>
        <w:rPr>
          <w:rFonts w:hint="eastAsia" w:ascii="Times New Roman" w:hAnsi="Times New Roman" w:eastAsia="宋体" w:cs="Times New Roman"/>
          <w:sz w:val="24"/>
          <w:szCs w:val="24"/>
          <w:vertAlign w:val="superscript"/>
        </w:rPr>
        <w:t>,</w:t>
      </w:r>
      <w:r>
        <w:rPr>
          <w:rFonts w:ascii="Times New Roman" w:hAnsi="Times New Roman" w:eastAsia="宋体" w:cs="Times New Roman"/>
          <w:sz w:val="24"/>
          <w:szCs w:val="24"/>
          <w:vertAlign w:val="superscript"/>
        </w:rPr>
        <w:t>4]</w:t>
      </w:r>
      <w:r>
        <w:rPr>
          <w:rFonts w:ascii="Times New Roman" w:hAnsi="Times New Roman" w:eastAsia="宋体" w:cs="Times New Roman"/>
          <w:sz w:val="24"/>
          <w:szCs w:val="24"/>
        </w:rPr>
        <w:t xml:space="preserve"> . A condition in which gastrointestinal function has not fully recovered after abdominal surgery is called gastrointestinal dysfunction. The common symptoms of postoperative gastrointestinal motility disorders are abdominal distension, abdominal pain, nausea and nausea, weakened or even disappeared bowel sounds, disappeared anal orifice venting and defecation, and even secondary symptoms such as fever and lung infection</w:t>
      </w:r>
      <w:r>
        <w:rPr>
          <w:rFonts w:ascii="Times New Roman" w:hAnsi="Times New Roman" w:eastAsia="宋体" w:cs="Times New Roman"/>
          <w:sz w:val="24"/>
          <w:szCs w:val="24"/>
          <w:vertAlign w:val="superscript"/>
        </w:rPr>
        <w:t>[5]</w:t>
      </w:r>
      <w:r>
        <w:rPr>
          <w:rFonts w:ascii="Times New Roman" w:hAnsi="Times New Roman" w:eastAsia="宋体" w:cs="Times New Roman"/>
          <w:sz w:val="24"/>
          <w:szCs w:val="24"/>
        </w:rPr>
        <w:t xml:space="preserve"> . It will have an adverse effect on patients' postoperative quality of life to different degrees, weakening their gastrointestinal barrier ability, and serious gastrointestinal dysfunction will lead to electrolyte disorders, intestinal adhesions, intestinal obstruction, anastomotic fistula, abdominal wall incision splitting and other complications, and at the same time, it also increases the burden on the society and the economic burden of the patients. Usually the stomach and small intestine can recover part of the power in 24~48 h after surgery, while the function of the colon and rectum will start to recover only after 48~72 h</w:t>
      </w:r>
      <w:r>
        <w:rPr>
          <w:rFonts w:ascii="Times New Roman" w:hAnsi="Times New Roman" w:eastAsia="宋体" w:cs="Times New Roman"/>
          <w:sz w:val="24"/>
          <w:szCs w:val="24"/>
          <w:vertAlign w:val="superscript"/>
        </w:rPr>
        <w:t>[6]</w:t>
      </w:r>
      <w:r>
        <w:rPr>
          <w:rFonts w:ascii="Times New Roman" w:hAnsi="Times New Roman" w:eastAsia="宋体" w:cs="Times New Roman"/>
          <w:sz w:val="24"/>
          <w:szCs w:val="24"/>
        </w:rPr>
        <w:t xml:space="preserve"> . Postoperative intestinal obstruction is the main cause of delayed recovery of bowel function after cancer resection</w:t>
      </w:r>
      <w:r>
        <w:rPr>
          <w:rFonts w:ascii="Times New Roman" w:hAnsi="Times New Roman" w:eastAsia="宋体" w:cs="Times New Roman"/>
          <w:sz w:val="24"/>
          <w:szCs w:val="24"/>
          <w:vertAlign w:val="superscript"/>
        </w:rPr>
        <w:t>[7]</w:t>
      </w:r>
      <w:r>
        <w:rPr>
          <w:rFonts w:ascii="Times New Roman" w:hAnsi="Times New Roman" w:eastAsia="宋体" w:cs="Times New Roman"/>
          <w:sz w:val="24"/>
          <w:szCs w:val="24"/>
        </w:rPr>
        <w:t xml:space="preserve"> . In severe cases, it can lead to gastrointestinal stagnation, increasing the risk of nausea and vomiting, dehydration, electrolyte imbalance or sepsis</w:t>
      </w:r>
      <w:r>
        <w:rPr>
          <w:rFonts w:ascii="Times New Roman" w:hAnsi="Times New Roman" w:eastAsia="宋体" w:cs="Times New Roman"/>
          <w:sz w:val="24"/>
          <w:szCs w:val="24"/>
          <w:vertAlign w:val="superscript"/>
        </w:rPr>
        <w:t>[8]</w:t>
      </w:r>
      <w:r>
        <w:rPr>
          <w:rFonts w:ascii="Times New Roman" w:hAnsi="Times New Roman" w:eastAsia="宋体" w:cs="Times New Roman"/>
          <w:sz w:val="24"/>
          <w:szCs w:val="24"/>
        </w:rPr>
        <w:t xml:space="preserve"> . Therefore, promoting the recovery of postoperative gastrointestinal function as soon as possible is the key to accelerating the recovery of patients after radical surgery for colorectal cancer. At this stage, there are numerous postoperative therapeutic options, but their clinical efficacy is limited, such as prokinetic drugs are controversial because they cannot be used in patients who have already fasted after upper gastrointestinal surgery. Although the International Society for ERAS has proposed several measures to prevent postoperative intestinal obstruction, including preoperative fasting, laparoscopic surgery, avoidance of abdominal drainage, restriction of intravenous fluids, and immediate removal of nasogastric tubes and bladder catheters, there are no definitive prevention and treatment guidelines at the international level to date. Shanghai is a city with a serious aging population, and the function of gastrointestinal tract declines in the aging population, which makes it more prone </w:t>
      </w:r>
      <w:r>
        <w:rPr>
          <w:rFonts w:hint="eastAsia" w:ascii="Times New Roman" w:hAnsi="Times New Roman" w:eastAsia="宋体" w:cs="Times New Roman"/>
          <w:sz w:val="24"/>
          <w:szCs w:val="24"/>
          <w:lang w:val="en-US" w:eastAsia="zh-CN"/>
        </w:rPr>
        <w:t xml:space="preserve">to </w:t>
      </w:r>
      <w:r>
        <w:rPr>
          <w:rFonts w:ascii="Times New Roman" w:hAnsi="Times New Roman" w:eastAsia="宋体" w:cs="Times New Roman"/>
          <w:sz w:val="24"/>
          <w:szCs w:val="24"/>
        </w:rPr>
        <w:t xml:space="preserve">various gastrointestinal dysfunctions after colorectal cancer surgery, and </w:t>
      </w:r>
      <w:r>
        <w:rPr>
          <w:rFonts w:hint="eastAsia" w:ascii="Times New Roman" w:hAnsi="Times New Roman" w:eastAsia="宋体" w:cs="Times New Roman"/>
          <w:sz w:val="24"/>
          <w:szCs w:val="24"/>
          <w:lang w:val="en-US" w:eastAsia="zh-CN"/>
        </w:rPr>
        <w:t xml:space="preserve">there is an urgent need to </w:t>
      </w:r>
      <w:r>
        <w:rPr>
          <w:rFonts w:ascii="Times New Roman" w:hAnsi="Times New Roman" w:eastAsia="宋体" w:cs="Times New Roman"/>
          <w:sz w:val="24"/>
          <w:szCs w:val="24"/>
        </w:rPr>
        <w:t>actively explore multiple early gastrointestinal function rehabilitation strategies.</w:t>
      </w:r>
    </w:p>
    <w:p w14:paraId="77ED0779">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Currently, ERAS, as a new concept and therapeutic rehabilitation model, still lacks TCM or combined TCM and Western medicine elements and programs. Therefore, it is of great practical significance and value to give full play to the therapeutic advantages and characteristics of traditional Chinese medicine, explore and improve the existing ERAS programs, and form ERAS programs with the characteristics of combining Chinese and Western medicine. Some clinical reports show that acupuncture has good efficacy on gastrointestinal dysfunction, and acupuncture has the effect of promoting gastrointestinal motility and reducing gastrointestinal inflammatory reaction in the gastrointestinal tract</w:t>
      </w:r>
      <w:r>
        <w:rPr>
          <w:rFonts w:ascii="Times New Roman" w:hAnsi="Times New Roman" w:eastAsia="宋体" w:cs="Times New Roman"/>
          <w:sz w:val="24"/>
          <w:szCs w:val="24"/>
          <w:vertAlign w:val="superscript"/>
        </w:rPr>
        <w:t>[9</w:t>
      </w:r>
      <w:r>
        <w:rPr>
          <w:rFonts w:hint="eastAsia" w:ascii="Times New Roman" w:hAnsi="Times New Roman" w:eastAsia="宋体" w:cs="Times New Roman"/>
          <w:sz w:val="24"/>
          <w:szCs w:val="24"/>
          <w:vertAlign w:val="superscript"/>
        </w:rPr>
        <w:t>,</w:t>
      </w:r>
      <w:r>
        <w:rPr>
          <w:rFonts w:ascii="Times New Roman" w:hAnsi="Times New Roman" w:eastAsia="宋体" w:cs="Times New Roman"/>
          <w:sz w:val="24"/>
          <w:szCs w:val="24"/>
          <w:vertAlign w:val="superscript"/>
        </w:rPr>
        <w:t>10]</w:t>
      </w:r>
      <w:r>
        <w:rPr>
          <w:rFonts w:ascii="Times New Roman" w:hAnsi="Times New Roman" w:eastAsia="宋体" w:cs="Times New Roman"/>
          <w:sz w:val="24"/>
          <w:szCs w:val="24"/>
        </w:rPr>
        <w:t xml:space="preserve"> . For this reason, the group firstly evaluated the systematic evaluation and Meta-analysis of the efficacy of acupuncture and related therapies in gastrointestinal postoperative intestinal obstruction in the previous period, and the results of the study showed that the data of a total of 1818 patients in the 19 clinical trials included in the study showed that, relative to the conventional treatment, acupuncture and related therapies could effectively shorten the time to first defecation for patients with intestinal obstruction in the postoperative period of gastrointestinal surgery (SMD = -1.31</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95%CI: -1.88 ~ -0.74, p &lt; 0). -0.74</w:t>
      </w:r>
      <w:r>
        <w:rPr>
          <w:rFonts w:hint="eastAsia" w:ascii="Times New Roman" w:hAnsi="Times New Roman" w:eastAsia="宋体" w:cs="Times New Roman"/>
          <w:sz w:val="24"/>
          <w:szCs w:val="24"/>
        </w:rPr>
        <w:t xml:space="preserve">, </w:t>
      </w:r>
      <w:r>
        <w:rPr>
          <w:rFonts w:ascii="Times New Roman" w:hAnsi="Times New Roman" w:eastAsia="宋体" w:cs="Times New Roman"/>
          <w:i/>
          <w:iCs/>
          <w:sz w:val="24"/>
          <w:szCs w:val="24"/>
        </w:rPr>
        <w:t xml:space="preserve">p </w:t>
      </w:r>
      <w:r>
        <w:rPr>
          <w:rFonts w:ascii="Times New Roman" w:hAnsi="Times New Roman" w:eastAsia="宋体" w:cs="Times New Roman"/>
          <w:sz w:val="24"/>
          <w:szCs w:val="24"/>
        </w:rPr>
        <w:t>&lt; 0.00001</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I²= 94%, days), time to recovery of first bowel sounds (SMD = -1.57</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95%CI: -2.14 ~ -1.01</w:t>
      </w:r>
      <w:r>
        <w:rPr>
          <w:rFonts w:hint="eastAsia" w:ascii="Times New Roman" w:hAnsi="Times New Roman" w:eastAsia="宋体" w:cs="Times New Roman"/>
          <w:sz w:val="24"/>
          <w:szCs w:val="24"/>
        </w:rPr>
        <w:t xml:space="preserve">, </w:t>
      </w:r>
      <w:r>
        <w:rPr>
          <w:rFonts w:ascii="Times New Roman" w:hAnsi="Times New Roman" w:eastAsia="宋体" w:cs="Times New Roman"/>
          <w:i/>
          <w:iCs/>
          <w:sz w:val="24"/>
          <w:szCs w:val="24"/>
        </w:rPr>
        <w:t xml:space="preserve">p </w:t>
      </w:r>
      <w:r>
        <w:rPr>
          <w:rFonts w:ascii="Times New Roman" w:hAnsi="Times New Roman" w:eastAsia="宋体" w:cs="Times New Roman"/>
          <w:sz w:val="24"/>
          <w:szCs w:val="24"/>
        </w:rPr>
        <w:t>&lt; 0.00001</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I</w:t>
      </w:r>
      <w:r>
        <w:rPr>
          <w:rFonts w:ascii="Times New Roman" w:hAnsi="Times New Roman" w:eastAsia="宋体" w:cs="Times New Roman"/>
          <w:sz w:val="24"/>
          <w:szCs w:val="24"/>
          <w:vertAlign w:val="superscript"/>
        </w:rPr>
        <w:t>2</w:t>
      </w:r>
      <w:r>
        <w:rPr>
          <w:rFonts w:ascii="Times New Roman" w:hAnsi="Times New Roman" w:eastAsia="宋体" w:cs="Times New Roman"/>
          <w:sz w:val="24"/>
          <w:szCs w:val="24"/>
        </w:rPr>
        <w:t xml:space="preserve"> = 91%, days), time to first oral feedings, and hospitalization (MD = -1.68</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95%CI: -2.55 ~ -0.80</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I²= 94%</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 days). </w:t>
      </w:r>
      <w:r>
        <w:rPr>
          <w:rFonts w:ascii="Times New Roman" w:hAnsi="Times New Roman" w:eastAsia="宋体" w:cs="Times New Roman"/>
          <w:i/>
          <w:iCs/>
          <w:sz w:val="24"/>
          <w:szCs w:val="24"/>
        </w:rPr>
        <w:t xml:space="preserve">p </w:t>
      </w:r>
      <w:r>
        <w:rPr>
          <w:rFonts w:ascii="Times New Roman" w:hAnsi="Times New Roman" w:eastAsia="宋体" w:cs="Times New Roman"/>
          <w:sz w:val="24"/>
          <w:szCs w:val="24"/>
        </w:rPr>
        <w:t>&lt; 0.00001</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I</w:t>
      </w:r>
      <w:r>
        <w:rPr>
          <w:rFonts w:ascii="Times New Roman" w:hAnsi="Times New Roman" w:eastAsia="宋体" w:cs="Times New Roman"/>
          <w:sz w:val="24"/>
          <w:szCs w:val="24"/>
          <w:vertAlign w:val="superscript"/>
        </w:rPr>
        <w:t>2</w:t>
      </w:r>
      <w:r>
        <w:rPr>
          <w:rFonts w:ascii="Times New Roman" w:hAnsi="Times New Roman" w:eastAsia="宋体" w:cs="Times New Roman"/>
          <w:sz w:val="24"/>
          <w:szCs w:val="24"/>
        </w:rPr>
        <w:t xml:space="preserve"> = 86%, days). It is suggested that the effectiveness of acupuncture therapy for postoperative gastrointestinal intestinal obstruction, and its low-cost and easy-to-administer advantages, make it promising as a complementary therapy to ERAS regimens for gastrointestinal surgery to promote the recovery of gastrointestinal function in patients after surgery. Our findings are consistent with the findings of other scholars' systematic evaluations that acupuncture may be more effective in improving the recovery of postoperative bowel function compared with conventional postoperative treatment</w:t>
      </w:r>
      <w:r>
        <w:rPr>
          <w:rFonts w:ascii="Times New Roman" w:hAnsi="Times New Roman" w:eastAsia="宋体" w:cs="Times New Roman"/>
          <w:sz w:val="24"/>
          <w:szCs w:val="24"/>
          <w:vertAlign w:val="superscript"/>
        </w:rPr>
        <w:t>[11</w:t>
      </w:r>
      <w:r>
        <w:rPr>
          <w:rFonts w:hint="eastAsia" w:ascii="Times New Roman" w:hAnsi="Times New Roman" w:eastAsia="宋体" w:cs="Times New Roman"/>
          <w:sz w:val="24"/>
          <w:szCs w:val="24"/>
          <w:vertAlign w:val="superscript"/>
        </w:rPr>
        <w:t>,</w:t>
      </w:r>
      <w:r>
        <w:rPr>
          <w:rFonts w:ascii="Times New Roman" w:hAnsi="Times New Roman" w:eastAsia="宋体" w:cs="Times New Roman"/>
          <w:sz w:val="24"/>
          <w:szCs w:val="24"/>
          <w:vertAlign w:val="superscript"/>
        </w:rPr>
        <w:t>12]</w:t>
      </w:r>
      <w:r>
        <w:rPr>
          <w:rFonts w:ascii="Times New Roman" w:hAnsi="Times New Roman" w:eastAsia="宋体" w:cs="Times New Roman"/>
          <w:sz w:val="24"/>
          <w:szCs w:val="24"/>
        </w:rPr>
        <w:t xml:space="preserve"> . However, the overall clinical evidence quality of the relevant studies is low and lacks the support of sufficient, high-quality evidence-based medicine, which leads us to conclude that acupuncture may be effective needs to be interpreted with caution and further validated, and the results of the relevant studies can not yet be included in the relevant guidelines, which hampers the clinical application and promotion of acupuncture in the perioperative period of gastrointestinal surgery.</w:t>
      </w:r>
    </w:p>
    <w:p w14:paraId="36A264EF">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Yueyang </w:t>
      </w:r>
      <w:r>
        <w:rPr>
          <w:rFonts w:hint="eastAsia" w:ascii="Times New Roman" w:hAnsi="Times New Roman" w:eastAsia="宋体" w:cs="Times New Roman"/>
          <w:sz w:val="24"/>
          <w:szCs w:val="24"/>
          <w:lang w:val="en-US" w:eastAsia="zh-CN"/>
        </w:rPr>
        <w:t xml:space="preserve">Combined Traditional Chinese and Western Medicine </w:t>
      </w:r>
      <w:r>
        <w:rPr>
          <w:rFonts w:ascii="Times New Roman" w:hAnsi="Times New Roman" w:eastAsia="宋体" w:cs="Times New Roman"/>
          <w:sz w:val="24"/>
          <w:szCs w:val="24"/>
        </w:rPr>
        <w:t xml:space="preserve">Hospital </w:t>
      </w:r>
      <w:r>
        <w:rPr>
          <w:rFonts w:hint="eastAsia" w:ascii="Times New Roman" w:hAnsi="Times New Roman" w:eastAsia="宋体" w:cs="Times New Roman"/>
          <w:sz w:val="24"/>
          <w:szCs w:val="24"/>
          <w:lang w:val="en-US" w:eastAsia="zh-CN"/>
        </w:rPr>
        <w:t>has</w:t>
      </w:r>
      <w:r>
        <w:rPr>
          <w:rFonts w:ascii="Times New Roman" w:hAnsi="Times New Roman" w:eastAsia="宋体" w:cs="Times New Roman"/>
          <w:sz w:val="24"/>
          <w:szCs w:val="24"/>
        </w:rPr>
        <w:t xml:space="preserve"> previously conducted a single-center clinical trial study, which showed that acupuncture given to gastrointestinal surgery patients during the perioperative period has a positive effect in accelerating patients' postoperative recovery. Therefore, in this project, we will be guided by evidence-based medicine to conduct a multi-center, high-quality acupuncture clinical trial to verify the efficacy of acupuncture in promoting the recovery of postoperative gastrointestinal function.</w:t>
      </w:r>
    </w:p>
    <w:p w14:paraId="526582F6">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2 </w:t>
      </w:r>
      <w:r>
        <w:rPr>
          <w:rFonts w:hint="default"/>
          <w:sz w:val="24"/>
          <w:szCs w:val="24"/>
        </w:rPr>
        <w:t>research purpose</w:t>
      </w:r>
    </w:p>
    <w:p w14:paraId="3C17645B">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Validation of the efficacy of postoperative electroacupuncture in accelerating the recovery of gastrointestinal function after surgery for colorectal cancer.</w:t>
      </w:r>
    </w:p>
    <w:p w14:paraId="13007B6D">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3 </w:t>
      </w:r>
      <w:r>
        <w:rPr>
          <w:rFonts w:hint="default"/>
          <w:sz w:val="24"/>
          <w:szCs w:val="24"/>
        </w:rPr>
        <w:t>Research methodology</w:t>
      </w:r>
    </w:p>
    <w:p w14:paraId="120E33B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This study used a multicenter, randomized, sham-needle-controlled clinical design.</w:t>
      </w:r>
    </w:p>
    <w:p w14:paraId="36B50C26">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4 </w:t>
      </w:r>
      <w:r>
        <w:rPr>
          <w:rFonts w:hint="default"/>
          <w:sz w:val="24"/>
          <w:szCs w:val="24"/>
        </w:rPr>
        <w:t>research target</w:t>
      </w:r>
    </w:p>
    <w:p w14:paraId="60C60377">
      <w:pPr>
        <w:pStyle w:val="3"/>
        <w:spacing w:before="0" w:after="0" w:line="240" w:lineRule="auto"/>
        <w:rPr>
          <w:rFonts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4.</w:t>
      </w:r>
      <w:r>
        <w:rPr>
          <w:rFonts w:ascii="Times New Roman" w:hAnsi="Times New Roman" w:eastAsia="宋体" w:cs="Times New Roman"/>
          <w:sz w:val="24"/>
          <w:szCs w:val="24"/>
        </w:rPr>
        <w:t>1 Source of cases</w:t>
      </w:r>
    </w:p>
    <w:p w14:paraId="13F0B45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All cases were collected from patients who underwent elective radical colorectal cancer surgery in </w:t>
      </w:r>
      <w:r>
        <w:rPr>
          <w:rFonts w:hint="eastAsia" w:ascii="Times New Roman" w:hAnsi="Times New Roman" w:eastAsia="宋体" w:cs="Times New Roman"/>
          <w:sz w:val="24"/>
          <w:szCs w:val="24"/>
        </w:rPr>
        <w:t xml:space="preserve">the Department of Gastrointestinal </w:t>
      </w:r>
      <w:r>
        <w:rPr>
          <w:rFonts w:ascii="Times New Roman" w:hAnsi="Times New Roman" w:eastAsia="宋体" w:cs="Times New Roman"/>
          <w:sz w:val="24"/>
          <w:szCs w:val="24"/>
        </w:rPr>
        <w:t xml:space="preserve">Surgery </w:t>
      </w:r>
      <w:r>
        <w:rPr>
          <w:rFonts w:hint="eastAsia" w:ascii="Times New Roman" w:hAnsi="Times New Roman" w:eastAsia="宋体" w:cs="Times New Roman"/>
          <w:sz w:val="24"/>
          <w:szCs w:val="24"/>
        </w:rPr>
        <w:t xml:space="preserve">and Department of Oncology of </w:t>
      </w:r>
      <w:r>
        <w:rPr>
          <w:rFonts w:ascii="Times New Roman" w:hAnsi="Times New Roman" w:eastAsia="宋体" w:cs="Times New Roman"/>
          <w:sz w:val="24"/>
          <w:szCs w:val="24"/>
        </w:rPr>
        <w:t xml:space="preserve">Yueyang Combined Traditional Chinese and Western Medicine Hospital affiliated with Shanghai University of Traditional Chinese Medicine (SUTCM), Shuguang Hospital of Shanghai University of Traditional Chinese Medicine (SUTCM), Shanghai First People's Hospital (SFPH), and </w:t>
      </w:r>
      <w:r>
        <w:rPr>
          <w:rFonts w:hint="eastAsia" w:ascii="Times New Roman" w:hAnsi="Times New Roman" w:eastAsia="宋体" w:cs="Times New Roman"/>
          <w:sz w:val="24"/>
          <w:szCs w:val="24"/>
        </w:rPr>
        <w:t xml:space="preserve">Baoshan </w:t>
      </w:r>
      <w:r>
        <w:rPr>
          <w:rFonts w:ascii="Times New Roman" w:hAnsi="Times New Roman" w:eastAsia="宋体" w:cs="Times New Roman"/>
          <w:sz w:val="24"/>
          <w:szCs w:val="24"/>
        </w:rPr>
        <w:t xml:space="preserve">Combined Traditional Chinese and Western Medicine Hospital (BTCMH) in </w:t>
      </w:r>
      <w:r>
        <w:rPr>
          <w:rFonts w:hint="eastAsia" w:ascii="Times New Roman" w:hAnsi="Times New Roman" w:eastAsia="宋体" w:cs="Times New Roman"/>
          <w:sz w:val="24"/>
          <w:szCs w:val="24"/>
        </w:rPr>
        <w:t xml:space="preserve">Shanghai City, </w:t>
      </w:r>
      <w:r>
        <w:rPr>
          <w:rFonts w:ascii="Times New Roman" w:hAnsi="Times New Roman" w:eastAsia="宋体" w:cs="Times New Roman"/>
          <w:sz w:val="24"/>
          <w:szCs w:val="24"/>
        </w:rPr>
        <w:t xml:space="preserve">and </w:t>
      </w:r>
      <w:r>
        <w:rPr>
          <w:rFonts w:hint="eastAsia" w:ascii="Times New Roman" w:hAnsi="Times New Roman" w:eastAsia="宋体" w:cs="Times New Roman"/>
          <w:sz w:val="24"/>
          <w:szCs w:val="24"/>
        </w:rPr>
        <w:t>were enrolled in the competitive enrollment of each center.</w:t>
      </w:r>
    </w:p>
    <w:p w14:paraId="16061266">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Starting date: June </w:t>
      </w:r>
      <w:r>
        <w:rPr>
          <w:rFonts w:hint="eastAsia" w:ascii="Times New Roman" w:hAnsi="Times New Roman" w:eastAsia="宋体" w:cs="Times New Roman"/>
          <w:sz w:val="24"/>
          <w:szCs w:val="24"/>
        </w:rPr>
        <w:t>2023-January</w:t>
      </w:r>
      <w:r>
        <w:rPr>
          <w:rFonts w:ascii="Times New Roman" w:hAnsi="Times New Roman" w:eastAsia="宋体" w:cs="Times New Roman"/>
          <w:sz w:val="24"/>
          <w:szCs w:val="24"/>
        </w:rPr>
        <w:t xml:space="preserve"> 2025.</w:t>
      </w:r>
    </w:p>
    <w:p w14:paraId="2E339074">
      <w:pPr>
        <w:pStyle w:val="3"/>
        <w:spacing w:before="0" w:after="0" w:line="240" w:lineRule="auto"/>
        <w:rPr>
          <w:rFonts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4.</w:t>
      </w:r>
      <w:r>
        <w:rPr>
          <w:rFonts w:hint="eastAsia"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sz w:val="24"/>
          <w:szCs w:val="24"/>
        </w:rPr>
        <w:t>Basis for sample size calculation</w:t>
      </w:r>
    </w:p>
    <w:p w14:paraId="29E3C54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This study is a differential design, based on prior experience and relevant literature</w:t>
      </w:r>
      <w:r>
        <w:rPr>
          <w:rFonts w:hint="eastAsia" w:ascii="Times New Roman" w:hAnsi="Times New Roman" w:eastAsia="宋体" w:cs="Times New Roman"/>
          <w:sz w:val="24"/>
          <w:szCs w:val="24"/>
          <w:vertAlign w:val="superscript"/>
        </w:rPr>
        <w:t>[13,14]</w:t>
      </w:r>
      <w:r>
        <w:rPr>
          <w:rFonts w:hint="eastAsia" w:ascii="Times New Roman" w:hAnsi="Times New Roman" w:eastAsia="宋体" w:cs="Times New Roman"/>
          <w:sz w:val="24"/>
          <w:szCs w:val="24"/>
        </w:rPr>
        <w:t xml:space="preserve"> , after 3 times of treatment, the time to first anal exhaustion in the electroacupuncture group was 48h (SD 21.6), the time to first anal exhaustion in the sham acupuncture group was 58.9h (SD 16.8) the average recovery time in the conventional control group was 62.4 (SD 26.4), taking the two-sided α=0.05 (based on multiple comparisons, the actual utilization of α=0.01 for calculation), the main test of the difference between the electroacupuncture group and the conventional control group was compared with β=0.8, and according to the ratio of 2:2:1, the sample size was calculated using PASS15.0, 108 cases were needed in the electroacupuncture group, 108 cases in the sham electroacupuncture group, and 54 cases in the conventional group, for a total of 270 cases in the </w:t>
      </w:r>
      <w:r>
        <w:rPr>
          <w:rFonts w:hint="eastAsia" w:ascii="Times New Roman" w:hAnsi="Times New Roman" w:eastAsia="宋体" w:cs="Times New Roman"/>
          <w:sz w:val="24"/>
          <w:szCs w:val="24"/>
          <w:lang w:val="en-US" w:eastAsia="zh-CN"/>
        </w:rPr>
        <w:t xml:space="preserve">three </w:t>
      </w:r>
      <w:r>
        <w:rPr>
          <w:rFonts w:hint="eastAsia" w:ascii="Times New Roman" w:hAnsi="Times New Roman" w:eastAsia="宋体" w:cs="Times New Roman"/>
          <w:sz w:val="24"/>
          <w:szCs w:val="24"/>
        </w:rPr>
        <w:t xml:space="preserve">groups. Considering the short duration of this study, a shedding rate of </w:t>
      </w:r>
      <w:r>
        <w:rPr>
          <w:rFonts w:ascii="Times New Roman" w:hAnsi="Times New Roman" w:eastAsia="宋体" w:cs="Times New Roman"/>
          <w:sz w:val="24"/>
          <w:szCs w:val="24"/>
        </w:rPr>
        <w:t>10%</w:t>
      </w:r>
      <w:r>
        <w:rPr>
          <w:rFonts w:hint="eastAsia" w:ascii="Times New Roman" w:hAnsi="Times New Roman" w:eastAsia="宋体" w:cs="Times New Roman"/>
          <w:sz w:val="24"/>
          <w:szCs w:val="24"/>
        </w:rPr>
        <w:t xml:space="preserve"> was set, and the randomized number of district groups </w:t>
      </w:r>
      <w:r>
        <w:rPr>
          <w:rFonts w:hint="eastAsia" w:ascii="Times New Roman" w:hAnsi="Times New Roman" w:eastAsia="宋体" w:cs="Times New Roman"/>
          <w:sz w:val="24"/>
          <w:szCs w:val="24"/>
          <w:lang w:eastAsia="zh-CN"/>
        </w:rPr>
        <w:t xml:space="preserve">was </w:t>
      </w:r>
      <w:r>
        <w:rPr>
          <w:rFonts w:hint="eastAsia" w:ascii="Times New Roman" w:hAnsi="Times New Roman" w:eastAsia="宋体" w:cs="Times New Roman"/>
          <w:sz w:val="24"/>
          <w:szCs w:val="24"/>
        </w:rPr>
        <w:t xml:space="preserve">considered </w:t>
      </w:r>
      <w:r>
        <w:rPr>
          <w:rFonts w:hint="eastAsia" w:ascii="Times New Roman" w:hAnsi="Times New Roman" w:eastAsia="宋体" w:cs="Times New Roman"/>
          <w:sz w:val="24"/>
          <w:szCs w:val="24"/>
          <w:lang w:eastAsia="zh-CN"/>
        </w:rPr>
        <w:t xml:space="preserve">to be </w:t>
      </w:r>
      <w:r>
        <w:rPr>
          <w:rFonts w:hint="eastAsia" w:ascii="Times New Roman" w:hAnsi="Times New Roman" w:eastAsia="宋体" w:cs="Times New Roman"/>
          <w:sz w:val="24"/>
          <w:szCs w:val="24"/>
        </w:rPr>
        <w:t>6 and 12, respectively, so the final sample size was determined to be 300. 120 cases in the electro-acupuncture group</w:t>
      </w:r>
      <w:r>
        <w:rPr>
          <w:rFonts w:hint="eastAsia"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rPr>
        <w:t>120 cases in the sham electro-acupuncture group, and 60 cases in the routine group, respectively, for a total of 300 cases in the three groups.</w:t>
      </w:r>
    </w:p>
    <w:p w14:paraId="373AA285">
      <w:pPr>
        <w:pStyle w:val="3"/>
        <w:spacing w:before="0" w:after="0" w:line="240" w:lineRule="auto"/>
        <w:rPr>
          <w:rFonts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 xml:space="preserve">4.3 </w:t>
      </w:r>
      <w:r>
        <w:rPr>
          <w:rFonts w:ascii="Times New Roman" w:hAnsi="Times New Roman" w:eastAsia="宋体" w:cs="Times New Roman"/>
          <w:sz w:val="24"/>
          <w:szCs w:val="24"/>
        </w:rPr>
        <w:t>Diagnostic criteria</w:t>
      </w:r>
    </w:p>
    <w:p w14:paraId="05F52C3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There was a clear pathologic diagnosis of colorectal cancer and TNM staging was performed using the AJCC 8th edition</w:t>
      </w:r>
      <w:r>
        <w:rPr>
          <w:rFonts w:hint="eastAsia" w:ascii="Times New Roman" w:hAnsi="Times New Roman" w:eastAsia="宋体" w:cs="Times New Roman"/>
          <w:sz w:val="24"/>
          <w:szCs w:val="24"/>
        </w:rPr>
        <w:t>.</w:t>
      </w:r>
    </w:p>
    <w:p w14:paraId="32A00454">
      <w:pPr>
        <w:pStyle w:val="3"/>
        <w:spacing w:before="0" w:after="0" w:line="240" w:lineRule="auto"/>
        <w:rPr>
          <w:rFonts w:ascii="Times New Roman" w:hAnsi="Times New Roman" w:eastAsia="宋体" w:cs="Times New Roman"/>
          <w:sz w:val="24"/>
          <w:szCs w:val="24"/>
        </w:rPr>
      </w:pPr>
      <w:r>
        <w:rPr>
          <w:rFonts w:ascii="Times New Roman" w:hAnsi="Times New Roman" w:eastAsia="宋体" w:cs="Times New Roman"/>
          <w:sz w:val="24"/>
          <w:szCs w:val="24"/>
        </w:rPr>
        <w:t>4.</w:t>
      </w:r>
      <w:r>
        <w:rPr>
          <w:rFonts w:hint="eastAsia" w:ascii="Times New Roman" w:hAnsi="Times New Roman" w:eastAsia="宋体" w:cs="Times New Roman"/>
          <w:sz w:val="24"/>
          <w:szCs w:val="24"/>
          <w:lang w:val="en-US" w:eastAsia="zh-CN"/>
        </w:rPr>
        <w:t>4</w:t>
      </w:r>
      <w:r>
        <w:rPr>
          <w:rFonts w:ascii="Times New Roman" w:hAnsi="Times New Roman" w:eastAsia="宋体" w:cs="Times New Roman"/>
          <w:sz w:val="24"/>
          <w:szCs w:val="24"/>
        </w:rPr>
        <w:t xml:space="preserve"> Inclusion criteria</w:t>
      </w:r>
    </w:p>
    <w:p w14:paraId="1D14330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Patients must meet all of the following enrollment criteria to be eligible for this study:</w:t>
      </w:r>
    </w:p>
    <w:p w14:paraId="20F818BF">
      <w:pPr>
        <w:spacing w:line="360" w:lineRule="auto"/>
        <w:ind w:firstLine="480" w:firstLineChars="200"/>
        <w:rPr>
          <w:rFonts w:ascii="Times New Roman" w:hAnsi="Times New Roman" w:eastAsia="宋体" w:cs="Times New Roman"/>
          <w:sz w:val="24"/>
          <w:szCs w:val="24"/>
        </w:rPr>
      </w:pPr>
      <w:bookmarkStart w:id="2" w:name="_Hlk141712468"/>
      <w:r>
        <w:rPr>
          <w:rFonts w:hint="eastAsia" w:ascii="Times New Roman" w:hAnsi="Times New Roman" w:eastAsia="宋体" w:cs="Times New Roman"/>
          <w:sz w:val="24"/>
          <w:szCs w:val="24"/>
        </w:rPr>
        <w:t>(1) Surgical patients who meet the diagnostic criteria for colorectal cancer and require elective radical colorectal cancer surgery;</w:t>
      </w:r>
    </w:p>
    <w:p w14:paraId="3F859FF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(2) </w:t>
      </w:r>
      <w:r>
        <w:rPr>
          <w:rFonts w:ascii="Times New Roman" w:hAnsi="Times New Roman" w:eastAsia="宋体" w:cs="Times New Roman"/>
          <w:sz w:val="24"/>
          <w:szCs w:val="24"/>
        </w:rPr>
        <w:t xml:space="preserve">18 </w:t>
      </w:r>
      <w:r>
        <w:rPr>
          <w:rFonts w:hint="eastAsia" w:ascii="Times New Roman" w:hAnsi="Times New Roman" w:eastAsia="宋体" w:cs="Times New Roman"/>
          <w:sz w:val="24"/>
          <w:szCs w:val="24"/>
        </w:rPr>
        <w:t>years old ≤ age ≤ 79 years old, gender is not limited;</w:t>
      </w:r>
    </w:p>
    <w:p w14:paraId="35E452B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Understand, agree to participate in this study and sign the informed consent form;</w:t>
      </w:r>
    </w:p>
    <w:p w14:paraId="1008153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 ASA classification I to III;</w:t>
      </w:r>
    </w:p>
    <w:bookmarkEnd w:id="2"/>
    <w:p w14:paraId="22F52C79">
      <w:pPr>
        <w:pStyle w:val="3"/>
        <w:spacing w:before="0" w:after="0" w:line="240" w:lineRule="auto"/>
        <w:rPr>
          <w:rFonts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4.</w:t>
      </w:r>
      <w:r>
        <w:rPr>
          <w:rFonts w:ascii="Times New Roman" w:hAnsi="Times New Roman" w:eastAsia="宋体" w:cs="Times New Roman"/>
          <w:sz w:val="24"/>
          <w:szCs w:val="24"/>
        </w:rPr>
        <w:t>5</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sz w:val="24"/>
          <w:szCs w:val="24"/>
        </w:rPr>
        <w:t>Exclusion criteria</w:t>
      </w:r>
    </w:p>
    <w:p w14:paraId="35142F3D">
      <w:pPr>
        <w:spacing w:line="360" w:lineRule="auto"/>
        <w:ind w:firstLine="480" w:firstLineChars="200"/>
        <w:rPr>
          <w:rFonts w:ascii="Times New Roman" w:hAnsi="Times New Roman" w:eastAsia="宋体" w:cs="Times New Roman"/>
          <w:sz w:val="24"/>
          <w:szCs w:val="24"/>
        </w:rPr>
      </w:pPr>
      <w:bookmarkStart w:id="3" w:name="_Hlk141712481"/>
      <w:bookmarkStart w:id="4" w:name="OLE_LINK1"/>
      <w:bookmarkStart w:id="5" w:name="OLE_LINK2"/>
      <w:r>
        <w:rPr>
          <w:rFonts w:hint="eastAsia" w:ascii="Times New Roman" w:hAnsi="Times New Roman" w:eastAsia="宋体" w:cs="Times New Roman"/>
          <w:sz w:val="24"/>
          <w:szCs w:val="24"/>
        </w:rPr>
        <w:t xml:space="preserve">(1) Patients with mental illness; </w:t>
      </w:r>
    </w:p>
    <w:p w14:paraId="3DD698F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 Those who have participated or are participating in other clinical studies in the 3 months prior to enrollment;</w:t>
      </w:r>
    </w:p>
    <w:p w14:paraId="3C4D685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Severely malnourished individuals (NRS2002 score ≥ 3);</w:t>
      </w:r>
    </w:p>
    <w:p w14:paraId="2220EED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 Total colectomy recipients;</w:t>
      </w:r>
    </w:p>
    <w:p w14:paraId="58A3102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 Ileal diversion for rectal cancer;</w:t>
      </w:r>
    </w:p>
    <w:p w14:paraId="0B55B8E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(6) Tumor infiltration requiring removal of other organs;</w:t>
      </w:r>
    </w:p>
    <w:p w14:paraId="24A5F85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(7) Prophylactic fistulae;</w:t>
      </w:r>
    </w:p>
    <w:bookmarkEnd w:id="3"/>
    <w:p w14:paraId="78986F2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Anyone who met any of the above was excluded from the study.</w:t>
      </w:r>
      <w:bookmarkEnd w:id="4"/>
      <w:bookmarkEnd w:id="5"/>
    </w:p>
    <w:p w14:paraId="5D82614C">
      <w:pPr>
        <w:pStyle w:val="3"/>
        <w:spacing w:before="0" w:after="0" w:line="240" w:lineRule="auto"/>
        <w:rPr>
          <w:rFonts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4.</w:t>
      </w:r>
      <w:r>
        <w:rPr>
          <w:rFonts w:ascii="Times New Roman" w:hAnsi="Times New Roman" w:eastAsia="宋体" w:cs="Times New Roman"/>
          <w:sz w:val="24"/>
          <w:szCs w:val="24"/>
        </w:rPr>
        <w:t>6</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sz w:val="24"/>
          <w:szCs w:val="24"/>
        </w:rPr>
        <w:t>Criteria for striking out, suspension and shedding</w:t>
      </w:r>
      <w:r>
        <w:rPr>
          <w:rFonts w:ascii="Times New Roman" w:hAnsi="Times New Roman" w:eastAsia="宋体" w:cs="Times New Roman"/>
          <w:sz w:val="24"/>
          <w:szCs w:val="24"/>
        </w:rPr>
        <w:tab/>
      </w:r>
    </w:p>
    <w:p w14:paraId="7F8B86B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 Those whose pain from needling is intolerable or who experience serious adverse reactions;</w:t>
      </w:r>
    </w:p>
    <w:p w14:paraId="00EEFA2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 Observation of those whose symptoms worsened during treatment or who developed other critical conditions that prevented them from continuing treatment;</w:t>
      </w:r>
    </w:p>
    <w:p w14:paraId="2A0A191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The investigators found serious safety concerns;</w:t>
      </w:r>
    </w:p>
    <w:p w14:paraId="10BF0EA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 Those who cannot adhere to treatment for various reasons;</w:t>
      </w:r>
    </w:p>
    <w:p w14:paraId="0FA91DD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 Patients withdraw themselves;</w:t>
      </w:r>
    </w:p>
    <w:p w14:paraId="7EC8F53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(6) Lost visits.</w:t>
      </w:r>
    </w:p>
    <w:p w14:paraId="743A1C9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Reasons should be given for discontinued cases, and data processing is based on the ITT principle, which can be calculated by multiple filling or actual observations.</w:t>
      </w:r>
    </w:p>
    <w:p w14:paraId="15415764">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5 </w:t>
      </w:r>
      <w:r>
        <w:rPr>
          <w:rFonts w:hint="default"/>
          <w:sz w:val="24"/>
          <w:szCs w:val="24"/>
        </w:rPr>
        <w:t>Test Grouping</w:t>
      </w:r>
    </w:p>
    <w:p w14:paraId="334DC03C">
      <w:pPr>
        <w:spacing w:line="360" w:lineRule="auto"/>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A stratified randomization method was used, in which age greater than 70 years and surgical site (left and right hemicolon) were stratification factors, and the center was used as a stratification factor to randomly assign subjects to the electroacupuncture group, the sham electroacupuncture group (Sham EA), and the conventional treatment group in a 2:2:1 ratio. Sequence generation for random allocation of patients was performed by EDETEK using the Panther Interactive Web Response System (IWRS), which is based on the replacement block group method with a block size of 4. When subjects met the inclusion-exclusion criteria for entry into the study, randomization was carried out by the person in charge of randomization at each center or by the clinical investigator logging on to the central randomization system. The randomization scheme for this study was generated by EDETEK, which was not involved in the statistical analysis of this project. The randomization protocol of this study and the various parameters set in the process of generating this protocol are collectively referred to as the blinded bottom, which is sealed and signed by the person who generated the randomization protocol and is kept by EDETEK, and the Central Randomization System sets strict personnel permissions, so that no one other than the highest-ranking system administrators have the authority to view the randomization protocol in the Central Randomization System.</w:t>
      </w:r>
    </w:p>
    <w:p w14:paraId="1AB36D51">
      <w:pPr>
        <w:pStyle w:val="3"/>
        <w:spacing w:before="0" w:after="0" w:line="240" w:lineRule="auto"/>
        <w:rPr>
          <w:rFonts w:ascii="Times New Roman" w:hAnsi="Times New Roman" w:eastAsia="宋体" w:cs="Times New Roman"/>
          <w:b w:val="0"/>
          <w:bCs/>
          <w:sz w:val="24"/>
          <w:szCs w:val="24"/>
        </w:rPr>
      </w:pPr>
      <w:bookmarkStart w:id="6" w:name="_Toc62631178"/>
      <w:r>
        <w:rPr>
          <w:rFonts w:hint="eastAsia" w:ascii="Times New Roman" w:hAnsi="Times New Roman" w:eastAsia="宋体" w:cs="Times New Roman"/>
          <w:b w:val="0"/>
          <w:bCs/>
          <w:sz w:val="24"/>
          <w:szCs w:val="24"/>
          <w:lang w:val="en-US" w:eastAsia="zh-CN"/>
        </w:rPr>
        <w:t>5.</w:t>
      </w:r>
      <w:r>
        <w:rPr>
          <w:rFonts w:ascii="Times New Roman" w:hAnsi="Times New Roman" w:eastAsia="宋体" w:cs="Times New Roman"/>
          <w:b w:val="0"/>
          <w:bCs/>
          <w:sz w:val="24"/>
          <w:szCs w:val="24"/>
        </w:rPr>
        <w:t>1</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Experimental group</w:t>
      </w:r>
    </w:p>
    <w:p w14:paraId="49BBFED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Postoperative electroacupuncture intervention was given.</w:t>
      </w:r>
    </w:p>
    <w:p w14:paraId="650F9A0B">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val="en-US" w:eastAsia="zh-CN"/>
        </w:rPr>
        <w:t>5.</w:t>
      </w:r>
      <w:r>
        <w:rPr>
          <w:rFonts w:ascii="Times New Roman" w:hAnsi="Times New Roman" w:eastAsia="宋体" w:cs="Times New Roman"/>
          <w:b w:val="0"/>
          <w:bCs/>
          <w:sz w:val="24"/>
          <w:szCs w:val="24"/>
        </w:rPr>
        <w:t>2</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Control 1</w:t>
      </w:r>
    </w:p>
    <w:p w14:paraId="1C590DF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Postoperatively, a sham electroacupuncture was given to simulate a needling intervention.</w:t>
      </w:r>
    </w:p>
    <w:p w14:paraId="7FDAF676">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val="en-US" w:eastAsia="zh-CN"/>
        </w:rPr>
        <w:t>5.</w:t>
      </w:r>
      <w:r>
        <w:rPr>
          <w:rFonts w:hint="eastAsia" w:ascii="Times New Roman" w:hAnsi="Times New Roman" w:eastAsia="宋体" w:cs="Times New Roman"/>
          <w:b w:val="0"/>
          <w:bCs/>
          <w:sz w:val="24"/>
          <w:szCs w:val="24"/>
        </w:rPr>
        <w:t>3</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Control 2</w:t>
      </w:r>
    </w:p>
    <w:p w14:paraId="2D4DC104">
      <w:pPr>
        <w:spacing w:line="360" w:lineRule="auto"/>
        <w:ind w:firstLine="480" w:firstLineChars="200"/>
        <w:rPr>
          <w:sz w:val="24"/>
          <w:szCs w:val="24"/>
        </w:rPr>
      </w:pPr>
      <w:r>
        <w:rPr>
          <w:rFonts w:hint="eastAsia" w:ascii="Times New Roman" w:hAnsi="Times New Roman" w:eastAsia="宋体" w:cs="Times New Roman"/>
          <w:sz w:val="24"/>
          <w:szCs w:val="24"/>
        </w:rPr>
        <w:t>Postoperative treatment was provided with routine care.</w:t>
      </w:r>
    </w:p>
    <w:bookmarkEnd w:id="6"/>
    <w:p w14:paraId="5AE8D00D">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6 </w:t>
      </w:r>
      <w:r>
        <w:rPr>
          <w:rFonts w:hint="default"/>
          <w:sz w:val="24"/>
          <w:szCs w:val="24"/>
        </w:rPr>
        <w:t>treatment plan</w:t>
      </w:r>
    </w:p>
    <w:p w14:paraId="6363FB87">
      <w:pPr>
        <w:pStyle w:val="3"/>
        <w:spacing w:before="0" w:after="0" w:line="240" w:lineRule="auto"/>
        <w:rPr>
          <w:bCs/>
          <w:sz w:val="24"/>
          <w:szCs w:val="24"/>
        </w:rPr>
      </w:pPr>
      <w:r>
        <w:rPr>
          <w:rFonts w:hint="eastAsia" w:ascii="Times New Roman" w:hAnsi="Times New Roman" w:eastAsia="宋体" w:cs="Times New Roman"/>
          <w:b w:val="0"/>
          <w:bCs/>
          <w:sz w:val="24"/>
          <w:szCs w:val="24"/>
          <w:lang w:val="en-US" w:eastAsia="zh-CN"/>
        </w:rPr>
        <w:t>6.</w:t>
      </w:r>
      <w:r>
        <w:rPr>
          <w:rFonts w:ascii="Times New Roman" w:hAnsi="Times New Roman" w:eastAsia="宋体" w:cs="Times New Roman"/>
          <w:b w:val="0"/>
          <w:bCs/>
          <w:sz w:val="24"/>
          <w:szCs w:val="24"/>
        </w:rPr>
        <w:t>1</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 xml:space="preserve">Conventional </w:t>
      </w:r>
      <w:r>
        <w:rPr>
          <w:rFonts w:ascii="Times New Roman" w:hAnsi="Times New Roman" w:eastAsia="宋体" w:cs="Times New Roman"/>
          <w:b w:val="0"/>
          <w:bCs/>
          <w:sz w:val="24"/>
          <w:szCs w:val="24"/>
        </w:rPr>
        <w:t>treatment programs</w:t>
      </w:r>
    </w:p>
    <w:p w14:paraId="2DA951E3">
      <w:pPr>
        <w:spacing w:line="360" w:lineRule="auto"/>
        <w:ind w:firstLine="480" w:firstLineChars="200"/>
        <w:rPr>
          <w:rFonts w:hint="eastAsia" w:ascii="Times New Roman" w:hAnsi="Times New Roman" w:eastAsia="宋体" w:cs="Times New Roman"/>
          <w:sz w:val="24"/>
          <w:szCs w:val="24"/>
        </w:rPr>
      </w:pPr>
      <w:bookmarkStart w:id="28" w:name="_GoBack"/>
      <w:r>
        <w:rPr>
          <w:rFonts w:hint="eastAsia" w:ascii="Times New Roman" w:hAnsi="Times New Roman" w:eastAsia="宋体" w:cs="Times New Roman"/>
          <w:sz w:val="24"/>
          <w:szCs w:val="24"/>
        </w:rPr>
        <w:t>Routine perioperative management for all patients referenced to ERAS components, including fluid resuscitationnutritional support, correction of acid-base and electrolyte imbalances, infection control, and hemostasis. Specific</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interventions will comprise:</w:t>
      </w:r>
    </w:p>
    <w:p w14:paraId="40BB60E2">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Preoperative education: Explain ERAS in detail to patients and their families, guide sleep, relieve anxiety and depression,and build confidence for patients to overcome the disease</w:t>
      </w:r>
      <w:r>
        <w:rPr>
          <w:rFonts w:hint="eastAsia" w:ascii="Times New Roman" w:hAnsi="Times New Roman" w:eastAsia="宋体" w:cs="Times New Roman"/>
          <w:sz w:val="24"/>
          <w:szCs w:val="24"/>
          <w:lang w:val="en-US" w:eastAsia="zh-CN"/>
        </w:rPr>
        <w:t>.</w:t>
      </w:r>
    </w:p>
    <w:p w14:paraId="2409EC8C">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Preoperative nutritional assessment and intervention: Patients at nutritional risk or with malnutrition will be offered oralenteral nutrition powder or liquid, contingent on their willingness</w:t>
      </w:r>
      <w:r>
        <w:rPr>
          <w:rFonts w:hint="eastAsia" w:ascii="Times New Roman" w:hAnsi="Times New Roman" w:eastAsia="宋体" w:cs="Times New Roman"/>
          <w:sz w:val="24"/>
          <w:szCs w:val="24"/>
          <w:lang w:val="en-US" w:eastAsia="zh-CN"/>
        </w:rPr>
        <w:t>.</w:t>
      </w:r>
    </w:p>
    <w:p w14:paraId="1213323D">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Preoperative bowel preparation: Laxative administration on the evening betore surgery</w:t>
      </w:r>
      <w:r>
        <w:rPr>
          <w:rFonts w:hint="eastAsia" w:ascii="Times New Roman" w:hAnsi="Times New Roman" w:eastAsia="宋体" w:cs="Times New Roman"/>
          <w:sz w:val="24"/>
          <w:szCs w:val="24"/>
          <w:lang w:val="en-US" w:eastAsia="zh-CN"/>
        </w:rPr>
        <w:t>.</w:t>
      </w:r>
    </w:p>
    <w:p w14:paraId="7B3DA8F6">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Surgery:Preferred minimallyinvasive laparoscopic surgery</w:t>
      </w:r>
      <w:r>
        <w:rPr>
          <w:rFonts w:hint="eastAsia" w:ascii="Times New Roman" w:hAnsi="Times New Roman" w:eastAsia="宋体" w:cs="Times New Roman"/>
          <w:sz w:val="24"/>
          <w:szCs w:val="24"/>
          <w:lang w:val="en-US" w:eastAsia="zh-CN"/>
        </w:rPr>
        <w:t>.</w:t>
      </w:r>
    </w:p>
    <w:p w14:paraId="5F75112E">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Intraoperative anesthesia management: General anesthesia combined</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with intravenous anesthesia</w:t>
      </w:r>
      <w:r>
        <w:rPr>
          <w:rFonts w:hint="eastAsia" w:ascii="Times New Roman" w:hAnsi="Times New Roman" w:eastAsia="宋体" w:cs="Times New Roman"/>
          <w:sz w:val="24"/>
          <w:szCs w:val="24"/>
          <w:lang w:val="en-US" w:eastAsia="zh-CN"/>
        </w:rPr>
        <w:t>.</w:t>
      </w:r>
    </w:p>
    <w:p w14:paraId="0778923F">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Intraoperative temperature control: Maintenance of patient warmth throughout the surgery</w:t>
      </w:r>
      <w:r>
        <w:rPr>
          <w:rFonts w:hint="eastAsia" w:ascii="Times New Roman" w:hAnsi="Times New Roman" w:eastAsia="宋体" w:cs="Times New Roman"/>
          <w:sz w:val="24"/>
          <w:szCs w:val="24"/>
          <w:lang w:val="en-US" w:eastAsia="zh-CN"/>
        </w:rPr>
        <w:t>.</w:t>
      </w:r>
    </w:p>
    <w:p w14:paraId="6465260E">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Fluid management: Add appropriate crystal and colloidal fluids according to blood pressure</w:t>
      </w:r>
      <w:r>
        <w:rPr>
          <w:rFonts w:hint="eastAsia" w:ascii="Times New Roman" w:hAnsi="Times New Roman" w:eastAsia="宋体" w:cs="Times New Roman"/>
          <w:sz w:val="24"/>
          <w:szCs w:val="24"/>
          <w:lang w:val="en-US" w:eastAsia="zh-CN"/>
        </w:rPr>
        <w:t>.</w:t>
      </w:r>
    </w:p>
    <w:p w14:paraId="28AE9CEA">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Postoperative pain management: Implementation of a multimodal analgesia strategy</w:t>
      </w:r>
      <w:r>
        <w:rPr>
          <w:rFonts w:hint="eastAsia" w:ascii="Times New Roman" w:hAnsi="Times New Roman" w:eastAsia="宋体" w:cs="Times New Roman"/>
          <w:sz w:val="24"/>
          <w:szCs w:val="24"/>
          <w:lang w:val="en-US" w:eastAsia="zh-CN"/>
        </w:rPr>
        <w:t>.</w:t>
      </w:r>
    </w:p>
    <w:p w14:paraId="604E2012">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Early mobilization: Initiation of patient mobilization within 24-48 h post-surgery</w:t>
      </w:r>
      <w:r>
        <w:rPr>
          <w:rFonts w:hint="eastAsia" w:ascii="Times New Roman" w:hAnsi="Times New Roman" w:eastAsia="宋体" w:cs="Times New Roman"/>
          <w:sz w:val="24"/>
          <w:szCs w:val="24"/>
          <w:lang w:val="en-US" w:eastAsia="zh-CN"/>
        </w:rPr>
        <w:t>.</w:t>
      </w:r>
    </w:p>
    <w:p w14:paraId="38688B15">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Postoperative hemostasis:</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Mechanical thromboprophylaxisand injection of low molecular weight heparin</w:t>
      </w:r>
      <w:r>
        <w:rPr>
          <w:rFonts w:hint="eastAsia" w:ascii="Times New Roman" w:hAnsi="Times New Roman" w:eastAsia="宋体" w:cs="Times New Roman"/>
          <w:sz w:val="24"/>
          <w:szCs w:val="24"/>
          <w:lang w:val="en-US" w:eastAsia="zh-CN"/>
        </w:rPr>
        <w:t>.</w:t>
      </w:r>
    </w:p>
    <w:p w14:paraId="3B079A8A">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Postoperative diet and nutritional guidance: Early ora</w:t>
      </w:r>
      <w:r>
        <w:rPr>
          <w:rFonts w:hint="eastAsia" w:ascii="Times New Roman" w:hAnsi="Times New Roman" w:eastAsia="宋体" w:cs="Times New Roman"/>
          <w:sz w:val="24"/>
          <w:szCs w:val="24"/>
          <w:lang w:val="en-US" w:eastAsia="zh-CN"/>
        </w:rPr>
        <w:t xml:space="preserve">l </w:t>
      </w:r>
      <w:r>
        <w:rPr>
          <w:rFonts w:hint="eastAsia" w:ascii="Times New Roman" w:hAnsi="Times New Roman" w:eastAsia="宋体" w:cs="Times New Roman"/>
          <w:sz w:val="24"/>
          <w:szCs w:val="24"/>
        </w:rPr>
        <w:t>feeding, gradually move</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from sips of water to liquid, and semi-liquid diets.</w:t>
      </w:r>
    </w:p>
    <w:bookmarkEnd w:id="28"/>
    <w:p w14:paraId="127BD790">
      <w:pPr>
        <w:pStyle w:val="3"/>
        <w:spacing w:before="0" w:after="0" w:line="240" w:lineRule="auto"/>
        <w:rPr>
          <w:rFonts w:ascii="Times New Roman" w:hAnsi="Times New Roman" w:eastAsia="宋体" w:cs="Times New Roman"/>
          <w:b w:val="0"/>
          <w:bCs/>
          <w:sz w:val="24"/>
          <w:szCs w:val="24"/>
        </w:rPr>
      </w:pPr>
      <w:bookmarkStart w:id="7" w:name="_Toc62631179"/>
      <w:r>
        <w:rPr>
          <w:rFonts w:hint="eastAsia" w:ascii="Times New Roman" w:hAnsi="Times New Roman" w:eastAsia="宋体" w:cs="Times New Roman"/>
          <w:b w:val="0"/>
          <w:bCs/>
          <w:sz w:val="24"/>
          <w:szCs w:val="24"/>
          <w:lang w:val="en-US" w:eastAsia="zh-CN"/>
        </w:rPr>
        <w:t>6.</w:t>
      </w:r>
      <w:r>
        <w:rPr>
          <w:rFonts w:ascii="Times New Roman" w:hAnsi="Times New Roman" w:eastAsia="宋体" w:cs="Times New Roman"/>
          <w:b w:val="0"/>
          <w:bCs/>
          <w:sz w:val="24"/>
          <w:szCs w:val="24"/>
        </w:rPr>
        <w:t>2</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Electroacupuncture</w:t>
      </w:r>
      <w:bookmarkEnd w:id="7"/>
      <w:r>
        <w:rPr>
          <w:rFonts w:hint="eastAsia" w:ascii="Times New Roman" w:hAnsi="Times New Roman" w:eastAsia="宋体" w:cs="Times New Roman"/>
          <w:b w:val="0"/>
          <w:bCs/>
          <w:sz w:val="24"/>
          <w:szCs w:val="24"/>
        </w:rPr>
        <w:t xml:space="preserve"> group</w:t>
      </w:r>
    </w:p>
    <w:p w14:paraId="0A44D1B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Needles: Hua Tuo brand disposable acupuncture needles φ0.</w:t>
      </w:r>
      <w:r>
        <w:rPr>
          <w:rFonts w:ascii="Times New Roman" w:hAnsi="Times New Roman" w:eastAsia="宋体" w:cs="Times New Roman"/>
          <w:sz w:val="24"/>
          <w:szCs w:val="24"/>
        </w:rPr>
        <w:t xml:space="preserve">25 </w:t>
      </w:r>
      <w:r>
        <w:rPr>
          <w:rFonts w:hint="eastAsia" w:ascii="Times New Roman" w:hAnsi="Times New Roman" w:eastAsia="宋体" w:cs="Times New Roman"/>
          <w:sz w:val="24"/>
          <w:szCs w:val="24"/>
        </w:rPr>
        <w:t>× 40mm (1.5 inch); needles purchased from Suzhou Medical Supplies Factory Co., Ltd. (Manufacturer's License: Suzhou Food and Drug Administration Equipment Manufacturing Permit No. 2001-0020; Certificate of Registration: Suzhou Food and Drug Administration Equipment (Permit) Word 2004 No. 2270202).</w:t>
      </w:r>
    </w:p>
    <w:p w14:paraId="6E386BD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Acupuncture points: Acupuncture was performed within 6 hours after surgery, taking bilateral Hegu + Zhigou + Ashigaru + Shangjiuxu, each lasting for 30 min; (localization was in strict accordance with the national standard of the People's Republic of China, GB 12346-90, "Meridian Point Locations").</w:t>
      </w:r>
    </w:p>
    <w:p w14:paraId="25FD98C7">
      <w:pPr>
        <w:spacing w:line="360" w:lineRule="auto"/>
        <w:ind w:firstLine="480" w:firstLineChars="200"/>
        <w:rPr>
          <w:rFonts w:ascii="Times New Roman" w:hAnsi="Times New Roman" w:cs="Times New Roman"/>
          <w:sz w:val="24"/>
          <w:szCs w:val="24"/>
        </w:rPr>
      </w:pPr>
      <w:r>
        <w:rPr>
          <w:rFonts w:hint="eastAsia" w:ascii="Times New Roman" w:hAnsi="Times New Roman" w:eastAsia="宋体" w:cs="Times New Roman"/>
          <w:sz w:val="24"/>
          <w:szCs w:val="24"/>
        </w:rPr>
        <w:t xml:space="preserve">Postoperative electroacupuncture stimulation method: all acupoints were supplemented after obtaining qi, and unilaterally connected to the electroacupuncture instrument for electrified stimulation, with a current frequency of continuous wave of 5 Hz, and the stimulation intensity was tolerated by the patients, and each time the stimulation was continued for 30 minutes. Acupuncture stimulation was given once every 12 h, and the duration of treatment was from the end of the operation to the fourth postoperative day (d0-d4) or until the patient had the first postoperative anal emission. Note: The day of the end of surgery was </w:t>
      </w:r>
      <w:r>
        <w:rPr>
          <w:rFonts w:ascii="Times New Roman" w:hAnsi="Times New Roman" w:eastAsia="宋体" w:cs="Times New Roman"/>
          <w:sz w:val="24"/>
          <w:szCs w:val="24"/>
        </w:rPr>
        <w:t>d0</w:t>
      </w:r>
      <w:r>
        <w:rPr>
          <w:rFonts w:hint="eastAsia" w:ascii="Times New Roman" w:hAnsi="Times New Roman" w:eastAsia="宋体" w:cs="Times New Roman"/>
          <w:sz w:val="24"/>
          <w:szCs w:val="24"/>
        </w:rPr>
        <w:t>.</w:t>
      </w:r>
    </w:p>
    <w:p w14:paraId="44A6A2F1">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val="en-US" w:eastAsia="zh-CN"/>
        </w:rPr>
        <w:t>6.</w:t>
      </w:r>
      <w:r>
        <w:rPr>
          <w:rFonts w:ascii="Times New Roman" w:hAnsi="Times New Roman" w:eastAsia="宋体" w:cs="Times New Roman"/>
          <w:b w:val="0"/>
          <w:bCs/>
          <w:sz w:val="24"/>
          <w:szCs w:val="24"/>
        </w:rPr>
        <w:t>3</w:t>
      </w:r>
      <w:r>
        <w:rPr>
          <w:rFonts w:hint="eastAsia" w:ascii="Times New Roman" w:hAnsi="Times New Roman" w:eastAsia="宋体" w:cs="Times New Roman"/>
          <w:b w:val="0"/>
          <w:bCs/>
          <w:sz w:val="24"/>
          <w:szCs w:val="24"/>
          <w:lang w:val="en-US" w:eastAsia="zh-CN"/>
        </w:rPr>
        <w:t xml:space="preserve"> Sham</w:t>
      </w:r>
      <w:r>
        <w:rPr>
          <w:rFonts w:hint="eastAsia" w:ascii="Times New Roman" w:hAnsi="Times New Roman" w:eastAsia="宋体" w:cs="Times New Roman"/>
          <w:b w:val="0"/>
          <w:bCs/>
          <w:sz w:val="24"/>
          <w:szCs w:val="24"/>
        </w:rPr>
        <w:t>-electroacupuncture set</w:t>
      </w:r>
    </w:p>
    <w:p w14:paraId="7FE775D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In order to achieve maximum patient blindness, both groups use adhesive pads, fake acupuncture needles have the same appearance as traditional needles, the tip of the needle is blunt (Suzhou Medical Supplies Factory, specification 0.</w:t>
      </w:r>
      <w:r>
        <w:rPr>
          <w:rFonts w:ascii="Times New Roman" w:hAnsi="Times New Roman" w:eastAsia="宋体" w:cs="Times New Roman"/>
          <w:sz w:val="24"/>
          <w:szCs w:val="24"/>
        </w:rPr>
        <w:t xml:space="preserve">25 </w:t>
      </w:r>
      <w:r>
        <w:rPr>
          <w:rFonts w:hint="eastAsia" w:ascii="Times New Roman" w:hAnsi="Times New Roman" w:eastAsia="宋体" w:cs="Times New Roman"/>
          <w:sz w:val="24"/>
          <w:szCs w:val="24"/>
        </w:rPr>
        <w:t>× 40mm), lifting and inserting the twisting, but do not penetrate the adhesive pads. The output wire of the special fake electroacupuncture instrument is cut in the middle, and the appearance is as usual; that is, the electroacupuncture instrument shows the on state, but the actual power is not energized; the electroacupuncture acupuncture points, acupuncture time points, frequency, retention of the needle time, and the course of the same as the intervention group, and the patient is informed that it is an effective light current input, and may not feel the stimulation, but the current is output.</w:t>
      </w:r>
    </w:p>
    <w:p w14:paraId="6227D87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All study patients were treated independently and separately, ensuring that patients did not come into contact with each other. All study patients were treated independently of each other, ensuring that patients did not come into contact with each other.</w:t>
      </w:r>
    </w:p>
    <w:p w14:paraId="5A30B27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To test the effectiveness of blinding participants, two hospitals were selected for blinded success assessment. Subjects were asked whether they received electroacupuncture or sham electroacupuncture after the first treatment and within 5 minutes after the last treatment.</w:t>
      </w:r>
    </w:p>
    <w:p w14:paraId="580098B4">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val="en-US" w:eastAsia="zh-CN"/>
        </w:rPr>
        <w:t>4.</w:t>
      </w:r>
      <w:r>
        <w:rPr>
          <w:rFonts w:ascii="Times New Roman" w:hAnsi="Times New Roman" w:eastAsia="宋体" w:cs="Times New Roman"/>
          <w:b w:val="0"/>
          <w:bCs/>
          <w:sz w:val="24"/>
          <w:szCs w:val="24"/>
        </w:rPr>
        <w:t>4</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Routine care group</w:t>
      </w:r>
    </w:p>
    <w:p w14:paraId="4BAAF39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Same as perioperative conventional treatment protocol.</w:t>
      </w:r>
    </w:p>
    <w:p w14:paraId="7F74824E">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7 </w:t>
      </w:r>
      <w:r>
        <w:rPr>
          <w:rFonts w:hint="default"/>
          <w:sz w:val="24"/>
          <w:szCs w:val="24"/>
        </w:rPr>
        <w:t>Observation indicators</w:t>
      </w:r>
    </w:p>
    <w:p w14:paraId="6551C62C">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val="en-US" w:eastAsia="zh-CN"/>
        </w:rPr>
        <w:t>7.</w:t>
      </w:r>
      <w:r>
        <w:rPr>
          <w:rFonts w:ascii="Times New Roman" w:hAnsi="Times New Roman" w:eastAsia="宋体" w:cs="Times New Roman"/>
          <w:b w:val="0"/>
          <w:bCs/>
          <w:sz w:val="24"/>
          <w:szCs w:val="24"/>
        </w:rPr>
        <w:t>1</w:t>
      </w:r>
      <w:r>
        <w:rPr>
          <w:rFonts w:hint="eastAsia" w:ascii="Times New Roman" w:hAnsi="Times New Roman" w:eastAsia="宋体" w:cs="Times New Roman"/>
          <w:b w:val="0"/>
          <w:bCs/>
          <w:sz w:val="24"/>
          <w:szCs w:val="24"/>
          <w:lang w:val="en-US" w:eastAsia="zh-CN"/>
        </w:rPr>
        <w:t xml:space="preserve"> </w:t>
      </w:r>
      <w:r>
        <w:rPr>
          <w:rFonts w:ascii="Times New Roman" w:hAnsi="Times New Roman" w:eastAsia="宋体" w:cs="Times New Roman"/>
          <w:b w:val="0"/>
          <w:bCs/>
          <w:sz w:val="24"/>
          <w:szCs w:val="24"/>
        </w:rPr>
        <w:t>Main indicators</w:t>
      </w:r>
    </w:p>
    <w:p w14:paraId="3F39928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Time to first postoperative defecation (h)</w:t>
      </w:r>
    </w:p>
    <w:p w14:paraId="28CD2BC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Monitoring method: when the patient had the first postoperative anal defecation, he/she himself/herself recorded this time on the observation sheet; at the same time, he/she informed the doctor and nurse in charge of the bed, and the medical staff recorded and calculated his/her time from the end of the operation (h).</w:t>
      </w:r>
    </w:p>
    <w:p w14:paraId="141D3B26">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sz w:val="24"/>
          <w:szCs w:val="24"/>
          <w:lang w:val="en-US" w:eastAsia="zh-CN"/>
        </w:rPr>
        <w:t xml:space="preserve">7.2 </w:t>
      </w:r>
      <w:r>
        <w:rPr>
          <w:rFonts w:ascii="Times New Roman" w:hAnsi="Times New Roman" w:eastAsia="宋体" w:cs="Times New Roman"/>
          <w:b w:val="0"/>
          <w:bCs/>
          <w:sz w:val="24"/>
          <w:szCs w:val="24"/>
        </w:rPr>
        <w:t>Secondary indicators</w:t>
      </w:r>
    </w:p>
    <w:p w14:paraId="6D54984E">
      <w:pPr>
        <w:spacing w:line="360" w:lineRule="auto"/>
        <w:ind w:firstLine="480" w:firstLineChars="200"/>
        <w:rPr>
          <w:rFonts w:ascii="Times New Roman" w:hAnsi="Times New Roman" w:eastAsia="宋体" w:cs="Times New Roman"/>
          <w:sz w:val="24"/>
          <w:szCs w:val="24"/>
        </w:rPr>
      </w:pPr>
      <w:bookmarkStart w:id="8" w:name="_Toc62631185"/>
      <w:r>
        <w:rPr>
          <w:rFonts w:hint="eastAsia" w:ascii="Times New Roman" w:hAnsi="Times New Roman" w:eastAsia="宋体" w:cs="Times New Roman"/>
          <w:sz w:val="24"/>
          <w:szCs w:val="24"/>
        </w:rPr>
        <w:t>(1) Time to first postoperative bowel movement (h)</w:t>
      </w:r>
    </w:p>
    <w:p w14:paraId="0DF59ED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MONITORING METHODS: When the patient had his first postoperative bowel movement, the bedside doctor and nurse were informed. It was recorded by the medical staff and its time to the end of surgery (h) was calculated.</w:t>
      </w:r>
    </w:p>
    <w:bookmarkEnd w:id="8"/>
    <w:p w14:paraId="6C896BB8">
      <w:pPr>
        <w:spacing w:line="360" w:lineRule="auto"/>
        <w:ind w:firstLine="480" w:firstLineChars="200"/>
        <w:rPr>
          <w:rFonts w:ascii="Times New Roman" w:hAnsi="Times New Roman" w:eastAsia="宋体" w:cs="Times New Roman"/>
          <w:sz w:val="24"/>
          <w:szCs w:val="24"/>
        </w:rPr>
      </w:pPr>
      <w:bookmarkStart w:id="9" w:name="_Toc62631186"/>
      <w:r>
        <w:rPr>
          <w:rFonts w:hint="eastAsia" w:ascii="Times New Roman" w:hAnsi="Times New Roman" w:eastAsia="宋体" w:cs="Times New Roman"/>
          <w:sz w:val="24"/>
          <w:szCs w:val="24"/>
        </w:rPr>
        <w:t>(2)</w:t>
      </w:r>
      <w:bookmarkEnd w:id="9"/>
      <w:bookmarkStart w:id="10" w:name="_Hlk142571947"/>
      <w:r>
        <w:rPr>
          <w:rFonts w:hint="eastAsia" w:ascii="Times New Roman" w:hAnsi="Times New Roman" w:eastAsia="宋体" w:cs="Times New Roman"/>
          <w:sz w:val="24"/>
          <w:szCs w:val="24"/>
        </w:rPr>
        <w:t xml:space="preserve"> Postoperative bowel sounds recovery time (h)</w:t>
      </w:r>
      <w:bookmarkEnd w:id="10"/>
      <w:r>
        <w:rPr>
          <w:rFonts w:hint="eastAsia" w:ascii="Times New Roman" w:hAnsi="Times New Roman" w:eastAsia="宋体" w:cs="Times New Roman"/>
          <w:sz w:val="24"/>
          <w:szCs w:val="24"/>
        </w:rPr>
        <w:t xml:space="preserve"> (Yueyang Hospital </w:t>
      </w:r>
      <w:r>
        <w:rPr>
          <w:rFonts w:hint="eastAsia" w:ascii="Times New Roman" w:hAnsi="Times New Roman" w:eastAsia="宋体" w:cs="Times New Roman"/>
          <w:sz w:val="24"/>
          <w:szCs w:val="24"/>
          <w:lang w:val="en-US" w:eastAsia="zh-CN"/>
        </w:rPr>
        <w:t xml:space="preserve">monitoring </w:t>
      </w:r>
      <w:r>
        <w:rPr>
          <w:rFonts w:hint="eastAsia" w:ascii="Times New Roman" w:hAnsi="Times New Roman" w:eastAsia="宋体" w:cs="Times New Roman"/>
          <w:sz w:val="24"/>
          <w:szCs w:val="24"/>
        </w:rPr>
        <w:t>only)</w:t>
      </w:r>
    </w:p>
    <w:p w14:paraId="60A04EF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MONITORING METHODS: Bowel sounds were monitored immediately after the procedure using a continuous auscultation recorder;</w:t>
      </w:r>
    </w:p>
    <w:p w14:paraId="6ECE3AA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Determination of recovery of postoperative bowel sounds: the time point at which regular bowel sounds were observed and were greater than 4 beats/minute was calculated as the time to the end of surgery (h).</w:t>
      </w:r>
    </w:p>
    <w:p w14:paraId="16BF3294">
      <w:pPr>
        <w:spacing w:line="360" w:lineRule="auto"/>
        <w:ind w:firstLine="480" w:firstLineChars="200"/>
        <w:rPr>
          <w:rFonts w:ascii="Times New Roman" w:hAnsi="Times New Roman" w:eastAsia="宋体" w:cs="Times New Roman"/>
          <w:sz w:val="24"/>
          <w:szCs w:val="24"/>
        </w:rPr>
      </w:pPr>
      <w:bookmarkStart w:id="11" w:name="_Toc62631187"/>
      <w:r>
        <w:rPr>
          <w:rFonts w:hint="eastAsia" w:ascii="Times New Roman" w:hAnsi="Times New Roman" w:eastAsia="宋体" w:cs="Times New Roman"/>
          <w:sz w:val="24"/>
          <w:szCs w:val="24"/>
        </w:rPr>
        <w:t>(3)</w:t>
      </w:r>
      <w:bookmarkEnd w:id="11"/>
      <w:r>
        <w:rPr>
          <w:rFonts w:hint="eastAsia" w:ascii="Times New Roman" w:hAnsi="Times New Roman" w:eastAsia="宋体" w:cs="Times New Roman"/>
          <w:sz w:val="24"/>
          <w:szCs w:val="24"/>
        </w:rPr>
        <w:t xml:space="preserve"> Time to first postoperative water intake (h)</w:t>
      </w:r>
    </w:p>
    <w:p w14:paraId="6CA2181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MONITORING METHODS: The time of the patient's first postoperative water intake was recorded separately.</w:t>
      </w:r>
    </w:p>
    <w:p w14:paraId="0277B1AF">
      <w:pPr>
        <w:spacing w:line="360" w:lineRule="auto"/>
        <w:ind w:firstLine="480" w:firstLineChars="200"/>
        <w:rPr>
          <w:rFonts w:ascii="Times New Roman" w:hAnsi="Times New Roman" w:eastAsia="宋体" w:cs="Times New Roman"/>
          <w:sz w:val="24"/>
          <w:szCs w:val="24"/>
        </w:rPr>
      </w:pPr>
      <w:bookmarkStart w:id="12" w:name="_Toc62631188"/>
      <w:r>
        <w:rPr>
          <w:rFonts w:hint="eastAsia" w:ascii="Times New Roman" w:hAnsi="Times New Roman" w:eastAsia="宋体" w:cs="Times New Roman"/>
          <w:sz w:val="24"/>
          <w:szCs w:val="24"/>
        </w:rPr>
        <w:t>(4) Occurrence of postoperative nausea and vomiting</w:t>
      </w:r>
      <w:bookmarkEnd w:id="12"/>
    </w:p>
    <w:p w14:paraId="7502DD7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 The time and frequency of nausea in the postoperative period;</w:t>
      </w:r>
    </w:p>
    <w:p w14:paraId="1507AC9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(ii) Time and frequency of postoperative vomiting;</w:t>
      </w:r>
    </w:p>
    <w:p w14:paraId="15C9412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Monitoring method: During the postoperative hospitalization, every time nausea, vomiting and abdominal distension appeared, the patients or their family members recorded the time of occurrence on their own using a unified chart and informed the medical staff in time, who also kept a record. The time to the end of surgery and the number of postoperative episodes were calculated before discharge.</w:t>
      </w:r>
    </w:p>
    <w:p w14:paraId="5F19B850">
      <w:pPr>
        <w:spacing w:line="360" w:lineRule="auto"/>
        <w:ind w:firstLine="480" w:firstLineChars="200"/>
        <w:rPr>
          <w:rFonts w:ascii="Times New Roman" w:hAnsi="Times New Roman" w:eastAsia="宋体" w:cs="Times New Roman"/>
          <w:sz w:val="24"/>
          <w:szCs w:val="24"/>
        </w:rPr>
      </w:pPr>
      <w:bookmarkStart w:id="13" w:name="_Toc62631189"/>
      <w:r>
        <w:rPr>
          <w:rFonts w:hint="eastAsia" w:ascii="Times New Roman" w:hAnsi="Times New Roman" w:eastAsia="宋体" w:cs="Times New Roman"/>
          <w:sz w:val="24"/>
          <w:szCs w:val="24"/>
        </w:rPr>
        <w:t xml:space="preserve">(5) Quality of Life Scale: EORTC QLQ-C30, Short Form </w:t>
      </w:r>
      <w:r>
        <w:rPr>
          <w:rFonts w:ascii="Times New Roman" w:hAnsi="Times New Roman" w:eastAsia="宋体" w:cs="Times New Roman"/>
          <w:sz w:val="24"/>
          <w:szCs w:val="24"/>
        </w:rPr>
        <w:t xml:space="preserve">12 </w:t>
      </w:r>
      <w:r>
        <w:rPr>
          <w:rFonts w:hint="eastAsia" w:ascii="Times New Roman" w:hAnsi="Times New Roman" w:eastAsia="宋体" w:cs="Times New Roman"/>
          <w:sz w:val="24"/>
          <w:szCs w:val="24"/>
        </w:rPr>
        <w:t>Scale</w:t>
      </w:r>
      <w:bookmarkEnd w:id="13"/>
    </w:p>
    <w:p w14:paraId="3047038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Observation time points: preoperative, discharge, and 1 month postoperative;</w:t>
      </w:r>
    </w:p>
    <w:p w14:paraId="286EBF3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MONITORING METHODS: The quality of survival of colorectal cancer patients was evaluated using a combination of the EORTC QLQ-C30, Short Form </w:t>
      </w:r>
      <w:r>
        <w:rPr>
          <w:rFonts w:ascii="Times New Roman" w:hAnsi="Times New Roman" w:eastAsia="宋体" w:cs="Times New Roman"/>
          <w:sz w:val="24"/>
          <w:szCs w:val="24"/>
        </w:rPr>
        <w:t xml:space="preserve">12 </w:t>
      </w:r>
      <w:r>
        <w:rPr>
          <w:rFonts w:hint="eastAsia" w:ascii="Times New Roman" w:hAnsi="Times New Roman" w:eastAsia="宋体" w:cs="Times New Roman"/>
          <w:sz w:val="24"/>
          <w:szCs w:val="24"/>
        </w:rPr>
        <w:t>scale.</w:t>
      </w:r>
    </w:p>
    <w:p w14:paraId="783DAB01">
      <w:pPr>
        <w:spacing w:line="360" w:lineRule="auto"/>
        <w:ind w:firstLine="480" w:firstLineChars="200"/>
        <w:rPr>
          <w:rFonts w:hint="eastAsia" w:ascii="Times New Roman" w:hAnsi="Times New Roman" w:eastAsia="宋体" w:cs="Times New Roman"/>
          <w:sz w:val="24"/>
          <w:szCs w:val="24"/>
          <w:lang w:eastAsia="zh-CN"/>
        </w:rPr>
      </w:pPr>
      <w:bookmarkStart w:id="14" w:name="_Toc62631190"/>
      <w:r>
        <w:rPr>
          <w:rFonts w:hint="eastAsia" w:ascii="Times New Roman" w:hAnsi="Times New Roman" w:eastAsia="宋体" w:cs="Times New Roman"/>
          <w:sz w:val="24"/>
          <w:szCs w:val="24"/>
        </w:rPr>
        <w:t>(6) Postoperative Pain Score:</w:t>
      </w:r>
      <w:bookmarkEnd w:id="14"/>
      <w:r>
        <w:rPr>
          <w:rFonts w:hint="eastAsia" w:ascii="Times New Roman" w:hAnsi="Times New Roman" w:eastAsia="宋体" w:cs="Times New Roman"/>
          <w:sz w:val="24"/>
          <w:szCs w:val="24"/>
          <w:lang w:val="en-US" w:eastAsia="zh-CN"/>
        </w:rPr>
        <w:t xml:space="preserve"> Numerical Rating Scale for </w:t>
      </w:r>
      <w:r>
        <w:rPr>
          <w:rFonts w:hint="eastAsia" w:ascii="Times New Roman" w:hAnsi="Times New Roman" w:eastAsia="宋体" w:cs="Times New Roman"/>
          <w:sz w:val="24"/>
          <w:szCs w:val="24"/>
        </w:rPr>
        <w:t xml:space="preserve">Pain </w:t>
      </w:r>
      <w:r>
        <w:rPr>
          <w:rFonts w:hint="eastAsia" w:ascii="Times New Roman" w:hAnsi="Times New Roman" w:eastAsia="宋体" w:cs="Times New Roman"/>
          <w:sz w:val="24"/>
          <w:szCs w:val="24"/>
          <w:lang w:val="en-US" w:eastAsia="zh-CN"/>
        </w:rPr>
        <w:t>(NRS)</w:t>
      </w:r>
    </w:p>
    <w:p w14:paraId="2604782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MONITORING METHODS: Patients were assessed for surgical incision pain using the </w:t>
      </w:r>
      <w:r>
        <w:rPr>
          <w:rFonts w:hint="eastAsia" w:ascii="Times New Roman" w:hAnsi="Times New Roman" w:eastAsia="宋体" w:cs="Times New Roman"/>
          <w:sz w:val="24"/>
          <w:szCs w:val="24"/>
          <w:lang w:val="en-US" w:eastAsia="zh-CN"/>
        </w:rPr>
        <w:t xml:space="preserve">NRS </w:t>
      </w:r>
      <w:r>
        <w:rPr>
          <w:rFonts w:hint="eastAsia" w:ascii="Times New Roman" w:hAnsi="Times New Roman" w:eastAsia="宋体" w:cs="Times New Roman"/>
          <w:sz w:val="24"/>
          <w:szCs w:val="24"/>
        </w:rPr>
        <w:t>scale and scores were recorded.</w:t>
      </w:r>
    </w:p>
    <w:p w14:paraId="418A73E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7</w:t>
      </w:r>
      <w:r>
        <w:rPr>
          <w:rFonts w:hint="eastAsia" w:ascii="Times New Roman" w:hAnsi="Times New Roman" w:eastAsia="宋体" w:cs="Times New Roman"/>
          <w:sz w:val="24"/>
          <w:szCs w:val="24"/>
        </w:rPr>
        <w:t>) Post-operative hospitalization days</w:t>
      </w:r>
    </w:p>
    <w:p w14:paraId="3EC478A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MONITORING METHODS: The number of days from the day of the patient's discharge to the day of surgery was calculated and recorded.</w:t>
      </w:r>
    </w:p>
    <w:p w14:paraId="677BF19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8</w:t>
      </w:r>
      <w:r>
        <w:rPr>
          <w:rFonts w:hint="eastAsia" w:ascii="Times New Roman" w:hAnsi="Times New Roman" w:eastAsia="宋体" w:cs="Times New Roman"/>
          <w:sz w:val="24"/>
          <w:szCs w:val="24"/>
        </w:rPr>
        <w:t>) Inflammation indicators: Hs-CRP, IL-6</w:t>
      </w:r>
    </w:p>
    <w:p w14:paraId="188597C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Observation time points: 1 hour postoperatively, </w:t>
      </w:r>
      <w:r>
        <w:rPr>
          <w:rFonts w:ascii="Times New Roman" w:hAnsi="Times New Roman" w:eastAsia="宋体" w:cs="Times New Roman"/>
          <w:sz w:val="24"/>
          <w:szCs w:val="24"/>
        </w:rPr>
        <w:t xml:space="preserve">12 </w:t>
      </w:r>
      <w:r>
        <w:rPr>
          <w:rFonts w:hint="eastAsia" w:ascii="Times New Roman" w:hAnsi="Times New Roman" w:eastAsia="宋体" w:cs="Times New Roman"/>
          <w:sz w:val="24"/>
          <w:szCs w:val="24"/>
        </w:rPr>
        <w:t xml:space="preserve">hours postoperatively, and </w:t>
      </w:r>
      <w:r>
        <w:rPr>
          <w:rFonts w:ascii="Times New Roman" w:hAnsi="Times New Roman" w:eastAsia="宋体" w:cs="Times New Roman"/>
          <w:sz w:val="24"/>
          <w:szCs w:val="24"/>
        </w:rPr>
        <w:t xml:space="preserve">72 </w:t>
      </w:r>
      <w:r>
        <w:rPr>
          <w:rFonts w:hint="eastAsia" w:ascii="Times New Roman" w:hAnsi="Times New Roman" w:eastAsia="宋体" w:cs="Times New Roman"/>
          <w:sz w:val="24"/>
          <w:szCs w:val="24"/>
        </w:rPr>
        <w:t>hours postoperatively.</w:t>
      </w:r>
    </w:p>
    <w:p w14:paraId="12BC986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Detection method: CRP was determined by immunoturbidimetric assay.</w:t>
      </w:r>
    </w:p>
    <w:p w14:paraId="413C6A2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9</w:t>
      </w:r>
      <w:r>
        <w:rPr>
          <w:rFonts w:hint="eastAsia" w:ascii="Times New Roman" w:hAnsi="Times New Roman" w:eastAsia="宋体" w:cs="Times New Roman"/>
          <w:sz w:val="24"/>
          <w:szCs w:val="24"/>
        </w:rPr>
        <w:t>) Nutritional status</w:t>
      </w:r>
    </w:p>
    <w:p w14:paraId="4DD563A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Observation time points: preoperative and discharge were tested separately.</w:t>
      </w:r>
    </w:p>
    <w:p w14:paraId="39473C4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Detection method: Bisulfite urea assay.</w:t>
      </w:r>
    </w:p>
    <w:p w14:paraId="6DA42F0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10</w:t>
      </w:r>
      <w:r>
        <w:rPr>
          <w:rFonts w:hint="eastAsia" w:ascii="Times New Roman" w:hAnsi="Times New Roman" w:eastAsia="宋体" w:cs="Times New Roman"/>
          <w:sz w:val="24"/>
          <w:szCs w:val="24"/>
        </w:rPr>
        <w:t>) Acupuncture Expectations</w:t>
      </w:r>
    </w:p>
    <w:p w14:paraId="0B0DB00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Point of observation: preoperative testing.</w:t>
      </w:r>
    </w:p>
    <w:p w14:paraId="7922D2C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Test method: Acupuncture Expectancy Questionnaire</w:t>
      </w:r>
    </w:p>
    <w:p w14:paraId="0C0A03A5">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val="en-US" w:eastAsia="zh-CN"/>
        </w:rPr>
        <w:t>7.</w:t>
      </w:r>
      <w:r>
        <w:rPr>
          <w:rFonts w:ascii="Times New Roman" w:hAnsi="Times New Roman" w:eastAsia="宋体" w:cs="Times New Roman"/>
          <w:b w:val="0"/>
          <w:bCs/>
          <w:sz w:val="24"/>
          <w:szCs w:val="24"/>
        </w:rPr>
        <w:t>3</w:t>
      </w:r>
      <w:r>
        <w:rPr>
          <w:rFonts w:hint="eastAsia" w:ascii="Times New Roman" w:hAnsi="Times New Roman" w:eastAsia="宋体" w:cs="Times New Roman"/>
          <w:b w:val="0"/>
          <w:bCs/>
          <w:sz w:val="24"/>
          <w:szCs w:val="24"/>
          <w:lang w:val="en-US" w:eastAsia="zh-CN"/>
        </w:rPr>
        <w:t xml:space="preserve"> </w:t>
      </w:r>
      <w:r>
        <w:rPr>
          <w:rFonts w:ascii="Times New Roman" w:hAnsi="Times New Roman" w:eastAsia="宋体" w:cs="Times New Roman"/>
          <w:b w:val="0"/>
          <w:bCs/>
          <w:sz w:val="24"/>
          <w:szCs w:val="24"/>
        </w:rPr>
        <w:t>Security indicators</w:t>
      </w:r>
    </w:p>
    <w:p w14:paraId="4566F1F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 Liver and kidney function (ALB, ALT; Cr, BUN)</w:t>
      </w:r>
    </w:p>
    <w:p w14:paraId="2DE35FE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 Blood count (WBC, RBC, HGB, PLT)</w:t>
      </w:r>
    </w:p>
    <w:p w14:paraId="679CC2C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Urine and stool routine</w:t>
      </w:r>
    </w:p>
    <w:p w14:paraId="32ED092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 Electrocardiogram</w:t>
      </w:r>
    </w:p>
    <w:p w14:paraId="48C0597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 Adverse events</w:t>
      </w:r>
    </w:p>
    <w:p w14:paraId="4079953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(6) Physical Examination</w:t>
      </w:r>
    </w:p>
    <w:p w14:paraId="3F61A1FD">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(7) Vital signs</w:t>
      </w:r>
    </w:p>
    <w:p w14:paraId="66211445">
      <w:pPr>
        <w:pStyle w:val="2"/>
        <w:numPr>
          <w:ilvl w:val="0"/>
          <w:numId w:val="0"/>
        </w:numPr>
        <w:spacing w:beforeAutospacing="0" w:afterAutospacing="0"/>
        <w:ind w:leftChars="0"/>
        <w:rPr>
          <w:rFonts w:hint="eastAsia" w:ascii="Times New Roman" w:hAnsi="Times New Roman" w:eastAsia="宋体" w:cs="Times New Roman"/>
          <w:sz w:val="24"/>
          <w:szCs w:val="24"/>
        </w:rPr>
      </w:pPr>
      <w:r>
        <w:rPr>
          <w:rFonts w:hint="eastAsia" w:cs="Times New Roman"/>
          <w:sz w:val="24"/>
          <w:szCs w:val="24"/>
          <w:lang w:val="en-US" w:eastAsia="zh-CN"/>
        </w:rPr>
        <w:t xml:space="preserve">8 </w:t>
      </w:r>
      <w:r>
        <w:rPr>
          <w:rFonts w:hint="eastAsia" w:ascii="Times New Roman" w:hAnsi="Times New Roman" w:eastAsia="宋体" w:cs="Times New Roman"/>
          <w:sz w:val="24"/>
          <w:szCs w:val="24"/>
          <w:lang w:val="en-US" w:eastAsia="zh-CN"/>
        </w:rPr>
        <w:t>Biological Sample Collection</w:t>
      </w:r>
    </w:p>
    <w:p w14:paraId="38E64419">
      <w:pPr>
        <w:pStyle w:val="3"/>
        <w:numPr>
          <w:ilvl w:val="0"/>
          <w:numId w:val="0"/>
        </w:numPr>
        <w:spacing w:before="0" w:after="0" w:line="240" w:lineRule="auto"/>
        <w:rPr>
          <w:rFonts w:hint="eastAsia" w:ascii="Times New Roman" w:hAnsi="Times New Roman" w:eastAsia="宋体" w:cs="Times New Roman"/>
          <w:b/>
          <w:bCs w:val="0"/>
          <w:sz w:val="24"/>
          <w:szCs w:val="24"/>
        </w:rPr>
      </w:pPr>
      <w:r>
        <w:rPr>
          <w:rFonts w:hint="eastAsia" w:ascii="Times New Roman" w:hAnsi="Times New Roman" w:eastAsia="宋体" w:cs="Times New Roman"/>
          <w:b/>
          <w:bCs w:val="0"/>
          <w:sz w:val="24"/>
          <w:szCs w:val="24"/>
          <w:lang w:val="en-US" w:eastAsia="zh-CN"/>
        </w:rPr>
        <w:t xml:space="preserve">8.1 </w:t>
      </w:r>
      <w:r>
        <w:rPr>
          <w:rFonts w:hint="eastAsia" w:ascii="Times New Roman" w:hAnsi="Times New Roman" w:eastAsia="宋体" w:cs="Times New Roman"/>
          <w:b/>
          <w:bCs w:val="0"/>
          <w:sz w:val="24"/>
          <w:szCs w:val="24"/>
        </w:rPr>
        <w:t>sampling process</w:t>
      </w:r>
    </w:p>
    <w:p w14:paraId="437CFC46">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Medical supplies for blood sampling must be products that comply with the GB15980-1995 standard. Sampling personnel shall check the name, gender and random number of the person being sampled.</w:t>
      </w:r>
    </w:p>
    <w:p w14:paraId="2412E654">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Sampling time points were preoperative and at discharge.</w:t>
      </w:r>
    </w:p>
    <w:p w14:paraId="05DF7E47">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 xml:space="preserve">Prior to collecting the samples, all subjects were first given an explanation of the experiment, briefly explaining the purpose of the samples to each subject. The importance of asepsis in this experiment was also emphasized. </w:t>
      </w:r>
      <w:r>
        <w:rPr>
          <w:rFonts w:hint="eastAsia" w:ascii="Times New Roman" w:hAnsi="Times New Roman" w:eastAsia="宋体" w:cs="Times New Roman"/>
          <w:sz w:val="24"/>
          <w:szCs w:val="24"/>
          <w:lang w:val="en-US" w:eastAsia="zh-CN"/>
        </w:rPr>
        <w:t xml:space="preserve">5-10 </w:t>
      </w:r>
      <w:r>
        <w:rPr>
          <w:rFonts w:hint="eastAsia" w:ascii="Times New Roman" w:hAnsi="Times New Roman" w:eastAsia="宋体" w:cs="Times New Roman"/>
          <w:sz w:val="24"/>
          <w:szCs w:val="24"/>
        </w:rPr>
        <w:t>ml of venous blood was collected in EDTA anticoagulated tubes, gently turned several times to mix, and stored in a freezer box in a refrigerator at -80 degrees Celsius within 1 hour</w:t>
      </w:r>
      <w:r>
        <w:rPr>
          <w:rFonts w:hint="eastAsia" w:ascii="Times New Roman" w:hAnsi="Times New Roman" w:eastAsia="宋体" w:cs="Times New Roman"/>
          <w:sz w:val="24"/>
          <w:szCs w:val="24"/>
          <w:lang w:eastAsia="zh-CN"/>
        </w:rPr>
        <w:t xml:space="preserve">, with </w:t>
      </w:r>
      <w:r>
        <w:rPr>
          <w:rFonts w:hint="eastAsia" w:ascii="Times New Roman" w:hAnsi="Times New Roman" w:eastAsia="宋体" w:cs="Times New Roman"/>
          <w:sz w:val="24"/>
          <w:szCs w:val="24"/>
        </w:rPr>
        <w:t>the wall of the tube labeled with the patient's hospitalization number and the time point of collection for storage.</w:t>
      </w:r>
    </w:p>
    <w:p w14:paraId="3462CDB7">
      <w:pPr>
        <w:pStyle w:val="3"/>
        <w:spacing w:before="0" w:after="0" w:line="240" w:lineRule="auto"/>
        <w:rPr>
          <w:rFonts w:hint="eastAsia" w:ascii="Times New Roman" w:hAnsi="Times New Roman" w:eastAsia="宋体" w:cs="Times New Roman"/>
          <w:b/>
          <w:bCs w:val="0"/>
          <w:sz w:val="24"/>
          <w:szCs w:val="24"/>
        </w:rPr>
      </w:pPr>
      <w:r>
        <w:rPr>
          <w:rFonts w:hint="eastAsia" w:ascii="Times New Roman" w:hAnsi="Times New Roman" w:eastAsia="宋体" w:cs="Times New Roman"/>
          <w:b/>
          <w:bCs w:val="0"/>
          <w:sz w:val="24"/>
          <w:szCs w:val="24"/>
          <w:lang w:val="en-US" w:eastAsia="zh-CN"/>
        </w:rPr>
        <w:t xml:space="preserve">8.2 </w:t>
      </w:r>
      <w:r>
        <w:rPr>
          <w:rFonts w:hint="eastAsia" w:ascii="Times New Roman" w:hAnsi="Times New Roman" w:eastAsia="宋体" w:cs="Times New Roman"/>
          <w:b/>
          <w:bCs w:val="0"/>
          <w:sz w:val="24"/>
          <w:szCs w:val="24"/>
        </w:rPr>
        <w:t>Sample preservation</w:t>
      </w:r>
    </w:p>
    <w:p w14:paraId="360F8FED">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After the patient code has been written, place the frozen tube containing the blood sample in the freezer box, while labeling the subject name, the name of the responsible person, and the date in a conspicuous place. Place in a -80°C refrigerator for storage. When testing the patient's biological samples, it is necessary to remove the samples from the -80℃ refrigerator in the shortest possible time to prevent repeated freezing and thawing from affecting the test results.</w:t>
      </w:r>
    </w:p>
    <w:p w14:paraId="3FF87C6E">
      <w:pPr>
        <w:pStyle w:val="3"/>
        <w:spacing w:before="0" w:after="0" w:line="240" w:lineRule="auto"/>
        <w:rPr>
          <w:rFonts w:hint="eastAsia" w:ascii="Times New Roman" w:hAnsi="Times New Roman" w:eastAsia="宋体" w:cs="Times New Roman"/>
          <w:b/>
          <w:bCs w:val="0"/>
          <w:sz w:val="24"/>
          <w:szCs w:val="24"/>
        </w:rPr>
      </w:pPr>
      <w:r>
        <w:rPr>
          <w:rFonts w:hint="eastAsia" w:ascii="Times New Roman" w:hAnsi="Times New Roman" w:eastAsia="宋体" w:cs="Times New Roman"/>
          <w:b/>
          <w:bCs w:val="0"/>
          <w:sz w:val="24"/>
          <w:szCs w:val="24"/>
          <w:lang w:val="en-US" w:eastAsia="zh-CN"/>
        </w:rPr>
        <w:t xml:space="preserve">8.3 </w:t>
      </w:r>
      <w:r>
        <w:rPr>
          <w:rFonts w:hint="eastAsia" w:ascii="Times New Roman" w:hAnsi="Times New Roman" w:eastAsia="宋体" w:cs="Times New Roman"/>
          <w:b/>
          <w:bCs w:val="0"/>
          <w:sz w:val="24"/>
          <w:szCs w:val="24"/>
        </w:rPr>
        <w:t>Sample transportation</w:t>
      </w:r>
    </w:p>
    <w:p w14:paraId="6C5CB3E3">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In order to ensure the accuracy of the plasma sample test results and to reduce the testing errors caused by freezing and thawing of the samples, it is required that the plasma samples be transported to the General Subjects Unit via the cold chain.</w:t>
      </w:r>
    </w:p>
    <w:p w14:paraId="0B5E4639">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 Items required for cold chain transportation</w:t>
      </w:r>
    </w:p>
    <w:p w14:paraId="2FD70D73">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Sealed insulated box, dry ice, tape, sample detail sheet, sample collection card.</w:t>
      </w:r>
    </w:p>
    <w:p w14:paraId="2CA8ECC2">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 Transportation process</w:t>
      </w:r>
    </w:p>
    <w:p w14:paraId="4D1F0856">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When transporting samples, place the samples in insulated dry ice containers and seal them with tape to minimize contact between the dry ice and the outside world, and ensure that the temperature in the containers is up to standard, and that the transportation process is kept to a minimum to avoid evaporation of the dry ice in the containers.</w:t>
      </w:r>
    </w:p>
    <w:p w14:paraId="3DEB8E03">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 Sample handover</w:t>
      </w:r>
    </w:p>
    <w:p w14:paraId="360C3A32">
      <w:pPr>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When handing over the samples, compare the number of samples in the sample detail list with the number of samples in the freezing box, and check whether the sample coding information is the same, fill in the plasma sample handover sheet, the specific time of handover, and the signature of both handover persons.</w:t>
      </w:r>
    </w:p>
    <w:p w14:paraId="0AB27438">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9 </w:t>
      </w:r>
      <w:r>
        <w:rPr>
          <w:rFonts w:hint="default"/>
          <w:sz w:val="24"/>
          <w:szCs w:val="24"/>
        </w:rPr>
        <w:t>Efficacy evaluation criteria</w:t>
      </w:r>
    </w:p>
    <w:p w14:paraId="4399B28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The main efficacy evaluation criterion was whether the recovery time of bowel sounds of the patients was better than that of the postoperative sham electroacupuncture group and better than that of the conventional treatment group.</w:t>
      </w:r>
    </w:p>
    <w:p w14:paraId="79F549C8">
      <w:pPr>
        <w:pStyle w:val="2"/>
        <w:numPr>
          <w:ilvl w:val="0"/>
          <w:numId w:val="0"/>
        </w:numPr>
        <w:spacing w:beforeAutospacing="0" w:afterAutospacing="0"/>
        <w:ind w:leftChars="0"/>
        <w:rPr>
          <w:rFonts w:hint="default"/>
          <w:sz w:val="24"/>
          <w:szCs w:val="24"/>
        </w:rPr>
      </w:pPr>
      <w:r>
        <w:rPr>
          <w:rFonts w:hint="eastAsia"/>
          <w:sz w:val="24"/>
          <w:szCs w:val="24"/>
          <w:lang w:val="en-US" w:eastAsia="zh-CN"/>
        </w:rPr>
        <w:t xml:space="preserve">10 </w:t>
      </w:r>
      <w:r>
        <w:rPr>
          <w:rFonts w:hint="default"/>
          <w:sz w:val="24"/>
          <w:szCs w:val="24"/>
        </w:rPr>
        <w:t>Quality Control and Assurance in Clinical Research</w:t>
      </w:r>
    </w:p>
    <w:p w14:paraId="1FA143DF">
      <w:pPr>
        <w:pStyle w:val="3"/>
        <w:spacing w:before="0" w:after="0" w:line="240" w:lineRule="auto"/>
        <w:rPr>
          <w:sz w:val="24"/>
          <w:szCs w:val="24"/>
        </w:rPr>
      </w:pPr>
      <w:bookmarkStart w:id="15" w:name="_Toc62631204"/>
      <w:r>
        <w:rPr>
          <w:rFonts w:hint="eastAsia" w:ascii="Times New Roman" w:hAnsi="Times New Roman" w:eastAsia="宋体" w:cs="Times New Roman"/>
          <w:b w:val="0"/>
          <w:bCs/>
          <w:sz w:val="24"/>
          <w:szCs w:val="24"/>
          <w:lang w:val="en-US" w:eastAsia="zh-CN"/>
        </w:rPr>
        <w:t>10.</w:t>
      </w:r>
      <w:r>
        <w:rPr>
          <w:rFonts w:ascii="Times New Roman" w:hAnsi="Times New Roman" w:eastAsia="宋体" w:cs="Times New Roman"/>
          <w:b w:val="0"/>
          <w:bCs/>
          <w:sz w:val="24"/>
          <w:szCs w:val="24"/>
        </w:rPr>
        <w:t>1</w:t>
      </w:r>
      <w:r>
        <w:rPr>
          <w:rFonts w:hint="eastAsia" w:ascii="Times New Roman" w:hAnsi="Times New Roman" w:eastAsia="宋体" w:cs="Times New Roman"/>
          <w:b w:val="0"/>
          <w:bCs/>
          <w:sz w:val="24"/>
          <w:szCs w:val="24"/>
          <w:lang w:val="en-US" w:eastAsia="zh-CN"/>
        </w:rPr>
        <w:t xml:space="preserve"> </w:t>
      </w:r>
      <w:r>
        <w:rPr>
          <w:rFonts w:ascii="Times New Roman" w:hAnsi="Times New Roman" w:eastAsia="宋体" w:cs="Times New Roman"/>
          <w:b w:val="0"/>
          <w:bCs/>
          <w:sz w:val="24"/>
          <w:szCs w:val="24"/>
        </w:rPr>
        <w:t>Quality control measures</w:t>
      </w:r>
      <w:bookmarkEnd w:id="15"/>
    </w:p>
    <w:p w14:paraId="248BAA8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 Laboratory quality control measures: Laboratories should conduct tests in accordance with standard operating procedures and quality control procedures, and provide their own "normal value ranges for laboratory tests", which should be supplemented by a timely explanation of any changes in the study.</w:t>
      </w:r>
    </w:p>
    <w:p w14:paraId="319EFDE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 Qualification of investigators participating in clinical research: they must have professional expertise, qualifications and competence in clinical research, determined after qualification, and the personnel requirements are relatively fixed.</w:t>
      </w:r>
    </w:p>
    <w:p w14:paraId="31B7EFB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Training before the start of the clinical study: Focused training on the implementation plan and Standard Operation Procedure (SOP), so that each clinical researcher will be familiar with the research process and specific implementation details, in order to improve the internal consistency of observation and inter-observer consistency of the researchers, and to ensure the reliability of the conclusions of the clinical study. . Through the preclinical study training, the researchers will have a full understanding and awareness of the clinical study protocol and the specific connotations of each index. Consistency testing of quantitative criteria for symptoms and signs. Signed investigator's statement. The description of self-perceived symptoms should be objective and never induced or prompted; the objective indicators specified should be examined at the time points and by the methods specified in the protocol. Adverse reactions or unanticipated toxicities should be observed and followed up.</w:t>
      </w:r>
    </w:p>
    <w:p w14:paraId="02867B5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 Acupuncture protocol standardization and training: Licensed acupuncturists with at least 5 years of acupuncture experience in each unit will undergo standardized training and assessment and pass the acupuncture operation. Acupuncturists will not be involved in any other aspect of treatment. Except for acupuncture, other therapies related to stimulation of acupuncture points, such as acupressure, moxibustion, and transcutaneous electrical nerve stimulation, are not permitted during this trial.</w:t>
      </w:r>
    </w:p>
    <w:p w14:paraId="4F90869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 The standardized portion of the acupuncture intervention protocol was arrived at according to an expert consensus based on the most commonly used and effective acupuncture points in the modern literature and in perioperative acupuncture clinical trials. Acupuncturists were trained in the use of the standardized protocol for reporting adverse events and other trial protocols.</w:t>
      </w:r>
    </w:p>
    <w:p w14:paraId="0F75486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(6) Data management and quality control: Investigators must handle all data obtained in the course of clinical research appropriately to ensure the rights and privacy of patients participating in clinical research. The Investigator must consent to access and review of clinical research data by monitors/auditors/inspectors as required to verify the accuracy of the original data and to understand the progress of the study. If validation of the original records is not possible, the investigator should agree to assist the Supervisor/Auditor/Inspector in further validation of the quality control of the data.</w:t>
      </w:r>
    </w:p>
    <w:p w14:paraId="71AC3EB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(7) Inform subjects of the potential for adverse reactions to needling and the treatment to be taken in the event of an adverse reaction.</w:t>
      </w:r>
    </w:p>
    <w:p w14:paraId="3E13EAFB">
      <w:pPr>
        <w:pStyle w:val="3"/>
        <w:spacing w:before="0" w:after="0" w:line="240" w:lineRule="auto"/>
        <w:rPr>
          <w:rFonts w:ascii="Times New Roman" w:hAnsi="Times New Roman" w:eastAsia="宋体" w:cs="Times New Roman"/>
          <w:b w:val="0"/>
          <w:bCs/>
          <w:sz w:val="24"/>
          <w:szCs w:val="24"/>
        </w:rPr>
      </w:pPr>
      <w:bookmarkStart w:id="16" w:name="_Toc62631205"/>
      <w:r>
        <w:rPr>
          <w:rFonts w:hint="eastAsia" w:ascii="Times New Roman" w:hAnsi="Times New Roman" w:eastAsia="宋体" w:cs="Times New Roman"/>
          <w:b w:val="0"/>
          <w:bCs/>
          <w:sz w:val="24"/>
          <w:szCs w:val="24"/>
          <w:lang w:val="en-US" w:eastAsia="zh-CN"/>
        </w:rPr>
        <w:t>10.</w:t>
      </w:r>
      <w:r>
        <w:rPr>
          <w:rFonts w:ascii="Times New Roman" w:hAnsi="Times New Roman" w:eastAsia="宋体" w:cs="Times New Roman"/>
          <w:b w:val="0"/>
          <w:bCs/>
          <w:sz w:val="24"/>
          <w:szCs w:val="24"/>
        </w:rPr>
        <w:t>2</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Quality assurance measures</w:t>
      </w:r>
      <w:bookmarkEnd w:id="16"/>
    </w:p>
    <w:p w14:paraId="27146C1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 Establishment of a research coordination committee: the principal investigator of the unit in charge of the clinical research is the general responsible for the research coordination committee, and the principal investigators and sponsors are the members of the coordination committee. The coordinating committee is responsible for the implementation of the entire study and the resolution of issues related to the study.</w:t>
      </w:r>
    </w:p>
    <w:p w14:paraId="2379CD1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 Appointment by the sponsor of an experienced monitor who has access to the relevant raw data for this clinical study and who reviews the CRF in accordance with the SOPs for completeness, accuracy, and consistency with the original information.The CRFs, copies of laboratory data, and results of medical tests must be readily available to clinical monitors, auditors, and health authorities. Supervisors are required to review all eCRFs and informed consent. Ensure that the rights and interests of the subjects in the clinical study are safeguarded, that the data recorded and reported in the study are accurate and complete, and that the study is conducted in accordance with the approved protocol, the Code of Practice for the Quality Management of Pharmaceutical Clinical Research, and relevant regulations. Supervisors are either from the sponsor or from a CRO authorized by the sponsor and are required to follow SOPs. Supervisors should make regular visits from the beginning to the end of the study.</w:t>
      </w:r>
    </w:p>
    <w:p w14:paraId="682F8B6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Strictly limiting the study subjects Strictly limiting the inclusion criteria is one of the important methods of controlling bias. Setting up clear inclusion and exclusion criteria, so that the study subjects are strictly limited to a particular range and the differences among them are reduced, is conducive to making objective conclusions about the observed factors.</w:t>
      </w:r>
    </w:p>
    <w:p w14:paraId="43F275D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 This study used separate operating and treatment rooms to ensure that the two groups of patients could not come into contact with each other for communication, and blinded evaluations were used, with evaluators who were unaware of the subgroups evaluating and recording the efficacy and safety indicators.</w:t>
      </w:r>
    </w:p>
    <w:p w14:paraId="6A17211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 Establishment of a third-party data and safety monitoring committee (DSMB/DSMC): consisting of more than three people, professionals, such as clinical experts familiar with the field of the research project, statisticians, ethicists, experts in the field of acupuncture, etc. The DSMB/DSMC was established to ensure that the results of the study were accurate and credible. According to the needs of the research and changes in the research environment, certain adjustments will be made to the research program to ensure that the research obtains accurate, credible and clinically meaningful results.</w:t>
      </w:r>
    </w:p>
    <w:p w14:paraId="6027528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(6) Laboratory quality control measures: Establishment of standard operating procedures and quality control procedures for experimental observation indicators. Laboratory test results must be printed by computer. Data should be traceable.</w:t>
      </w:r>
    </w:p>
    <w:p w14:paraId="0D20A28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(7) Pre-clinical trial training: In order to ensure the smooth progress of the study, the subject group should hold a special clinical training meeting before the official launch of the clinical trial to provide uniform training to the clinical investigators.</w:t>
      </w:r>
    </w:p>
    <w:p w14:paraId="478350B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Focused training on the subject implementation plan and the various Standard Operation Procedures (SOPs) was conducted to familiarize each clinical researcher with the study process and specific implementation details, in order to improve the internal observational consistency and inter-observer consistency of the researchers and to ensure the reliability of the conclusions of the clinical study.</w:t>
      </w:r>
    </w:p>
    <w:p w14:paraId="5300DF2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Signing of the investigator's declaration and establishment of indicator observation and quality control SOPs in the participating hospitals.</w:t>
      </w:r>
    </w:p>
    <w:p w14:paraId="01563C9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(8) Measures to Improve Subject Compliance</w:t>
      </w:r>
    </w:p>
    <w:p w14:paraId="49B90F6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Patient adherence was measured using the number of treatments counting method, by which the subject's adherence was assessed. The formula is as follows:</w:t>
      </w:r>
    </w:p>
    <w:p w14:paraId="4AD13E3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Treatment adherence = number of treatments actually received by the subject/total number of treatments to be received by the subject patient * 100%</w:t>
      </w:r>
    </w:p>
    <w:p w14:paraId="10BE470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Discriminatory criteria will be 80% or more (inclusive) of the number of treatments the subject has received.</w:t>
      </w:r>
    </w:p>
    <w:p w14:paraId="6703BD2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In order to obtain a better adherence, so that the number of cases summarized and analyzed at the end is not less than 80% of the total number of cases entered into the trial, the following measures to improve patient adherence are adopted: adhering to the principle of voluntariness, signing the informed consent form of the patients; improving and maintaining good patient adherence in terms of the quality of medical care, the environment of the clinic, and the cost of medical care to encourage the patients to adhere to the treatment as much as possible in the period of the study; paying attention to the establishment of a good doctor-patient For the included cases, the purpose and necessity of each examination, treatment and review were explained in detail to obtain the patients' consent and cooperation; their contact information was recorded in detail for follow-up visits.</w:t>
      </w:r>
    </w:p>
    <w:p w14:paraId="1ED6E86A">
      <w:pPr>
        <w:pStyle w:val="2"/>
        <w:numPr>
          <w:ilvl w:val="0"/>
          <w:numId w:val="0"/>
        </w:numPr>
        <w:spacing w:beforeAutospacing="0" w:afterAutospacing="0"/>
        <w:ind w:leftChars="0"/>
        <w:rPr>
          <w:rFonts w:hint="default"/>
          <w:sz w:val="24"/>
          <w:szCs w:val="24"/>
        </w:rPr>
      </w:pPr>
      <w:bookmarkStart w:id="17" w:name="_Toc62631206"/>
      <w:bookmarkStart w:id="18" w:name="_Toc523757734"/>
      <w:r>
        <w:rPr>
          <w:rFonts w:hint="eastAsia"/>
          <w:sz w:val="24"/>
          <w:szCs w:val="24"/>
          <w:lang w:val="en-US" w:eastAsia="zh-CN"/>
        </w:rPr>
        <w:t xml:space="preserve">11 </w:t>
      </w:r>
      <w:r>
        <w:rPr>
          <w:rFonts w:hint="default"/>
          <w:sz w:val="24"/>
          <w:szCs w:val="24"/>
        </w:rPr>
        <w:t>data management</w:t>
      </w:r>
      <w:bookmarkEnd w:id="17"/>
      <w:bookmarkEnd w:id="18"/>
    </w:p>
    <w:p w14:paraId="6C236797">
      <w:pPr>
        <w:pStyle w:val="3"/>
        <w:spacing w:before="0" w:after="0" w:line="240" w:lineRule="auto"/>
        <w:rPr>
          <w:rFonts w:ascii="Times New Roman" w:hAnsi="Times New Roman" w:eastAsia="宋体" w:cs="Times New Roman"/>
          <w:b w:val="0"/>
          <w:bCs/>
          <w:sz w:val="24"/>
          <w:szCs w:val="24"/>
        </w:rPr>
      </w:pPr>
      <w:bookmarkStart w:id="19" w:name="_Toc523757735"/>
      <w:bookmarkStart w:id="20" w:name="_Toc62631207"/>
      <w:r>
        <w:rPr>
          <w:rFonts w:hint="eastAsia" w:ascii="Times New Roman" w:hAnsi="Times New Roman" w:eastAsia="宋体" w:cs="Times New Roman"/>
          <w:b w:val="0"/>
          <w:bCs/>
          <w:sz w:val="24"/>
          <w:szCs w:val="24"/>
          <w:lang w:val="en-US" w:eastAsia="zh-CN"/>
        </w:rPr>
        <w:t>11.</w:t>
      </w:r>
      <w:r>
        <w:rPr>
          <w:rFonts w:ascii="Times New Roman" w:hAnsi="Times New Roman" w:eastAsia="宋体" w:cs="Times New Roman"/>
          <w:b w:val="0"/>
          <w:bCs/>
          <w:sz w:val="24"/>
          <w:szCs w:val="24"/>
        </w:rPr>
        <w:t>1</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Recording requirements for the Case Report Form</w:t>
      </w:r>
      <w:bookmarkEnd w:id="19"/>
      <w:bookmarkEnd w:id="20"/>
    </w:p>
    <w:p w14:paraId="3F9526F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 Authenticity: All cases, whether they conform to the study protocol or fall out, should carefully fill in the Case Report Form (CRF) according to the provisions of this protocol. The principal investigator of each clinical research participating unit shall be responsible for the authenticity of the research data of the center.</w:t>
      </w:r>
    </w:p>
    <w:p w14:paraId="38969D2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 Timeliness: the investigator should record data on a paper CRF and complete electronic data management system (EDC) double entry within one week of completion of each visit.</w:t>
      </w:r>
    </w:p>
    <w:p w14:paraId="715AF12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Completeness: all items need to be completed as required, the original laboratory report must be complete and pasted in the Case Report Form (CRF), and the data or description of the recorded laboratory tests should be compared with the original test report . Verify that there is no error, and the supervisor shall be responsible for this.</w:t>
      </w:r>
    </w:p>
    <w:p w14:paraId="2B425AE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 The investigator should verify the data of laboratory tests that are outside the clinically acceptable range, regardless of the pre-treatment and post-treatment period; those that are due to non-study diseases or non-permissible comorbidities should be reviewed in a timely manner, and those that are indeed abnormal should not be enrolled before treatment and should be followed up to normal after treatment.</w:t>
      </w:r>
    </w:p>
    <w:p w14:paraId="5D5B478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 Electronic Case Report Form (ECRF) Completion and Transfer</w:t>
      </w:r>
    </w:p>
    <w:p w14:paraId="63F796D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The data management of this study is the responsibility of the Clinical Research Center of Shanghai Jiao Tong University, in order to ensure the authenticity, integrity, privacy and traceability of the clinical trial data. The data in the electronic case report form (eCRF) are derived from the original medical records and are filled in by the investigator or the investigator's designee, who is required to ensure the completeness and accuracy of the information. If there is any error that needs to be corrected, the modification should be standardized in accordance with the instructions for filling out the eCRF. eCRF system will automatically record the name of the person who modifies the data and the date of modification. eCRF should be submitted to the eCRF system in a timely manner via the Internet after filling out the eCRF, and the data in the eCRF system are confirmed to be unquestionable by the SDV, DM audit, and questioning, etc., and the investigator needs to carry out an electronic signature confirmation.</w:t>
      </w:r>
    </w:p>
    <w:p w14:paraId="2C7B01A0">
      <w:pPr>
        <w:pStyle w:val="3"/>
        <w:spacing w:before="0" w:after="0" w:line="240" w:lineRule="auto"/>
        <w:rPr>
          <w:rFonts w:ascii="Times New Roman" w:hAnsi="Times New Roman" w:eastAsia="宋体" w:cs="Times New Roman"/>
          <w:b w:val="0"/>
          <w:bCs/>
          <w:sz w:val="24"/>
          <w:szCs w:val="24"/>
        </w:rPr>
      </w:pPr>
      <w:bookmarkStart w:id="21" w:name="_Toc62631208"/>
      <w:bookmarkStart w:id="22" w:name="_Toc523757736"/>
      <w:r>
        <w:rPr>
          <w:rFonts w:hint="eastAsia" w:ascii="Times New Roman" w:hAnsi="Times New Roman" w:eastAsia="宋体" w:cs="Times New Roman"/>
          <w:b w:val="0"/>
          <w:bCs/>
          <w:sz w:val="24"/>
          <w:szCs w:val="24"/>
          <w:lang w:val="en-US" w:eastAsia="zh-CN"/>
        </w:rPr>
        <w:t>11.</w:t>
      </w:r>
      <w:r>
        <w:rPr>
          <w:rFonts w:ascii="Times New Roman" w:hAnsi="Times New Roman" w:eastAsia="宋体" w:cs="Times New Roman"/>
          <w:b w:val="0"/>
          <w:bCs/>
          <w:sz w:val="24"/>
          <w:szCs w:val="24"/>
        </w:rPr>
        <w:t>2</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Database creation and data verification and locking</w:t>
      </w:r>
      <w:bookmarkEnd w:id="21"/>
      <w:bookmarkEnd w:id="22"/>
    </w:p>
    <w:p w14:paraId="3493176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 Establishment of database: The CRIP system data management system is used for data management, and data entry takes the form of secondary entry, and the database completed by two persons independently is verified and corrected item by item to ensure the accuracy of the entered data. The establishment of the database shall comply with the requirements of FDA 21 CFR Part 11. The database should manage data traces such as system login, data entry, modification, or deletion, etc., and the database should be established using CDISC standards as much as possible.</w:t>
      </w:r>
    </w:p>
    <w:p w14:paraId="712D2BC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 Data verification: After the data entry of all cases is completed, the relevant data management personnel will carry out logical verification of the data, and for all verification queries, the data manager should fill in the "Database Verification Query Form", and send the queries to the researcher through the supervisor, who should answer as soon as possible, and the data manager will carry out the modification of the data accordingly, The researcher should answer the question as soon as possible, and the data manager will then modify and confirm the data, and if necessary, issue the question form again. The data manager will review the researcher's answer and close the query if the answer is acceptable. The data manager will also manually verify the entered data to ensure the logic, consistency and accuracy of the data. Before locking the repository the data manager will confirm that all queries have been resolved. Finalize the Data Blind Verification Report.</w:t>
      </w:r>
    </w:p>
    <w:p w14:paraId="6C6059C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Locking of the database: After the data verification session confirms that the database created is correct, the database is locked by the principal investigator, the sponsor, the statistical analyst and the supervisor. In principle, no further changes are allowed to be made to the locked data. Problems identified after data locking can be corrected in the statistical analysis program after confirmation and a written record is kept. After that the database is statistically analyzed by the statisticians according to the requirements of the statistical analysis plan, and the statistical unit provides the statistical analysis report.</w:t>
      </w:r>
    </w:p>
    <w:p w14:paraId="38BEA459">
      <w:pPr>
        <w:pStyle w:val="2"/>
        <w:numPr>
          <w:ilvl w:val="0"/>
          <w:numId w:val="0"/>
        </w:numPr>
        <w:spacing w:beforeAutospacing="0" w:afterAutospacing="0"/>
        <w:ind w:leftChars="0"/>
        <w:rPr>
          <w:rFonts w:hint="default"/>
          <w:sz w:val="24"/>
          <w:szCs w:val="24"/>
        </w:rPr>
      </w:pPr>
      <w:bookmarkStart w:id="23" w:name="_Toc62631210"/>
      <w:r>
        <w:rPr>
          <w:rFonts w:hint="eastAsia" w:cs="宋体"/>
          <w:sz w:val="24"/>
          <w:szCs w:val="24"/>
          <w:lang w:val="en-US" w:eastAsia="zh-CN"/>
        </w:rPr>
        <w:t>12 S</w:t>
      </w:r>
      <w:r>
        <w:rPr>
          <w:rFonts w:cs="宋体"/>
          <w:sz w:val="24"/>
          <w:szCs w:val="24"/>
        </w:rPr>
        <w:t xml:space="preserve">tatistical </w:t>
      </w:r>
      <w:r>
        <w:rPr>
          <w:sz w:val="24"/>
          <w:szCs w:val="24"/>
        </w:rPr>
        <w:t>analysis</w:t>
      </w:r>
    </w:p>
    <w:bookmarkEnd w:id="23"/>
    <w:p w14:paraId="24B94CA2">
      <w:pPr>
        <w:pStyle w:val="3"/>
        <w:spacing w:before="0" w:after="0" w:line="240" w:lineRule="auto"/>
        <w:rPr>
          <w:rFonts w:ascii="Times New Roman" w:hAnsi="Times New Roman" w:eastAsia="宋体" w:cs="Times New Roman"/>
          <w:b w:val="0"/>
          <w:bCs/>
          <w:sz w:val="24"/>
          <w:szCs w:val="24"/>
        </w:rPr>
      </w:pPr>
      <w:bookmarkStart w:id="24" w:name="_Toc62631211"/>
      <w:r>
        <w:rPr>
          <w:rFonts w:hint="eastAsia" w:ascii="Times New Roman" w:hAnsi="Times New Roman" w:eastAsia="宋体" w:cs="Times New Roman"/>
          <w:b w:val="0"/>
          <w:bCs/>
          <w:sz w:val="24"/>
          <w:szCs w:val="24"/>
        </w:rPr>
        <w:t>1</w:t>
      </w:r>
      <w:r>
        <w:rPr>
          <w:rFonts w:hint="eastAsia" w:ascii="Times New Roman" w:hAnsi="Times New Roman" w:eastAsia="宋体" w:cs="Times New Roman"/>
          <w:b w:val="0"/>
          <w:bCs/>
          <w:sz w:val="24"/>
          <w:szCs w:val="24"/>
          <w:lang w:val="en-US" w:eastAsia="zh-CN"/>
        </w:rPr>
        <w:t>2</w:t>
      </w:r>
      <w:r>
        <w:rPr>
          <w:rFonts w:hint="eastAsia" w:ascii="Times New Roman" w:hAnsi="Times New Roman" w:eastAsia="宋体" w:cs="Times New Roman"/>
          <w:b w:val="0"/>
          <w:bCs/>
          <w:sz w:val="24"/>
          <w:szCs w:val="24"/>
        </w:rPr>
        <w:t>.</w:t>
      </w:r>
      <w:r>
        <w:rPr>
          <w:rFonts w:hint="eastAsia" w:ascii="Times New Roman" w:hAnsi="Times New Roman" w:eastAsia="宋体" w:cs="Times New Roman"/>
          <w:b w:val="0"/>
          <w:bCs/>
          <w:sz w:val="24"/>
          <w:szCs w:val="24"/>
          <w:lang w:val="en-US" w:eastAsia="zh-CN"/>
        </w:rPr>
        <w:t xml:space="preserve">1 </w:t>
      </w:r>
      <w:r>
        <w:rPr>
          <w:rFonts w:hint="eastAsia" w:ascii="Times New Roman" w:hAnsi="Times New Roman" w:eastAsia="宋体" w:cs="Times New Roman"/>
          <w:b w:val="0"/>
          <w:bCs/>
          <w:sz w:val="24"/>
          <w:szCs w:val="24"/>
        </w:rPr>
        <w:t>Main objectives and test hypotheses</w:t>
      </w:r>
      <w:bookmarkEnd w:id="24"/>
    </w:p>
    <w:p w14:paraId="3000F0B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The purpose of the study was to evaluate the efficacy of the postoperative electroacupuncture group on the recovery of gastrointestinal function after surgery for colorectal cancer, based on the main hypothesis of whether the time to the first exhaustion was better than that of the postoperative sham electroacupuncture group and better than that of the conventional treatment group.</w:t>
      </w:r>
    </w:p>
    <w:p w14:paraId="4D5811B1">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val="en-US" w:eastAsia="zh-CN"/>
        </w:rPr>
        <w:t>1</w:t>
      </w:r>
      <w:r>
        <w:rPr>
          <w:rFonts w:ascii="Times New Roman" w:hAnsi="Times New Roman" w:eastAsia="宋体" w:cs="Times New Roman"/>
          <w:b w:val="0"/>
          <w:bCs/>
          <w:sz w:val="24"/>
          <w:szCs w:val="24"/>
        </w:rPr>
        <w:t>2.</w:t>
      </w:r>
      <w:r>
        <w:rPr>
          <w:rFonts w:hint="eastAsia" w:ascii="Times New Roman" w:hAnsi="Times New Roman" w:eastAsia="宋体" w:cs="Times New Roman"/>
          <w:b w:val="0"/>
          <w:bCs/>
          <w:sz w:val="24"/>
          <w:szCs w:val="24"/>
          <w:lang w:val="en-US" w:eastAsia="zh-CN"/>
        </w:rPr>
        <w:t>2</w:t>
      </w:r>
      <w:r>
        <w:rPr>
          <w:rFonts w:ascii="Times New Roman" w:hAnsi="Times New Roman" w:eastAsia="宋体" w:cs="Times New Roman"/>
          <w:b w:val="0"/>
          <w:bCs/>
          <w:sz w:val="24"/>
          <w:szCs w:val="24"/>
        </w:rPr>
        <w:t xml:space="preserve"> </w:t>
      </w:r>
      <w:r>
        <w:rPr>
          <w:rFonts w:hint="eastAsia" w:ascii="Times New Roman" w:hAnsi="Times New Roman" w:eastAsia="宋体" w:cs="Times New Roman"/>
          <w:b w:val="0"/>
          <w:bCs/>
          <w:sz w:val="24"/>
          <w:szCs w:val="24"/>
        </w:rPr>
        <w:t>Definition of data sets</w:t>
      </w:r>
    </w:p>
    <w:p w14:paraId="62B8195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Efficacy analyses will be performed in the Full Analysis Set (FAS), which will include all randomized subjects, adhering to the principles of Intent to Analyze (ITT). For the primary endpoint, a sensitivity analysis will be performed on the conformity case set (PPS) to assess the robustness of the study conclusions to the population selected for analysis.The PPS is a subset of the FAS and includes all randomized subjects without significant protocol bias. Safety Data Set SS (Safety Analysis Set), actual data from at least one treatment with documented safety indicators.</w:t>
      </w:r>
    </w:p>
    <w:p w14:paraId="5C90C067">
      <w:pPr>
        <w:pStyle w:val="3"/>
        <w:spacing w:before="0" w:after="0" w:line="240" w:lineRule="auto"/>
        <w:rPr>
          <w:rFonts w:ascii="Times New Roman" w:hAnsi="Times New Roman" w:eastAsia="宋体" w:cs="Times New Roman"/>
          <w:b w:val="0"/>
          <w:bCs/>
          <w:sz w:val="24"/>
          <w:szCs w:val="24"/>
        </w:rPr>
      </w:pPr>
      <w:r>
        <w:rPr>
          <w:rFonts w:hint="eastAsia" w:ascii="Times New Roman" w:hAnsi="Times New Roman" w:eastAsia="宋体" w:cs="Times New Roman"/>
          <w:b w:val="0"/>
          <w:bCs/>
          <w:sz w:val="24"/>
          <w:szCs w:val="24"/>
          <w:lang w:val="en-US" w:eastAsia="zh-CN"/>
        </w:rPr>
        <w:t>12.</w:t>
      </w:r>
      <w:r>
        <w:rPr>
          <w:rFonts w:ascii="Times New Roman" w:hAnsi="Times New Roman" w:eastAsia="宋体" w:cs="Times New Roman"/>
          <w:b w:val="0"/>
          <w:bCs/>
          <w:sz w:val="24"/>
          <w:szCs w:val="24"/>
        </w:rPr>
        <w:t>3</w:t>
      </w:r>
      <w:r>
        <w:rPr>
          <w:rFonts w:hint="eastAsia" w:ascii="Times New Roman" w:hAnsi="Times New Roman" w:eastAsia="宋体" w:cs="Times New Roman"/>
          <w:b w:val="0"/>
          <w:bCs/>
          <w:sz w:val="24"/>
          <w:szCs w:val="24"/>
          <w:lang w:val="en-US" w:eastAsia="zh-CN"/>
        </w:rPr>
        <w:t xml:space="preserve"> </w:t>
      </w:r>
      <w:r>
        <w:rPr>
          <w:rFonts w:hint="eastAsia" w:ascii="Times New Roman" w:hAnsi="Times New Roman" w:eastAsia="宋体" w:cs="Times New Roman"/>
          <w:b w:val="0"/>
          <w:bCs/>
          <w:sz w:val="24"/>
          <w:szCs w:val="24"/>
        </w:rPr>
        <w:t>Content and methods of statistical analysis</w:t>
      </w:r>
    </w:p>
    <w:p w14:paraId="36E9379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 General principles</w:t>
      </w:r>
    </w:p>
    <w:p w14:paraId="03C57A1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All statistical tests were two-sided, and </w:t>
      </w:r>
      <w:r>
        <w:rPr>
          <w:rFonts w:hint="eastAsia" w:ascii="Times New Roman" w:hAnsi="Times New Roman" w:eastAsia="宋体" w:cs="Times New Roman"/>
          <w:i/>
          <w:iCs/>
          <w:sz w:val="24"/>
          <w:szCs w:val="24"/>
        </w:rPr>
        <w:t xml:space="preserve">P </w:t>
      </w:r>
      <w:r>
        <w:rPr>
          <w:rFonts w:hint="eastAsia" w:ascii="Times New Roman" w:hAnsi="Times New Roman" w:eastAsia="宋体" w:cs="Times New Roman"/>
          <w:sz w:val="24"/>
          <w:szCs w:val="24"/>
        </w:rPr>
        <w:t>&lt; 0.05 would be considered statistically significant for the differences tested (unless otherwise stated). Measurement data were described using mean, standard deviation, median, minimum and maximum values according to their statistical distribution. Count data were described using rates or component ratios.</w:t>
      </w:r>
    </w:p>
    <w:p w14:paraId="4DE59E5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 Analysis of baseline characteristics and outcome indicators</w:t>
      </w:r>
    </w:p>
    <w:p w14:paraId="6614E06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Statistical descriptions of the patients' general, medical, and therapeutic histories, as well as other medical histories, were performed. According to the numerical characteristics of the variables, measures that were normally distributed and had chi-square variance were analyzed by analysis of variance (ANOVA) in a randomized block group design, and those that were non-normal or chi-square variance were compared by Friedman's rank-sum test; and baseline comparisons between the two groups were made by using chi-square test to compare the count data such as gender, ethnicity, past history, and family history.</w:t>
      </w:r>
    </w:p>
    <w:p w14:paraId="534475A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Upon completion of the trial, the number of enrolled and completed cases will be summarized, and the two groups will be compared using a chi-square test for the total rate of dislodgement (including discontinued cases) and the rate of dislodgement due to adverse events. A list of dislodged cases will be made.</w:t>
      </w:r>
    </w:p>
    <w:p w14:paraId="1776D7B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 Subgroup analysis</w:t>
      </w:r>
    </w:p>
    <w:p w14:paraId="465B3E1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Subgroup analyses were performed for different surgical procedures (laparoscopic and </w:t>
      </w:r>
      <w:r>
        <w:rPr>
          <w:rFonts w:hint="eastAsia" w:ascii="Times New Roman" w:hAnsi="Times New Roman" w:eastAsia="宋体" w:cs="Times New Roman"/>
          <w:sz w:val="24"/>
          <w:szCs w:val="24"/>
          <w:lang w:val="en-US" w:eastAsia="zh-CN"/>
        </w:rPr>
        <w:t>open</w:t>
      </w:r>
      <w:r>
        <w:rPr>
          <w:rFonts w:hint="eastAsia" w:ascii="Times New Roman" w:hAnsi="Times New Roman" w:eastAsia="宋体" w:cs="Times New Roman"/>
          <w:sz w:val="24"/>
          <w:szCs w:val="24"/>
        </w:rPr>
        <w:t>) and age groups (</w:t>
      </w:r>
      <w:r>
        <w:rPr>
          <w:rFonts w:ascii="Times New Roman" w:hAnsi="Times New Roman" w:eastAsia="宋体" w:cs="Times New Roman"/>
          <w:sz w:val="24"/>
          <w:szCs w:val="24"/>
        </w:rPr>
        <w:t xml:space="preserve">18-64 </w:t>
      </w:r>
      <w:r>
        <w:rPr>
          <w:rFonts w:hint="eastAsia" w:ascii="Times New Roman" w:hAnsi="Times New Roman" w:eastAsia="宋体" w:cs="Times New Roman"/>
          <w:sz w:val="24"/>
          <w:szCs w:val="24"/>
        </w:rPr>
        <w:t xml:space="preserve">and </w:t>
      </w:r>
      <w:r>
        <w:rPr>
          <w:rFonts w:ascii="Times New Roman" w:hAnsi="Times New Roman" w:eastAsia="宋体" w:cs="Times New Roman"/>
          <w:sz w:val="24"/>
          <w:szCs w:val="24"/>
        </w:rPr>
        <w:t xml:space="preserve">65-79 </w:t>
      </w:r>
      <w:r>
        <w:rPr>
          <w:rFonts w:hint="eastAsia" w:ascii="Times New Roman" w:hAnsi="Times New Roman" w:eastAsia="宋体" w:cs="Times New Roman"/>
          <w:sz w:val="24"/>
          <w:szCs w:val="24"/>
        </w:rPr>
        <w:t>years) and for the presence of a history of abdominal surgery.</w:t>
      </w:r>
    </w:p>
    <w:p w14:paraId="695C81E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 Multi-factor analysis</w:t>
      </w:r>
    </w:p>
    <w:p w14:paraId="6827E52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The dependent variable was measured information, which was analyzed using multiple linear regression; the dependent variable was categorical information, including dichotomous, unordered multicategorical, and ordered multicategorical information, which was analyzed using logistic regression models.</w:t>
      </w:r>
    </w:p>
    <w:p w14:paraId="37E6544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4</w:t>
      </w:r>
      <w:r>
        <w:rPr>
          <w:rFonts w:hint="eastAsia" w:ascii="Times New Roman" w:hAnsi="Times New Roman" w:eastAsia="宋体" w:cs="Times New Roman"/>
          <w:sz w:val="24"/>
          <w:szCs w:val="24"/>
        </w:rPr>
        <w:t>) Security analysis</w:t>
      </w:r>
    </w:p>
    <w:p w14:paraId="537B4F3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Describe and test for between-group differences in safety assessment indicators related to acupuncture. To describe the changes in normal/abnormal laboratory test results before and after the test and the relationship to acupuncture treatment when abnormal changes occur.</w:t>
      </w:r>
    </w:p>
    <w:p w14:paraId="50D3E0B3">
      <w:pPr>
        <w:pStyle w:val="2"/>
        <w:spacing w:beforeAutospacing="0" w:afterAutospacing="0"/>
        <w:rPr>
          <w:rFonts w:hint="default"/>
          <w:sz w:val="24"/>
          <w:szCs w:val="24"/>
        </w:rPr>
      </w:pPr>
      <w:r>
        <w:rPr>
          <w:rFonts w:hint="eastAsia"/>
          <w:sz w:val="24"/>
          <w:szCs w:val="24"/>
          <w:lang w:val="en-US" w:eastAsia="zh-CN"/>
        </w:rPr>
        <w:t xml:space="preserve">13 </w:t>
      </w:r>
      <w:r>
        <w:rPr>
          <w:sz w:val="24"/>
          <w:szCs w:val="24"/>
        </w:rPr>
        <w:t>Clinical Research Flowchart</w:t>
      </w:r>
    </w:p>
    <w:p w14:paraId="4AAE09FB">
      <w:pPr>
        <w:rPr>
          <w:sz w:val="24"/>
          <w:szCs w:val="24"/>
        </w:rPr>
      </w:pPr>
    </w:p>
    <w:p w14:paraId="1644D01D">
      <w:pPr>
        <w:rPr>
          <w:rFonts w:hint="eastAsia" w:eastAsiaTheme="minorEastAsia"/>
          <w:sz w:val="24"/>
          <w:szCs w:val="24"/>
          <w:lang w:eastAsia="zh-CN"/>
        </w:rPr>
        <w:sectPr>
          <w:pgSz w:w="11906" w:h="16838"/>
          <w:pgMar w:top="1440" w:right="1800" w:bottom="1440" w:left="1800" w:header="851" w:footer="992" w:gutter="0"/>
          <w:cols w:space="425" w:num="1"/>
          <w:docGrid w:type="lines" w:linePitch="312" w:charSpace="0"/>
        </w:sectPr>
      </w:pPr>
    </w:p>
    <w:p w14:paraId="48AD957B">
      <w:pPr>
        <w:jc w:val="center"/>
        <w:rPr>
          <w:sz w:val="24"/>
          <w:szCs w:val="24"/>
        </w:rPr>
        <w:sectPr>
          <w:pgSz w:w="16838" w:h="11906" w:orient="landscape"/>
          <w:pgMar w:top="1800" w:right="1440" w:bottom="1800" w:left="1440" w:header="851" w:footer="992" w:gutter="0"/>
          <w:cols w:space="425" w:num="1"/>
          <w:docGrid w:type="lines" w:linePitch="312" w:charSpace="0"/>
        </w:sectPr>
      </w:pPr>
      <w:r>
        <w:rPr>
          <w:rFonts w:hint="eastAsia" w:eastAsiaTheme="minorEastAsia"/>
          <w:sz w:val="24"/>
          <w:szCs w:val="24"/>
          <w:lang w:eastAsia="zh-CN"/>
        </w:rPr>
        <w:drawing>
          <wp:inline distT="0" distB="0" distL="114300" distR="114300">
            <wp:extent cx="8110220" cy="5902960"/>
            <wp:effectExtent l="0" t="0" r="12700" b="10160"/>
            <wp:docPr id="8" name="图片 8" descr="SPIRIT-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PIRIT-Fig 1"/>
                    <pic:cNvPicPr>
                      <a:picLocks noChangeAspect="1"/>
                    </pic:cNvPicPr>
                  </pic:nvPicPr>
                  <pic:blipFill>
                    <a:blip r:embed="rId6"/>
                    <a:stretch>
                      <a:fillRect/>
                    </a:stretch>
                  </pic:blipFill>
                  <pic:spPr>
                    <a:xfrm>
                      <a:off x="0" y="0"/>
                      <a:ext cx="8110220" cy="5902960"/>
                    </a:xfrm>
                    <a:prstGeom prst="rect">
                      <a:avLst/>
                    </a:prstGeom>
                  </pic:spPr>
                </pic:pic>
              </a:graphicData>
            </a:graphic>
          </wp:inline>
        </w:drawing>
      </w:r>
    </w:p>
    <w:p w14:paraId="01868088">
      <w:pPr>
        <w:pStyle w:val="2"/>
        <w:spacing w:beforeAutospacing="0" w:afterAutospacing="0"/>
        <w:rPr>
          <w:rFonts w:hint="default"/>
          <w:sz w:val="24"/>
          <w:szCs w:val="24"/>
        </w:rPr>
      </w:pPr>
      <w:r>
        <w:rPr>
          <w:rFonts w:hint="eastAsia"/>
          <w:sz w:val="24"/>
          <w:szCs w:val="24"/>
          <w:lang w:val="en-US" w:eastAsia="zh-CN"/>
        </w:rPr>
        <w:t xml:space="preserve">14 </w:t>
      </w:r>
      <w:r>
        <w:rPr>
          <w:rFonts w:hint="default"/>
          <w:sz w:val="24"/>
          <w:szCs w:val="24"/>
        </w:rPr>
        <w:t>References</w:t>
      </w:r>
    </w:p>
    <w:p w14:paraId="3569256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 Sibbern T, Bull Sellevold V, Steindal SA, et al. Patients' Experiences of Enhanced Recovery after Surgery: a systematic review of qualitative studies [J]. J Clin Nurs. 2017, 26 (9-10): 1172-1188.</w:t>
      </w:r>
    </w:p>
    <w:p w14:paraId="03D9318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 Gustafsson UO, Scott MJ, Schwenk W, et al. Guidelines for perioperative care in elective colonic surgery: Enhanced Recovery After Surgery (ERAS) Society recommendations [J]. World J Surg. 2013, 37: 259.</w:t>
      </w:r>
    </w:p>
    <w:p w14:paraId="0895BD9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 Davis JL, Ripley RT. Postgastrectomy Syndromes and Nutritional Considerations Following Gastric Surgery [J]. Surg Clin North Am. 2017, 97(2): 277-293.</w:t>
      </w:r>
    </w:p>
    <w:p w14:paraId="3612D93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 Bharadwaj S, Tandon P, Rivas JM, et al. Update on the management of intestinal failure [J]. Cleve Clin J Med. 2016, 83(11): 841-848.</w:t>
      </w:r>
    </w:p>
    <w:p w14:paraId="2FA7D4F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 Ang D, Fock KM, Law NM, et al. Current status of functional gastrointestinal evaluation in clinical practice [J]. Singapore Med J. 2015, 56(2): 69-79.</w:t>
      </w:r>
    </w:p>
    <w:p w14:paraId="3945ED8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 Luckry A, Livingston E, Tache Y. Mechanisms and treatment of postoperative ileus [J]. Arch Surg. 2003 Feb;138(2):206-14.</w:t>
      </w:r>
    </w:p>
    <w:p w14:paraId="319EFF06">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[7] H. Kehlet. fast-track colorectal surgery [J]. Lancet. 2008 Mar 8;371(9615):791-3.</w:t>
      </w:r>
    </w:p>
    <w:p w14:paraId="685FD5F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[8] Venara A, Neunlist M, Slim K, Barbieux J, Colas PA, Hamy A, Meurette G. Postoperative ileus: pathophysiology, incidence, and prevention. J Visc Surg 2016;153(6):439-46.</w:t>
      </w:r>
    </w:p>
    <w:p w14:paraId="3FADF48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[9] PAN Hui, LI Jia, ZHAO Yu, et al. Effects of electroacupuncture on gastrointestinal dysfunction after open heart surgery: a randomized controlled trial[J]. Acupuncture Research. 2016, 41(5): 457-461.</w:t>
      </w:r>
    </w:p>
    <w:p w14:paraId="3545F71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[10] LIU Mengyue, WANG Chengwei, WEN Qian, et al. Clinical observation on the prevention of gastrointestinal dysfunction after vascular surgery by electroacupuncture[J]. China Acupuncture and Moxibustion. 2016, 36(10): 1041-1044.</w:t>
      </w:r>
    </w:p>
    <w:p w14:paraId="2FA693D8">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[11] Chen KB, Huang Y, Jin XL, Chen GF. Electroacupuncture or transcutaneous electroacupuncture for postoperative ileus after abdominal surgery: a systematic review and meta-analysis. Int J Surg 2019;70:93-101.</w:t>
      </w:r>
    </w:p>
    <w:p w14:paraId="213AA34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[12] Liu Y, May BH, Zhang AL, Guo X, Lu C, Xue CC, Zhang H. Acupuncture and Related Therapies for Treatment of Postoperative Ileus in Colorectal Cancer: a Systematic Review and Meta-Analysis of Randomized Controlled Trials. Evid Based Complement Alternat Med 2018;2018:3178472.</w:t>
      </w:r>
    </w:p>
    <w:p w14:paraId="397FB51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[13] Ng SSM, Leung WW, Mak TWC, et al.</w:t>
      </w:r>
      <w:bookmarkStart w:id="25" w:name="OLE_LINK4"/>
      <w:r>
        <w:rPr>
          <w:rFonts w:ascii="Times New Roman" w:hAnsi="Times New Roman" w:eastAsia="宋体" w:cs="Times New Roman"/>
          <w:sz w:val="24"/>
          <w:szCs w:val="24"/>
        </w:rPr>
        <w:t xml:space="preserve"> Electroacupuncture reduces duration of postoperative ileus after laparoscopic surgery for colorectal cancer. Gastroenterology</w:t>
      </w:r>
      <w:bookmarkEnd w:id="25"/>
      <w:r>
        <w:rPr>
          <w:rFonts w:ascii="Times New Roman" w:hAnsi="Times New Roman" w:eastAsia="宋体" w:cs="Times New Roman"/>
          <w:sz w:val="24"/>
          <w:szCs w:val="24"/>
        </w:rPr>
        <w:t xml:space="preserve"> . 2013;144(2):307-313.e1.</w:t>
      </w:r>
    </w:p>
    <w:p w14:paraId="6D07A9C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[14] Wang Y, Yang JW, Yan SY, et al.</w:t>
      </w:r>
      <w:bookmarkStart w:id="26" w:name="OLE_LINK3"/>
      <w:r>
        <w:rPr>
          <w:rFonts w:ascii="Times New Roman" w:hAnsi="Times New Roman" w:eastAsia="宋体" w:cs="Times New Roman"/>
          <w:sz w:val="24"/>
          <w:szCs w:val="24"/>
        </w:rPr>
        <w:t xml:space="preserve"> Electroacupuncture vs Sham Electroacupuncture in the Treatment of Postoperative Ileus After Laparoscopic Surgery for Colorectal Cancer: a Multicenter, Randomized Clinical Trial</w:t>
      </w:r>
      <w:bookmarkEnd w:id="26"/>
      <w:r>
        <w:rPr>
          <w:rFonts w:ascii="Times New Roman" w:hAnsi="Times New Roman" w:eastAsia="宋体" w:cs="Times New Roman"/>
          <w:sz w:val="24"/>
          <w:szCs w:val="24"/>
        </w:rPr>
        <w:t xml:space="preserve"> . JAMA Surg. 2023;158(1):20-27.</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F553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305CE">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A8305C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C4D93">
    <w:pPr>
      <w:pStyle w:val="7"/>
      <w:jc w:val="right"/>
    </w:pPr>
    <w:r>
      <w:t xml:space="preserve">                        Version No.: V2.0 Version Date: </w:t>
    </w:r>
    <w:bookmarkStart w:id="27" w:name="OLE_LINK7"/>
    <w:r>
      <w:t>July 18, 2023</w:t>
    </w:r>
    <w:bookmarkEnd w:id="27"/>
  </w:p>
  <w:p w14:paraId="7B80389E">
    <w:pPr>
      <w:pStyle w:val="7"/>
      <w:jc w:val="right"/>
    </w:pPr>
  </w:p>
  <w:p w14:paraId="77DA3570">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wYmIzN2JmYWNhYjdjN2E5NTk3OWIxNzczN2I5ODcifQ=="/>
  </w:docVars>
  <w:rsids>
    <w:rsidRoot w:val="2D0A4CAD"/>
    <w:rsid w:val="0001458D"/>
    <w:rsid w:val="00041E38"/>
    <w:rsid w:val="00055E0B"/>
    <w:rsid w:val="00057A8D"/>
    <w:rsid w:val="0008577C"/>
    <w:rsid w:val="00094FA2"/>
    <w:rsid w:val="000C26D5"/>
    <w:rsid w:val="000D1CAB"/>
    <w:rsid w:val="000E42EE"/>
    <w:rsid w:val="00116937"/>
    <w:rsid w:val="00121E43"/>
    <w:rsid w:val="00167A45"/>
    <w:rsid w:val="00192E5C"/>
    <w:rsid w:val="001F2656"/>
    <w:rsid w:val="001F470F"/>
    <w:rsid w:val="00230E2C"/>
    <w:rsid w:val="00252B64"/>
    <w:rsid w:val="002600AE"/>
    <w:rsid w:val="00271B14"/>
    <w:rsid w:val="00284C02"/>
    <w:rsid w:val="00295FFD"/>
    <w:rsid w:val="002E41B2"/>
    <w:rsid w:val="002F4241"/>
    <w:rsid w:val="00332CD0"/>
    <w:rsid w:val="00354EB3"/>
    <w:rsid w:val="0039591B"/>
    <w:rsid w:val="003A1D9E"/>
    <w:rsid w:val="003D168C"/>
    <w:rsid w:val="003D29E4"/>
    <w:rsid w:val="003D2C21"/>
    <w:rsid w:val="004029C1"/>
    <w:rsid w:val="0042341D"/>
    <w:rsid w:val="0043000A"/>
    <w:rsid w:val="00443411"/>
    <w:rsid w:val="00487E0C"/>
    <w:rsid w:val="004A0AE4"/>
    <w:rsid w:val="004B14F0"/>
    <w:rsid w:val="005171B5"/>
    <w:rsid w:val="005227CF"/>
    <w:rsid w:val="00542B3F"/>
    <w:rsid w:val="00567E7F"/>
    <w:rsid w:val="0059018C"/>
    <w:rsid w:val="0059512F"/>
    <w:rsid w:val="0059719D"/>
    <w:rsid w:val="005C037F"/>
    <w:rsid w:val="005E2C0B"/>
    <w:rsid w:val="00614253"/>
    <w:rsid w:val="00623C9B"/>
    <w:rsid w:val="006261F0"/>
    <w:rsid w:val="006309FC"/>
    <w:rsid w:val="00666FB8"/>
    <w:rsid w:val="006F2DB8"/>
    <w:rsid w:val="007006E5"/>
    <w:rsid w:val="007149AA"/>
    <w:rsid w:val="007374A6"/>
    <w:rsid w:val="00775CAB"/>
    <w:rsid w:val="00782163"/>
    <w:rsid w:val="00785126"/>
    <w:rsid w:val="0079365F"/>
    <w:rsid w:val="007A53E0"/>
    <w:rsid w:val="007C5283"/>
    <w:rsid w:val="007D6AE2"/>
    <w:rsid w:val="007F274B"/>
    <w:rsid w:val="007F3D09"/>
    <w:rsid w:val="0082417E"/>
    <w:rsid w:val="00834DA9"/>
    <w:rsid w:val="00847496"/>
    <w:rsid w:val="00892F7E"/>
    <w:rsid w:val="008E2CFC"/>
    <w:rsid w:val="00931484"/>
    <w:rsid w:val="00944E67"/>
    <w:rsid w:val="00947E28"/>
    <w:rsid w:val="009C7220"/>
    <w:rsid w:val="009D28AC"/>
    <w:rsid w:val="009F6600"/>
    <w:rsid w:val="00A20E73"/>
    <w:rsid w:val="00A21798"/>
    <w:rsid w:val="00A55C10"/>
    <w:rsid w:val="00A806A1"/>
    <w:rsid w:val="00A87379"/>
    <w:rsid w:val="00AA3E54"/>
    <w:rsid w:val="00AC1D2E"/>
    <w:rsid w:val="00AE6796"/>
    <w:rsid w:val="00B177DA"/>
    <w:rsid w:val="00B424A7"/>
    <w:rsid w:val="00B72DD5"/>
    <w:rsid w:val="00B80E64"/>
    <w:rsid w:val="00B96C5A"/>
    <w:rsid w:val="00BA0AD5"/>
    <w:rsid w:val="00BE0705"/>
    <w:rsid w:val="00BE60E1"/>
    <w:rsid w:val="00BE6135"/>
    <w:rsid w:val="00BF268E"/>
    <w:rsid w:val="00C17E0E"/>
    <w:rsid w:val="00C551A8"/>
    <w:rsid w:val="00C64C66"/>
    <w:rsid w:val="00C75683"/>
    <w:rsid w:val="00C918AA"/>
    <w:rsid w:val="00D156FC"/>
    <w:rsid w:val="00D40037"/>
    <w:rsid w:val="00D42085"/>
    <w:rsid w:val="00D63321"/>
    <w:rsid w:val="00D65837"/>
    <w:rsid w:val="00D6718C"/>
    <w:rsid w:val="00DA41D3"/>
    <w:rsid w:val="00DC5D87"/>
    <w:rsid w:val="00DE01C1"/>
    <w:rsid w:val="00DF136C"/>
    <w:rsid w:val="00E073DC"/>
    <w:rsid w:val="00EB090F"/>
    <w:rsid w:val="00EC4719"/>
    <w:rsid w:val="00EC4D12"/>
    <w:rsid w:val="00ED2CD1"/>
    <w:rsid w:val="00EE118F"/>
    <w:rsid w:val="00F43E40"/>
    <w:rsid w:val="00F6065F"/>
    <w:rsid w:val="00F9109B"/>
    <w:rsid w:val="00FA5C46"/>
    <w:rsid w:val="00FC1B6E"/>
    <w:rsid w:val="00FE26C4"/>
    <w:rsid w:val="00FF1E26"/>
    <w:rsid w:val="0127533C"/>
    <w:rsid w:val="01934780"/>
    <w:rsid w:val="02AC29BD"/>
    <w:rsid w:val="02ED7EC0"/>
    <w:rsid w:val="03E07A24"/>
    <w:rsid w:val="0472779E"/>
    <w:rsid w:val="062C4EFB"/>
    <w:rsid w:val="069A035E"/>
    <w:rsid w:val="07375BAD"/>
    <w:rsid w:val="07F910B5"/>
    <w:rsid w:val="09E71B29"/>
    <w:rsid w:val="0B3A6230"/>
    <w:rsid w:val="0C6B6317"/>
    <w:rsid w:val="0F7968F5"/>
    <w:rsid w:val="10AB3168"/>
    <w:rsid w:val="11021A8D"/>
    <w:rsid w:val="11877731"/>
    <w:rsid w:val="11E05D7C"/>
    <w:rsid w:val="13081387"/>
    <w:rsid w:val="13763F01"/>
    <w:rsid w:val="139323BD"/>
    <w:rsid w:val="13C609E5"/>
    <w:rsid w:val="141B57B6"/>
    <w:rsid w:val="14E135FC"/>
    <w:rsid w:val="14E46C49"/>
    <w:rsid w:val="160E6673"/>
    <w:rsid w:val="171952CF"/>
    <w:rsid w:val="18754787"/>
    <w:rsid w:val="1A024C74"/>
    <w:rsid w:val="1C333589"/>
    <w:rsid w:val="1D87792F"/>
    <w:rsid w:val="1E827BFE"/>
    <w:rsid w:val="1F0F1A82"/>
    <w:rsid w:val="1F5210E5"/>
    <w:rsid w:val="203C3A45"/>
    <w:rsid w:val="20497A3D"/>
    <w:rsid w:val="2509311D"/>
    <w:rsid w:val="28F45D96"/>
    <w:rsid w:val="2AC84BEB"/>
    <w:rsid w:val="2B715282"/>
    <w:rsid w:val="2C016606"/>
    <w:rsid w:val="2CC80ED2"/>
    <w:rsid w:val="2D0A4CAD"/>
    <w:rsid w:val="30B8125D"/>
    <w:rsid w:val="32C25B4B"/>
    <w:rsid w:val="34E0467E"/>
    <w:rsid w:val="353C420B"/>
    <w:rsid w:val="37ED732A"/>
    <w:rsid w:val="39D97A46"/>
    <w:rsid w:val="3DD671C7"/>
    <w:rsid w:val="404B17A6"/>
    <w:rsid w:val="41550197"/>
    <w:rsid w:val="41CC2DBB"/>
    <w:rsid w:val="420C765B"/>
    <w:rsid w:val="434A21E9"/>
    <w:rsid w:val="44AB5705"/>
    <w:rsid w:val="44C61D43"/>
    <w:rsid w:val="46362EF9"/>
    <w:rsid w:val="46BC33FE"/>
    <w:rsid w:val="46D00C57"/>
    <w:rsid w:val="48763A80"/>
    <w:rsid w:val="48A91760"/>
    <w:rsid w:val="48B06F92"/>
    <w:rsid w:val="49AB43D1"/>
    <w:rsid w:val="4A8C688C"/>
    <w:rsid w:val="4B36374F"/>
    <w:rsid w:val="4B775B45"/>
    <w:rsid w:val="4CE055C2"/>
    <w:rsid w:val="4E4A5793"/>
    <w:rsid w:val="4E6310E1"/>
    <w:rsid w:val="4EF166FC"/>
    <w:rsid w:val="4F0D21B3"/>
    <w:rsid w:val="52F21F55"/>
    <w:rsid w:val="531F2418"/>
    <w:rsid w:val="53D1600F"/>
    <w:rsid w:val="56C875AA"/>
    <w:rsid w:val="5A1C2EA1"/>
    <w:rsid w:val="5AA004E9"/>
    <w:rsid w:val="5AF727FF"/>
    <w:rsid w:val="5CBB48B0"/>
    <w:rsid w:val="5CBD7DD9"/>
    <w:rsid w:val="5ECA6A10"/>
    <w:rsid w:val="60A270DE"/>
    <w:rsid w:val="619A45F7"/>
    <w:rsid w:val="622639C9"/>
    <w:rsid w:val="6349511C"/>
    <w:rsid w:val="648A46E4"/>
    <w:rsid w:val="6A3C4858"/>
    <w:rsid w:val="6B6E3BA1"/>
    <w:rsid w:val="6BA57698"/>
    <w:rsid w:val="6CAE6A95"/>
    <w:rsid w:val="6D535020"/>
    <w:rsid w:val="6E3A2CD6"/>
    <w:rsid w:val="709A3F00"/>
    <w:rsid w:val="70BD168A"/>
    <w:rsid w:val="713A4D9B"/>
    <w:rsid w:val="75644ADD"/>
    <w:rsid w:val="77C7100A"/>
    <w:rsid w:val="77FF289B"/>
    <w:rsid w:val="7B8B649F"/>
    <w:rsid w:val="7CB41EA6"/>
    <w:rsid w:val="7DAC3C93"/>
    <w:rsid w:val="7F402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0"/>
    <w:pPr>
      <w:spacing w:beforeAutospacing="1" w:afterAutospacing="1"/>
      <w:jc w:val="left"/>
      <w:outlineLvl w:val="0"/>
    </w:pPr>
    <w:rPr>
      <w:rFonts w:hint="eastAsia" w:ascii="Times New Roman" w:hAnsi="Times New Roman" w:eastAsia="宋体" w:cs="Times New Roman"/>
      <w:b/>
      <w:bCs/>
      <w:kern w:val="44"/>
      <w:sz w:val="24"/>
    </w:rPr>
  </w:style>
  <w:style w:type="paragraph" w:styleId="3">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autoRedefine/>
    <w:qFormat/>
    <w:uiPriority w:val="0"/>
    <w:pPr>
      <w:jc w:val="left"/>
    </w:pPr>
  </w:style>
  <w:style w:type="paragraph" w:styleId="5">
    <w:name w:val="Balloon Text"/>
    <w:basedOn w:val="1"/>
    <w:link w:val="16"/>
    <w:autoRedefine/>
    <w:qFormat/>
    <w:uiPriority w:val="0"/>
    <w:rPr>
      <w:sz w:val="18"/>
      <w:szCs w:val="18"/>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7"/>
    <w:autoRedefine/>
    <w:qFormat/>
    <w:uiPriority w:val="0"/>
    <w:pPr>
      <w:snapToGrid w:val="0"/>
      <w:jc w:val="left"/>
    </w:pPr>
    <w:rPr>
      <w:sz w:val="18"/>
      <w:szCs w:val="18"/>
    </w:rPr>
  </w:style>
  <w:style w:type="paragraph" w:styleId="9">
    <w:name w:val="annotation subject"/>
    <w:basedOn w:val="4"/>
    <w:next w:val="4"/>
    <w:link w:val="20"/>
    <w:autoRedefine/>
    <w:qFormat/>
    <w:uiPriority w:val="0"/>
    <w:rPr>
      <w:b/>
      <w:bCs/>
    </w:rPr>
  </w:style>
  <w:style w:type="character" w:styleId="12">
    <w:name w:val="Strong"/>
    <w:basedOn w:val="11"/>
    <w:qFormat/>
    <w:uiPriority w:val="0"/>
    <w:rPr>
      <w:b/>
    </w:rPr>
  </w:style>
  <w:style w:type="character" w:styleId="13">
    <w:name w:val="annotation reference"/>
    <w:basedOn w:val="11"/>
    <w:autoRedefine/>
    <w:qFormat/>
    <w:uiPriority w:val="0"/>
    <w:rPr>
      <w:sz w:val="21"/>
      <w:szCs w:val="21"/>
    </w:rPr>
  </w:style>
  <w:style w:type="character" w:styleId="14">
    <w:name w:val="footnote reference"/>
    <w:basedOn w:val="11"/>
    <w:autoRedefine/>
    <w:qFormat/>
    <w:uiPriority w:val="0"/>
    <w:rPr>
      <w:vertAlign w:val="superscript"/>
    </w:rPr>
  </w:style>
  <w:style w:type="character" w:customStyle="1" w:styleId="15">
    <w:name w:val="标题 1 字符"/>
    <w:link w:val="2"/>
    <w:autoRedefine/>
    <w:qFormat/>
    <w:uiPriority w:val="0"/>
    <w:rPr>
      <w:rFonts w:hint="eastAsia" w:ascii="Times New Roman" w:hAnsi="Times New Roman" w:eastAsia="宋体" w:cs="宋体"/>
      <w:b/>
      <w:bCs/>
      <w:kern w:val="44"/>
      <w:sz w:val="24"/>
      <w:szCs w:val="24"/>
      <w:lang w:bidi="ar"/>
    </w:rPr>
  </w:style>
  <w:style w:type="character" w:customStyle="1" w:styleId="16">
    <w:name w:val="批注框文本 字符"/>
    <w:basedOn w:val="11"/>
    <w:link w:val="5"/>
    <w:autoRedefine/>
    <w:qFormat/>
    <w:uiPriority w:val="0"/>
    <w:rPr>
      <w:rFonts w:eastAsiaTheme="minorEastAsia"/>
      <w:kern w:val="2"/>
      <w:sz w:val="18"/>
      <w:szCs w:val="18"/>
    </w:rPr>
  </w:style>
  <w:style w:type="character" w:customStyle="1" w:styleId="17">
    <w:name w:val="脚注文本 字符"/>
    <w:basedOn w:val="11"/>
    <w:link w:val="8"/>
    <w:autoRedefine/>
    <w:qFormat/>
    <w:uiPriority w:val="0"/>
    <w:rPr>
      <w:rFonts w:eastAsiaTheme="minorEastAsia"/>
      <w:kern w:val="2"/>
      <w:sz w:val="18"/>
      <w:szCs w:val="18"/>
    </w:rPr>
  </w:style>
  <w:style w:type="paragraph" w:customStyle="1" w:styleId="18">
    <w:name w:val="修订1"/>
    <w:autoRedefine/>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9">
    <w:name w:val="批注文字 字符"/>
    <w:basedOn w:val="11"/>
    <w:link w:val="4"/>
    <w:autoRedefine/>
    <w:qFormat/>
    <w:uiPriority w:val="0"/>
    <w:rPr>
      <w:rFonts w:eastAsiaTheme="minorEastAsia"/>
      <w:kern w:val="2"/>
      <w:sz w:val="21"/>
      <w:szCs w:val="24"/>
    </w:rPr>
  </w:style>
  <w:style w:type="character" w:customStyle="1" w:styleId="20">
    <w:name w:val="批注主题 字符"/>
    <w:basedOn w:val="19"/>
    <w:link w:val="9"/>
    <w:autoRedefine/>
    <w:qFormat/>
    <w:uiPriority w:val="0"/>
    <w:rPr>
      <w:rFonts w:eastAsiaTheme="minorEastAsia"/>
      <w:b/>
      <w:bCs/>
      <w:kern w:val="2"/>
      <w:sz w:val="21"/>
      <w:szCs w:val="24"/>
    </w:rPr>
  </w:style>
  <w:style w:type="paragraph" w:styleId="21">
    <w:name w:val="List Paragraph"/>
    <w:basedOn w:val="1"/>
    <w:autoRedefine/>
    <w:qFormat/>
    <w:uiPriority w:val="99"/>
    <w:pPr>
      <w:ind w:firstLine="420" w:firstLineChars="200"/>
    </w:pPr>
  </w:style>
  <w:style w:type="paragraph" w:customStyle="1" w:styleId="22">
    <w:name w:val="Revision"/>
    <w:autoRedefine/>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lb\Application%20Data\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23</Pages>
  <Words>6195</Words>
  <Characters>35812</Characters>
  <Lines>86</Lines>
  <Paragraphs>24</Paragraphs>
  <TotalTime>15</TotalTime>
  <ScaleCrop>false</ScaleCrop>
  <LinksUpToDate>false</LinksUpToDate>
  <CharactersWithSpaces>41804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2018-09-05T01:44:00Z</dcterms:created>
  <dc:creator>殷从全</dc:creator>
  <cp:keywords>, docId:9F8AF9E94624A131F3C99B5493257A2C</cp:keywords>
  <cp:lastModifiedBy>Linxi Sun</cp:lastModifiedBy>
  <dcterms:modified xsi:type="dcterms:W3CDTF">2024-11-23T06:44:15Z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6261AB59E78841ED80E1BBA258D83ECD</vt:lpwstr>
  </property>
</Properties>
</file>