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97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281"/>
        <w:gridCol w:w="992"/>
        <w:gridCol w:w="2260"/>
        <w:gridCol w:w="978"/>
      </w:tblGrid>
      <w:tr w14:paraId="7FA7CFCA">
        <w:trPr>
          <w:trHeight w:val="425" w:hRule="atLeast"/>
          <w:jc w:val="center"/>
        </w:trPr>
        <w:tc>
          <w:tcPr>
            <w:tcW w:w="9767" w:type="dxa"/>
            <w:gridSpan w:val="5"/>
            <w:tcBorders>
              <w:bottom w:val="single" w:color="auto" w:sz="12" w:space="0"/>
            </w:tcBorders>
            <w:vAlign w:val="center"/>
          </w:tcPr>
          <w:p w14:paraId="4AC84264">
            <w:pP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  <w:lang w:val="en-US"/>
              </w:rPr>
              <w:t xml:space="preserve">Supplementary 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2"/>
                <w:szCs w:val="22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 Cox regression analys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 xml:space="preserve"> for risk factors for DFS in low rectal cancer (n=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1039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</w:tr>
      <w:tr w14:paraId="05EC42EB">
        <w:trPr>
          <w:trHeight w:val="369" w:hRule="atLeast"/>
          <w:jc w:val="center"/>
        </w:trPr>
        <w:tc>
          <w:tcPr>
            <w:tcW w:w="3256" w:type="dxa"/>
            <w:vMerge w:val="restart"/>
            <w:tcBorders>
              <w:top w:val="single" w:color="auto" w:sz="12" w:space="0"/>
            </w:tcBorders>
            <w:vAlign w:val="top"/>
          </w:tcPr>
          <w:p w14:paraId="63DB73F0">
            <w:pPr>
              <w:jc w:val="both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3273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60C334B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Univariate analysis</w:t>
            </w:r>
          </w:p>
        </w:tc>
        <w:tc>
          <w:tcPr>
            <w:tcW w:w="323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A1E428F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Multivariate analysis</w:t>
            </w:r>
          </w:p>
        </w:tc>
      </w:tr>
      <w:tr w14:paraId="1182D75E">
        <w:trPr>
          <w:trHeight w:val="369" w:hRule="atLeast"/>
          <w:jc w:val="center"/>
        </w:trPr>
        <w:tc>
          <w:tcPr>
            <w:tcW w:w="3256" w:type="dxa"/>
            <w:vMerge w:val="continue"/>
            <w:tcBorders>
              <w:bottom w:val="single" w:color="auto" w:sz="4" w:space="0"/>
            </w:tcBorders>
            <w:vAlign w:val="center"/>
          </w:tcPr>
          <w:p w14:paraId="53CFD21D">
            <w:pP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BC8AD5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HR (95% CI)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270796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2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5AE925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>HR (95% CI)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AF209D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2"/>
                <w:szCs w:val="22"/>
              </w:rPr>
              <w:t xml:space="preserve"> value</w:t>
            </w:r>
          </w:p>
        </w:tc>
      </w:tr>
      <w:tr w14:paraId="6BCC488D">
        <w:trPr>
          <w:trHeight w:val="369" w:hRule="atLeast"/>
          <w:jc w:val="center"/>
        </w:trPr>
        <w:tc>
          <w:tcPr>
            <w:tcW w:w="3256" w:type="dxa"/>
            <w:tcBorders>
              <w:top w:val="single" w:color="auto" w:sz="4" w:space="0"/>
            </w:tcBorders>
            <w:vAlign w:val="center"/>
          </w:tcPr>
          <w:p w14:paraId="638CEAB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Age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(≥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50 vs. ＜50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years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014755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0.801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585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098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E5AFA5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168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5901326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33B7A3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A6FA057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4847FA7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Sex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(male vs. female )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4B4A149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1.398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1.040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1.879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3D870D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59F86D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1.387 (1.011-1.902)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3C36E5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43</w:t>
            </w:r>
          </w:p>
        </w:tc>
      </w:tr>
      <w:tr w14:paraId="2D409149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5D5E3B5A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BMI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</w:rPr>
              <w:t>kg/m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317D5D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 xml:space="preserve">1.025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744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413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748E4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0" w:type="dxa"/>
            <w:vAlign w:val="center"/>
          </w:tcPr>
          <w:p w14:paraId="4681F69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02DE827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134EE4BC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0F185EAA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z w:val="22"/>
                <w:szCs w:val="22"/>
                <w:lang w:val="en-US" w:eastAsia="zh-CN"/>
              </w:rPr>
              <w:t>＜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18.5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2B8F870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B62349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60" w:type="dxa"/>
            <w:vAlign w:val="center"/>
          </w:tcPr>
          <w:p w14:paraId="5C108F5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78" w:type="dxa"/>
            <w:vAlign w:val="center"/>
          </w:tcPr>
          <w:p w14:paraId="57708ED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42987BF7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26E1622D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18.5-24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50B1AA4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1.183 (0.600-2.332)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67A61B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0.627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7D6675D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1.031 (0.507-2.097)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5E120A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0.932</w:t>
            </w:r>
          </w:p>
        </w:tc>
      </w:tr>
      <w:tr w14:paraId="66E5F722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50BDD34B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24-27.99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B39686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1.137 (0.565-2.287)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F824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0.719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AB5C0D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1.124 (0.541-2.333)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6E468B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0.755</w:t>
            </w:r>
          </w:p>
        </w:tc>
      </w:tr>
      <w:tr w14:paraId="1A648753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01537A1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≥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568119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1.168 (0.492-2.771)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EE66E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0.725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4F02FFB">
            <w:pPr>
              <w:jc w:val="center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0.881 (0.348-2.226)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7DCE51D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0.788</w:t>
            </w:r>
          </w:p>
        </w:tc>
      </w:tr>
      <w:tr w14:paraId="70A2AEBE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2FBC843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trike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</w:rPr>
              <w:t>ECOG performance status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1-2 vs. 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lang w:val="en-US" w:eastAsia="zh-CN"/>
              </w:rPr>
              <w:t xml:space="preserve">)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vertAlign w:val="superscript"/>
                <w:lang w:val="en-US" w:eastAsia="zh-CN"/>
              </w:rPr>
              <w:t xml:space="preserve">a 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39996295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trike w:val="0"/>
                <w:dstrike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>0.861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</w:rPr>
              <w:t xml:space="preserve"> 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>627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>182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16E9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trike w:val="0"/>
                <w:dstrike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>354</w:t>
            </w:r>
          </w:p>
        </w:tc>
        <w:tc>
          <w:tcPr>
            <w:tcW w:w="2260" w:type="dxa"/>
            <w:vAlign w:val="center"/>
          </w:tcPr>
          <w:p w14:paraId="51EFC69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16A8FC6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19A107B3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5CC028F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trike/>
                <w:dstrike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ASA score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>II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-III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vs.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lang w:val="en-US" w:eastAsia="zh-CN"/>
              </w:rPr>
              <w:t xml:space="preserve">)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trike w:val="0"/>
                <w:dstrike w:val="0"/>
                <w:sz w:val="22"/>
                <w:szCs w:val="22"/>
                <w:vertAlign w:val="superscript"/>
                <w:lang w:val="en-US" w:eastAsia="zh-CN"/>
              </w:rPr>
              <w:t>b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52F180C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0.917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669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256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E6FADD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588</w:t>
            </w:r>
          </w:p>
        </w:tc>
        <w:tc>
          <w:tcPr>
            <w:tcW w:w="2260" w:type="dxa"/>
            <w:vAlign w:val="center"/>
          </w:tcPr>
          <w:p w14:paraId="5932A13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065F85E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722FEEC3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3A5DE713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Comorbidity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3F76A4A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1.369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1.017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1.843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6C7C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47BBAF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1.41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1.026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1.937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9C192F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0.034</w:t>
            </w:r>
          </w:p>
        </w:tc>
      </w:tr>
      <w:tr w14:paraId="400E2361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01D27F6D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Tumor distance from the dentate line (mm)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36F366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89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80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0.999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8754B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025</w:t>
            </w:r>
          </w:p>
        </w:tc>
        <w:tc>
          <w:tcPr>
            <w:tcW w:w="2260" w:type="dxa"/>
            <w:vAlign w:val="center"/>
          </w:tcPr>
          <w:p w14:paraId="4ECA5AB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0.986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(0.97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-0.99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78" w:type="dxa"/>
            <w:vAlign w:val="center"/>
          </w:tcPr>
          <w:p w14:paraId="4406483D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0.0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20</w:t>
            </w:r>
          </w:p>
        </w:tc>
      </w:tr>
      <w:tr w14:paraId="1413A4EF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EA8B80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Preoperative C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 &gt;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vs.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U/ml)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d 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36EF4F8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2.122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1.519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2.966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FA80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2EC8EE88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 xml:space="preserve">1.475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1.026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2.12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E3E0D2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0.036</w:t>
            </w:r>
          </w:p>
        </w:tc>
      </w:tr>
      <w:tr w14:paraId="705D06B2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576FABEE">
            <w:pPr>
              <w:widowControl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Preoperative CA199 ( &gt;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vs.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37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U/ml)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 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A1DD4CE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2.362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1.393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4.003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3D12B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1FDABB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2.467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1.405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4.331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0377F59D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0.00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</w:tr>
      <w:tr w14:paraId="44D1DEE3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395AFB9D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2"/>
                <w:szCs w:val="22"/>
                <w:lang w:bidi="ar"/>
              </w:rPr>
              <w:t>Preoperative therapy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229360FA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1.715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1.256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2.341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FFF25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7F38EB7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1.861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1.3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78CD43B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001</w:t>
            </w:r>
          </w:p>
        </w:tc>
      </w:tr>
      <w:tr w14:paraId="18E33438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264680E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Surgical approach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Laparoscopic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vs.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Open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)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601DD5A5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817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608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099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D5778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0.181</w:t>
            </w:r>
          </w:p>
        </w:tc>
        <w:tc>
          <w:tcPr>
            <w:tcW w:w="2260" w:type="dxa"/>
            <w:vAlign w:val="center"/>
          </w:tcPr>
          <w:p w14:paraId="550686FE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4195387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F195937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2719593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Type of surgery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1281819C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55E83C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0" w:type="dxa"/>
            <w:vAlign w:val="center"/>
          </w:tcPr>
          <w:p w14:paraId="33BAFFDE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27F6B8B9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22EC0F8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42F8C03B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Low anterior resection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5BF369C8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2DF480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14:paraId="120999FC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56516F7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2FB8959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2300DFCD">
            <w:pPr>
              <w:ind w:firstLine="220" w:firstLineChars="10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Intersphincteric resection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396805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825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454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498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C613F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527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CF8077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0.837 (0.451-1.5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53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7242AD3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0.572</w:t>
            </w:r>
          </w:p>
        </w:tc>
      </w:tr>
      <w:tr w14:paraId="30BF16A5">
        <w:trPr>
          <w:trHeight w:val="376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30CE62DC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Abdominoperineal resection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8B35F5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1.530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1.140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2.054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CBEF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005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517762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1.156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0.791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1.689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301BACC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0.453</w:t>
            </w:r>
          </w:p>
        </w:tc>
      </w:tr>
      <w:tr w14:paraId="2E880F01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398951B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Combined multivisceral resection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110E579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2.280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1.168-4.450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46230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0.016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A586D68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1.463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0.658-3.252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75C1EF82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0.35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A910409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1307673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Operative time (min)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2991D345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1.000 (0.998-1.002)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D5CC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0.858</w:t>
            </w:r>
          </w:p>
        </w:tc>
        <w:tc>
          <w:tcPr>
            <w:tcW w:w="2260" w:type="dxa"/>
            <w:vAlign w:val="center"/>
          </w:tcPr>
          <w:p w14:paraId="773C8CA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7751B59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34BA930B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0731997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Estimated blood loss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(ml)</w:t>
            </w:r>
          </w:p>
        </w:tc>
        <w:tc>
          <w:tcPr>
            <w:tcW w:w="2281" w:type="dxa"/>
            <w:vAlign w:val="center"/>
          </w:tcPr>
          <w:p w14:paraId="4FC1AB69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1.001 (0.999-1.002)</w:t>
            </w:r>
          </w:p>
        </w:tc>
        <w:tc>
          <w:tcPr>
            <w:tcW w:w="992" w:type="dxa"/>
            <w:vAlign w:val="center"/>
          </w:tcPr>
          <w:p w14:paraId="2842FFD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0.413</w:t>
            </w:r>
          </w:p>
        </w:tc>
        <w:tc>
          <w:tcPr>
            <w:tcW w:w="2260" w:type="dxa"/>
            <w:vAlign w:val="center"/>
          </w:tcPr>
          <w:p w14:paraId="35F962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51E8C44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47F777C3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2A9AC227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Intraoperative complications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E17269E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0.878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0.281-2.746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3123B6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0.823</w:t>
            </w:r>
          </w:p>
        </w:tc>
        <w:tc>
          <w:tcPr>
            <w:tcW w:w="2260" w:type="dxa"/>
            <w:vAlign w:val="center"/>
          </w:tcPr>
          <w:p w14:paraId="5D33CC5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2732190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1A68419C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55A635A7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pT classification</w:t>
            </w:r>
          </w:p>
        </w:tc>
        <w:tc>
          <w:tcPr>
            <w:tcW w:w="2281" w:type="dxa"/>
            <w:vAlign w:val="center"/>
          </w:tcPr>
          <w:p w14:paraId="64652DA5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  <w:vAlign w:val="center"/>
          </w:tcPr>
          <w:p w14:paraId="1894F4F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260" w:type="dxa"/>
            <w:vAlign w:val="center"/>
          </w:tcPr>
          <w:p w14:paraId="2585D83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1AC533F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4573ECD5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E5D3CEA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T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0-1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1E63875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86A8E9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0" w:type="dxa"/>
            <w:vAlign w:val="center"/>
          </w:tcPr>
          <w:p w14:paraId="0625F52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Reference</w:t>
            </w:r>
          </w:p>
        </w:tc>
        <w:tc>
          <w:tcPr>
            <w:tcW w:w="978" w:type="dxa"/>
            <w:vAlign w:val="center"/>
          </w:tcPr>
          <w:p w14:paraId="1F88FE3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6900CBB3">
        <w:trPr>
          <w:trHeight w:val="38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5171D216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T2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439FFE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1.471 (0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869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-2.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492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C286D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151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9E6ED1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1.08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(0.62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-1.89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78" w:type="dxa"/>
            <w:vAlign w:val="center"/>
          </w:tcPr>
          <w:p w14:paraId="5AAE42F5">
            <w:pPr>
              <w:jc w:val="center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0.77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1</w:t>
            </w:r>
          </w:p>
        </w:tc>
      </w:tr>
      <w:tr w14:paraId="04F948D1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45115FE6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T3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66824B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4.328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2.692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6.957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BA6C5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9855FDB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2.7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72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(1.6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55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-4.6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43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78" w:type="dxa"/>
            <w:vAlign w:val="center"/>
          </w:tcPr>
          <w:p w14:paraId="6C89AA6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</w:tr>
      <w:tr w14:paraId="08311FA4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2148CA43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T4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5276DFC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 xml:space="preserve">3.597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1.864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-6.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941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DB78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94D898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2.0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61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0.980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-4.3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78" w:type="dxa"/>
            <w:vAlign w:val="center"/>
          </w:tcPr>
          <w:p w14:paraId="76B0FB0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</w:tr>
      <w:tr w14:paraId="566C534B">
        <w:trPr>
          <w:trHeight w:val="383" w:hRule="atLeast"/>
          <w:jc w:val="center"/>
        </w:trPr>
        <w:tc>
          <w:tcPr>
            <w:tcW w:w="3256" w:type="dxa"/>
            <w:vAlign w:val="center"/>
          </w:tcPr>
          <w:p w14:paraId="5835E295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pN classification</w:t>
            </w:r>
          </w:p>
        </w:tc>
        <w:tc>
          <w:tcPr>
            <w:tcW w:w="2281" w:type="dxa"/>
            <w:vAlign w:val="center"/>
          </w:tcPr>
          <w:p w14:paraId="26425F5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509E6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3EDA347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541C22B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5CD7303F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79700432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N0</w:t>
            </w:r>
          </w:p>
        </w:tc>
        <w:tc>
          <w:tcPr>
            <w:tcW w:w="2281" w:type="dxa"/>
            <w:vAlign w:val="center"/>
          </w:tcPr>
          <w:p w14:paraId="595DE8B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92" w:type="dxa"/>
            <w:vAlign w:val="center"/>
          </w:tcPr>
          <w:p w14:paraId="02B502A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14:paraId="7533A285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Reference</w:t>
            </w:r>
          </w:p>
        </w:tc>
        <w:tc>
          <w:tcPr>
            <w:tcW w:w="978" w:type="dxa"/>
            <w:vAlign w:val="center"/>
          </w:tcPr>
          <w:p w14:paraId="58EED11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49075CD1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11E4A177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N1</w:t>
            </w:r>
          </w:p>
        </w:tc>
        <w:tc>
          <w:tcPr>
            <w:tcW w:w="2281" w:type="dxa"/>
            <w:vAlign w:val="center"/>
          </w:tcPr>
          <w:p w14:paraId="0B12FFB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2.595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1.896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3.551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72E8CCC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80491BB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2.131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(1.515-2.997)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257AFFE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</w:tr>
      <w:tr w14:paraId="359DB766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3A80AAF2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N2</w:t>
            </w:r>
          </w:p>
        </w:tc>
        <w:tc>
          <w:tcPr>
            <w:tcW w:w="2281" w:type="dxa"/>
            <w:vAlign w:val="center"/>
          </w:tcPr>
          <w:p w14:paraId="752AEAC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5.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(3.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378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7.550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0A7D4DC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41D866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2.9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(1.97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-4.916)</w:t>
            </w:r>
          </w:p>
        </w:tc>
        <w:tc>
          <w:tcPr>
            <w:tcW w:w="978" w:type="dxa"/>
            <w:vAlign w:val="center"/>
          </w:tcPr>
          <w:p w14:paraId="7BBA500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&lt;0.001</w:t>
            </w:r>
          </w:p>
        </w:tc>
      </w:tr>
      <w:tr w14:paraId="32622010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68EDFA1F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2"/>
                <w:szCs w:val="22"/>
                <w:lang w:bidi="ar"/>
              </w:rPr>
              <w:t>Histopathology</w:t>
            </w:r>
          </w:p>
        </w:tc>
        <w:tc>
          <w:tcPr>
            <w:tcW w:w="2281" w:type="dxa"/>
            <w:vAlign w:val="center"/>
          </w:tcPr>
          <w:p w14:paraId="0CA15BE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4F117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0" w:type="dxa"/>
            <w:vAlign w:val="center"/>
          </w:tcPr>
          <w:p w14:paraId="655EFC8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080B3E4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</w:p>
        </w:tc>
      </w:tr>
      <w:tr w14:paraId="3D16F443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76DBD796">
            <w:pPr>
              <w:ind w:firstLine="220" w:firstLine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281" w:type="dxa"/>
            <w:vAlign w:val="center"/>
          </w:tcPr>
          <w:p w14:paraId="7E1715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992" w:type="dxa"/>
            <w:vAlign w:val="center"/>
          </w:tcPr>
          <w:p w14:paraId="4296244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14:paraId="7679D321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Reference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0C2F66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8679D96">
        <w:trPr>
          <w:trHeight w:val="369" w:hRule="atLeast"/>
          <w:jc w:val="center"/>
        </w:trPr>
        <w:tc>
          <w:tcPr>
            <w:tcW w:w="3256" w:type="dxa"/>
            <w:vAlign w:val="center"/>
          </w:tcPr>
          <w:p w14:paraId="7974C499">
            <w:pPr>
              <w:ind w:left="239" w:leftChars="114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Mucinous adenocarcinoma/ Signet-ring cell carcinoma</w:t>
            </w:r>
          </w:p>
        </w:tc>
        <w:tc>
          <w:tcPr>
            <w:tcW w:w="2281" w:type="dxa"/>
            <w:vAlign w:val="center"/>
          </w:tcPr>
          <w:p w14:paraId="0FA72A0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2.059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310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-3.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238</w:t>
            </w:r>
          </w:p>
        </w:tc>
        <w:tc>
          <w:tcPr>
            <w:tcW w:w="992" w:type="dxa"/>
            <w:vAlign w:val="center"/>
          </w:tcPr>
          <w:p w14:paraId="1B041F8B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0.0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83AD88A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1.311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(0.8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00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  <w:lang w:val="en-US" w:eastAsia="zh-CN"/>
              </w:rPr>
              <w:t>-2.148)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491CCB8">
            <w:pPr>
              <w:jc w:val="center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  <w:t>0.283</w:t>
            </w:r>
          </w:p>
        </w:tc>
      </w:tr>
      <w:tr w14:paraId="5FCB9868">
        <w:trPr>
          <w:trHeight w:val="369" w:hRule="atLeast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70CDC03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2"/>
                <w:szCs w:val="22"/>
                <w:lang w:bidi="ar"/>
              </w:rPr>
              <w:t>30-d Postoperative complications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1B66AEA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1.284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0.887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1.858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7536BF">
            <w:pPr>
              <w:widowControl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0.185</w:t>
            </w:r>
          </w:p>
        </w:tc>
        <w:tc>
          <w:tcPr>
            <w:tcW w:w="2260" w:type="dxa"/>
            <w:vAlign w:val="center"/>
          </w:tcPr>
          <w:p w14:paraId="792B9E4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14:paraId="6E57E62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4F75B268">
        <w:trPr>
          <w:trHeight w:val="369" w:hRule="atLeast"/>
          <w:jc w:val="center"/>
        </w:trPr>
        <w:tc>
          <w:tcPr>
            <w:tcW w:w="9767" w:type="dxa"/>
            <w:gridSpan w:val="5"/>
            <w:tcBorders>
              <w:top w:val="single" w:color="auto" w:sz="12" w:space="0"/>
            </w:tcBorders>
            <w:vAlign w:val="center"/>
          </w:tcPr>
          <w:p w14:paraId="382DC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Abbreviations: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bidi="ar"/>
              </w:rPr>
              <w:t xml:space="preserve">DFS, disease-free survival;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BMI, body mass index; ECOG, Eastern Cooperative Oncology Group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;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ASA, American Society of Anesthesiologists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;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CEA, Carcinoembryonic Antigen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;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CA199, Carbohydrate Antigen 199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.</w:t>
            </w:r>
          </w:p>
          <w:p w14:paraId="0AA1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Data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were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obtained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from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1038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2"/>
                <w:szCs w:val="22"/>
              </w:rPr>
              <w:t>patients.</w:t>
            </w:r>
          </w:p>
          <w:p w14:paraId="04651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default" w:ascii="Times New Roman Regular" w:hAnsi="Times New Roman Regular" w:eastAsia="GuardianSansGR-Regular" w:cs="Times New Roman Regular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>Data were obtained from 1038 patients.</w:t>
            </w:r>
          </w:p>
          <w:p w14:paraId="6132B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hanging="220" w:hanging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 xml:space="preserve">C </w:t>
            </w:r>
            <w:r>
              <w:rPr>
                <w:rFonts w:hint="default" w:ascii="Times New Roman Regular" w:hAnsi="Times New Roman Regular" w:eastAsia="GuardianSansGR-Regular" w:cs="Times New Roman Regular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>Data were obtained from 1034 patients. Tumors that invaded the dentate line in 5 patients were excluded.</w:t>
            </w:r>
          </w:p>
          <w:p w14:paraId="142E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d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GuardianSansGR-Regular" w:cs="Times New Roman Regular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>Data were obtained from 1007 patients.</w:t>
            </w:r>
          </w:p>
          <w:p w14:paraId="3BFFF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 xml:space="preserve">e </w:t>
            </w:r>
            <w:r>
              <w:rPr>
                <w:rFonts w:hint="default" w:ascii="Times New Roman Regular" w:hAnsi="Times New Roman Regular" w:eastAsia="GuardianSansGR-Regular" w:cs="Times New Roman Regular"/>
                <w:b w:val="0"/>
                <w:bCs w:val="0"/>
                <w:color w:val="231F20"/>
                <w:kern w:val="0"/>
                <w:sz w:val="22"/>
                <w:szCs w:val="22"/>
                <w:lang w:val="en-US" w:eastAsia="zh-CN" w:bidi="ar"/>
              </w:rPr>
              <w:t>Data were obtained from 1004 patients.</w:t>
            </w:r>
          </w:p>
        </w:tc>
      </w:tr>
    </w:tbl>
    <w:p w14:paraId="44C4C8BD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GuardianSansGR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4DA"/>
    <w:rsid w:val="0002163C"/>
    <w:rsid w:val="00054CA5"/>
    <w:rsid w:val="000622F5"/>
    <w:rsid w:val="00095F5E"/>
    <w:rsid w:val="000B4249"/>
    <w:rsid w:val="001324C9"/>
    <w:rsid w:val="001410A9"/>
    <w:rsid w:val="00163C5E"/>
    <w:rsid w:val="001B5801"/>
    <w:rsid w:val="001C3378"/>
    <w:rsid w:val="001F3BEC"/>
    <w:rsid w:val="002234EB"/>
    <w:rsid w:val="003013E6"/>
    <w:rsid w:val="003100FF"/>
    <w:rsid w:val="003441B5"/>
    <w:rsid w:val="003C2395"/>
    <w:rsid w:val="00412804"/>
    <w:rsid w:val="0041692A"/>
    <w:rsid w:val="004261EA"/>
    <w:rsid w:val="004537EC"/>
    <w:rsid w:val="004E1BC2"/>
    <w:rsid w:val="00521BC2"/>
    <w:rsid w:val="00527885"/>
    <w:rsid w:val="005339F8"/>
    <w:rsid w:val="00583930"/>
    <w:rsid w:val="00586FEC"/>
    <w:rsid w:val="005939B3"/>
    <w:rsid w:val="00593E4A"/>
    <w:rsid w:val="005B592D"/>
    <w:rsid w:val="005F1748"/>
    <w:rsid w:val="005F188E"/>
    <w:rsid w:val="006323BE"/>
    <w:rsid w:val="00667ECF"/>
    <w:rsid w:val="00684AA1"/>
    <w:rsid w:val="006E7242"/>
    <w:rsid w:val="006F34A7"/>
    <w:rsid w:val="00721EFD"/>
    <w:rsid w:val="00776FFC"/>
    <w:rsid w:val="007A3381"/>
    <w:rsid w:val="007B7793"/>
    <w:rsid w:val="00845E41"/>
    <w:rsid w:val="008A4594"/>
    <w:rsid w:val="008E182F"/>
    <w:rsid w:val="008E2AB5"/>
    <w:rsid w:val="008E50BF"/>
    <w:rsid w:val="009315EB"/>
    <w:rsid w:val="00955AEC"/>
    <w:rsid w:val="00973101"/>
    <w:rsid w:val="009948B2"/>
    <w:rsid w:val="009B029E"/>
    <w:rsid w:val="009C3654"/>
    <w:rsid w:val="009C5D3D"/>
    <w:rsid w:val="00A14D0A"/>
    <w:rsid w:val="00A42DC8"/>
    <w:rsid w:val="00A45C2E"/>
    <w:rsid w:val="00A477FE"/>
    <w:rsid w:val="00A64BA5"/>
    <w:rsid w:val="00AB4DE1"/>
    <w:rsid w:val="00AB745A"/>
    <w:rsid w:val="00AE0ADA"/>
    <w:rsid w:val="00B015B3"/>
    <w:rsid w:val="00B31D1E"/>
    <w:rsid w:val="00B8506A"/>
    <w:rsid w:val="00B96B12"/>
    <w:rsid w:val="00BC03A0"/>
    <w:rsid w:val="00C21601"/>
    <w:rsid w:val="00C665D2"/>
    <w:rsid w:val="00CB7837"/>
    <w:rsid w:val="00CC02BC"/>
    <w:rsid w:val="00CC3700"/>
    <w:rsid w:val="00CC71C0"/>
    <w:rsid w:val="00CF7FF8"/>
    <w:rsid w:val="00D07185"/>
    <w:rsid w:val="00D53DC0"/>
    <w:rsid w:val="00D832D2"/>
    <w:rsid w:val="00E76D5A"/>
    <w:rsid w:val="00E8733E"/>
    <w:rsid w:val="00EC468C"/>
    <w:rsid w:val="00EF2A8C"/>
    <w:rsid w:val="00F81042"/>
    <w:rsid w:val="018846E5"/>
    <w:rsid w:val="0478324B"/>
    <w:rsid w:val="0A59408D"/>
    <w:rsid w:val="0D7D50E5"/>
    <w:rsid w:val="0E54514D"/>
    <w:rsid w:val="11232AD9"/>
    <w:rsid w:val="163E2706"/>
    <w:rsid w:val="18781CBB"/>
    <w:rsid w:val="242C456E"/>
    <w:rsid w:val="2509694A"/>
    <w:rsid w:val="26EC030B"/>
    <w:rsid w:val="29A46C7B"/>
    <w:rsid w:val="339A4C4A"/>
    <w:rsid w:val="33EE7A94"/>
    <w:rsid w:val="33F46A50"/>
    <w:rsid w:val="355D2782"/>
    <w:rsid w:val="4092099C"/>
    <w:rsid w:val="4A32150D"/>
    <w:rsid w:val="4BC93EC7"/>
    <w:rsid w:val="4CF23EE1"/>
    <w:rsid w:val="4D670BE8"/>
    <w:rsid w:val="4F506B2E"/>
    <w:rsid w:val="534454E2"/>
    <w:rsid w:val="56AF6AC4"/>
    <w:rsid w:val="570E5C2A"/>
    <w:rsid w:val="58D06B21"/>
    <w:rsid w:val="5B5F2152"/>
    <w:rsid w:val="5DFF0EC6"/>
    <w:rsid w:val="5E6395C6"/>
    <w:rsid w:val="603E2C7E"/>
    <w:rsid w:val="60F715A3"/>
    <w:rsid w:val="61747DE2"/>
    <w:rsid w:val="65DF280D"/>
    <w:rsid w:val="66963446"/>
    <w:rsid w:val="69392234"/>
    <w:rsid w:val="6A3D5D54"/>
    <w:rsid w:val="718F3339"/>
    <w:rsid w:val="741276A2"/>
    <w:rsid w:val="77F6CD1D"/>
    <w:rsid w:val="793C34CF"/>
    <w:rsid w:val="7AF75579"/>
    <w:rsid w:val="7E5410D9"/>
    <w:rsid w:val="7F399CD4"/>
    <w:rsid w:val="7F6D036F"/>
    <w:rsid w:val="ADF8AA9F"/>
    <w:rsid w:val="E7F7F15A"/>
    <w:rsid w:val="FF7FB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357</Words>
  <Characters>2325</Characters>
  <Lines>13</Lines>
  <Paragraphs>3</Paragraphs>
  <TotalTime>12</TotalTime>
  <ScaleCrop>false</ScaleCrop>
  <LinksUpToDate>false</LinksUpToDate>
  <CharactersWithSpaces>2537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2025-01-27T15:32:00Z</dcterms:created>
  <dc:creator>Zihan Tang</dc:creator>
  <cp:lastModifiedBy>风清扬</cp:lastModifiedBy>
  <dcterms:modified xsi:type="dcterms:W3CDTF">2025-07-09T11:11:12Z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eyJoZGlkIjoiMzhmMzIzOTQwNDcxMDllNzcxMjExMWExNTViNjBhYjUiLCJ1c2VySWQiOiI0ODgwMjgwMzIifQ==</vt:lpwstr>
  </property>
  <property fmtid="{D5CDD505-2E9C-101B-9397-08002B2CF9AE}" pid="3" name="KSOProductBuildVer">
    <vt:lpwstr>2052-7.5.1.8994</vt:lpwstr>
  </property>
  <property fmtid="{D5CDD505-2E9C-101B-9397-08002B2CF9AE}" pid="4" name="ICV">
    <vt:lpwstr>D992297583514350A347D3FEDE4E7DDA_13</vt:lpwstr>
  </property>
</Properties>
</file>