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430AC">
      <w:pPr>
        <w:rPr>
          <w:rFonts w:hint="default" w:ascii="Times New Roman" w:hAnsi="Times New Roman" w:eastAsia="宋体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ascii="Times New Roman" w:hAnsi="Times New Roman" w:eastAsia="宋体" w:cs="Times New Roman"/>
          <w:b/>
          <w:bCs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bookmarkStart w:id="1" w:name="_GoBack"/>
      <w:bookmarkEnd w:id="1"/>
      <w:r>
        <w:rPr>
          <w:rFonts w:ascii="Times New Roman" w:hAnsi="Times New Roman" w:eastAsia="宋体" w:cs="Times New Roman"/>
          <w:b/>
          <w:bCs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Intra- and postoperative details of low rectal cancer patients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who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 xml:space="preserve"> under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went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 xml:space="preserve"> laparoscopic surgery</w:t>
      </w:r>
    </w:p>
    <w:tbl>
      <w:tblPr>
        <w:tblStyle w:val="5"/>
        <w:tblW w:w="107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611"/>
        <w:gridCol w:w="1834"/>
        <w:gridCol w:w="1535"/>
        <w:gridCol w:w="1445"/>
        <w:gridCol w:w="1062"/>
      </w:tblGrid>
      <w:tr w14:paraId="19617B0A">
        <w:trPr>
          <w:trHeight w:val="709" w:hRule="atLeast"/>
          <w:jc w:val="center"/>
        </w:trPr>
        <w:tc>
          <w:tcPr>
            <w:tcW w:w="3225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top"/>
          </w:tcPr>
          <w:p w14:paraId="5DAF24A9"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Characteristics</w:t>
            </w:r>
          </w:p>
        </w:tc>
        <w:tc>
          <w:tcPr>
            <w:tcW w:w="1611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14:paraId="2C8D2F8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Underweight</w:t>
            </w:r>
          </w:p>
          <w:p w14:paraId="77702CA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n=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34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14:paraId="48BCC03C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Normal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weight</w:t>
            </w:r>
          </w:p>
          <w:p w14:paraId="2F98454B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n=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418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14:paraId="51CF431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Overweight</w:t>
            </w:r>
          </w:p>
          <w:p w14:paraId="71CD53B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n=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233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bottom"/>
          </w:tcPr>
          <w:p w14:paraId="56115A95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Obesity</w:t>
            </w:r>
          </w:p>
          <w:p w14:paraId="56C821E7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n=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2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bottom"/>
          </w:tcPr>
          <w:p w14:paraId="4D625809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 w14:paraId="38C74FF7">
        <w:trPr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4AF82A05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156252915"/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Surgical characteristics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4BDF80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2481D22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14:paraId="4E8F6DE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14:paraId="0E87502A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852809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10D0915E">
        <w:trPr>
          <w:trHeight w:val="90" w:hRule="atLeast"/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1A670EF7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Type of surgery, No. (%)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9198D2B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4C050B13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14:paraId="7CB4B7F7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14:paraId="1352F0C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3D8D09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005</w:t>
            </w:r>
          </w:p>
        </w:tc>
      </w:tr>
      <w:tr w14:paraId="75EB95B1">
        <w:trPr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44F9CA5E">
            <w:pPr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Low anterior resection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B4518C7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 (76.9)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132CEF0C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264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63.5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5E978E8A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146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62.9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577041A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43.9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64A166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5F2A581">
        <w:trPr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4149BA15">
            <w:pPr>
              <w:ind w:left="239" w:leftChars="114" w:firstLine="0" w:firstLine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Intersphincteric resection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8E2D122">
            <w:pPr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 (10.3)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3B17E752">
            <w:pPr>
              <w:jc w:val="center"/>
              <w:rPr>
                <w:rFonts w:hint="default" w:ascii="Times New Roman" w:hAnsi="Times New Roman" w:eastAsia="宋体" w:cs="Times New Roman"/>
                <w: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5BACC92A">
            <w:pPr>
              <w:jc w:val="center"/>
              <w:rPr>
                <w:rFonts w:hint="default" w:ascii="Times New Roman" w:hAnsi="Times New Roman" w:eastAsia="宋体" w:cs="Times New Roman"/>
                <w: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B371D79">
            <w:pPr>
              <w:jc w:val="center"/>
              <w:rPr>
                <w:rFonts w:hint="default" w:ascii="Times New Roman" w:hAnsi="Times New Roman" w:eastAsia="宋体" w:cs="Times New Roman"/>
                <w: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1D4406D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96F12ED">
        <w:trPr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31119F29">
            <w:pPr>
              <w:ind w:left="239" w:leftChars="114" w:firstLine="0" w:firstLine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Abdominoperineal resection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E689652">
            <w:pPr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 (12.8)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6465EE4E">
            <w:pPr>
              <w:jc w:val="center"/>
              <w:rPr>
                <w:rFonts w:hint="default" w:ascii="Times New Roman" w:hAnsi="Times New Roman" w:eastAsia="宋体" w:cs="Times New Roman"/>
                <w: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124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29.8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37C0F33C">
            <w:pPr>
              <w:jc w:val="center"/>
              <w:rPr>
                <w:rFonts w:hint="default" w:ascii="Times New Roman" w:hAnsi="Times New Roman" w:eastAsia="宋体" w:cs="Times New Roman"/>
                <w: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26.3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6513045">
            <w:pPr>
              <w:jc w:val="center"/>
              <w:rPr>
                <w:rFonts w:hint="default" w:ascii="Times New Roman" w:hAnsi="Times New Roman" w:eastAsia="宋体" w:cs="Times New Roman"/>
                <w: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50.0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5011C80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42913AC">
        <w:trPr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0A517A6D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Conversion to open surgery, No.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(%)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3A3BBBC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(5.1)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72587033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2.4</w:t>
            </w:r>
            <w:r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449FF9A0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</w:t>
            </w:r>
            <w:r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07D21480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(4.8)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09210FC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90</w:t>
            </w:r>
          </w:p>
        </w:tc>
      </w:tr>
      <w:tr w14:paraId="1048A5E9">
        <w:trPr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4D566D5A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val="en-US" w:bidi="ar"/>
                <w14:textFill>
                  <w14:solidFill>
                    <w14:schemeClr w14:val="tx1"/>
                  </w14:solidFill>
                </w14:textFill>
              </w:rPr>
              <w:t>Anal 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phincter preservation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b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5492C94D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 (87.2)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4A16A0BD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294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70.3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2975CC55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73.8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259758D5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47.4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28C380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0.002</w:t>
            </w:r>
          </w:p>
        </w:tc>
      </w:tr>
      <w:tr w14:paraId="50DF72D6">
        <w:trPr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412F6497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Diverting ostomy, No. (%)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B373BC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 (88.2)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1369EF7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75.9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3147B19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80.2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7508681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66.7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00FBD0A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180</w:t>
            </w:r>
          </w:p>
        </w:tc>
      </w:tr>
      <w:tr w14:paraId="4C87DED6">
        <w:trPr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7033761A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Type of diverting ostomy, No. (%)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3F70DAF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20A3201D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14:paraId="4D4FBE8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14:paraId="0AC9FEA3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0B0A2B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263</w:t>
            </w:r>
          </w:p>
        </w:tc>
      </w:tr>
      <w:tr w14:paraId="2300A768">
        <w:trPr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77E4A4F0">
            <w:pPr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Ileostomy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716316D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 (100)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3AF9F99A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214 (96.0)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61F8675D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128 (92.8)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0A1F5A6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 (92.9)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0C893FD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ADEA6C4">
        <w:trPr>
          <w:trHeight w:val="90" w:hRule="atLeast"/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00C8FE21">
            <w:pPr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Colostomy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8EA53B5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030AF65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 (4.0)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318A4D17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 (7.2)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5CCD9511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(7.1)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3EBE91F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C2794AC">
        <w:trPr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696C66BD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Combined multivisceral resection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No. (%)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0743641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(5.1)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36F9677E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 (2.6)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7412F33D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 (1.3)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1FC3FD09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5987114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268</w:t>
            </w:r>
          </w:p>
        </w:tc>
      </w:tr>
      <w:tr w14:paraId="04346C98">
        <w:trPr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0B1CB3BD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Operative time (min), median(IQR)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8E50E26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3413CCC9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207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3C0B3F85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189.5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2170AF4D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718233B3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202 </w:t>
            </w:r>
          </w:p>
          <w:p w14:paraId="796BF7CC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976D0CC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212.5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0BC45AC0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70A29E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&lt;0.001</w:t>
            </w:r>
          </w:p>
        </w:tc>
      </w:tr>
      <w:tr w14:paraId="7C4A5CCC">
        <w:trPr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3A33976C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Estimated blood loss (ml), median (IQR)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56992A56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50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0)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77F4AEE2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0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100)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1BF80524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0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100)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709A4AC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,1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7CD325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0.0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27</w:t>
            </w:r>
          </w:p>
        </w:tc>
      </w:tr>
      <w:tr w14:paraId="01420374">
        <w:trPr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1DC29993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Intraoperative complications, No. (%)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0DD04DC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4CD8E824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4A521FEF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588BBBCA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(4.8)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A0F232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040</w:t>
            </w:r>
          </w:p>
        </w:tc>
      </w:tr>
      <w:tr w14:paraId="2580ADBD">
        <w:trPr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21E5205E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Pathological outcomes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F6E599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4B2322EC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14:paraId="4CCFE61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14:paraId="4E3FF52F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DF805E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1C71095">
        <w:trPr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61F5CAD1">
            <w:pPr>
              <w:jc w:val="lef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yellow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pT stage, No. (%)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8955A2E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23F68FC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14:paraId="19E00A1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14:paraId="42CDFC7E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6835E8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031</w:t>
            </w:r>
          </w:p>
        </w:tc>
      </w:tr>
      <w:tr w14:paraId="766BCAE7">
        <w:trPr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0DB3C363">
            <w:pPr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/Tis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10EF64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 (7.7)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2DC81F1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3.9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5FDE4BA0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5.0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6706C67C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14.3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0370C86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DCA492C">
        <w:trPr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5B5BEE64">
            <w:pPr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551E48E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 (12.8)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3C14D6C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7.9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5C87098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29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2.4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5C8F640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 (7.1)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5DEF5B9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DF61323">
        <w:trPr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46ACB7D3">
            <w:pPr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2F0F41B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15 (38.5)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28CC87E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144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34.4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7E3A8945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86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96EA58A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35.7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10D363C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  <w:tr w14:paraId="5515A8C7">
        <w:trPr>
          <w:jc w:val="center"/>
        </w:trPr>
        <w:tc>
          <w:tcPr>
            <w:tcW w:w="3225" w:type="dxa"/>
            <w:vAlign w:val="center"/>
          </w:tcPr>
          <w:p w14:paraId="7A6B6021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611" w:type="dxa"/>
            <w:vAlign w:val="center"/>
          </w:tcPr>
          <w:p w14:paraId="0453BAA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9 (23.1)</w:t>
            </w:r>
          </w:p>
        </w:tc>
        <w:tc>
          <w:tcPr>
            <w:tcW w:w="1834" w:type="dxa"/>
            <w:vAlign w:val="center"/>
          </w:tcPr>
          <w:p w14:paraId="2976B43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166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9.7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5" w:type="dxa"/>
            <w:vAlign w:val="center"/>
          </w:tcPr>
          <w:p w14:paraId="1B2CDC2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29.6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vAlign w:val="center"/>
          </w:tcPr>
          <w:p w14:paraId="4EF2AB9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40.5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62" w:type="dxa"/>
            <w:vAlign w:val="center"/>
          </w:tcPr>
          <w:p w14:paraId="63BBD8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4B421DA5">
        <w:trPr>
          <w:jc w:val="center"/>
        </w:trPr>
        <w:tc>
          <w:tcPr>
            <w:tcW w:w="3225" w:type="dxa"/>
            <w:vAlign w:val="center"/>
          </w:tcPr>
          <w:p w14:paraId="3AF8C60A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611" w:type="dxa"/>
            <w:vAlign w:val="center"/>
          </w:tcPr>
          <w:p w14:paraId="74D24F1D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7 (17.9)</w:t>
            </w:r>
          </w:p>
        </w:tc>
        <w:tc>
          <w:tcPr>
            <w:tcW w:w="1834" w:type="dxa"/>
            <w:vAlign w:val="center"/>
          </w:tcPr>
          <w:p w14:paraId="35559F44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4.1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5" w:type="dxa"/>
            <w:vAlign w:val="center"/>
          </w:tcPr>
          <w:p w14:paraId="4331F170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14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6.0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vAlign w:val="center"/>
          </w:tcPr>
          <w:p w14:paraId="78A88FF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2.4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62" w:type="dxa"/>
            <w:vAlign w:val="center"/>
          </w:tcPr>
          <w:p w14:paraId="6E0830B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14EE0DA4">
        <w:trPr>
          <w:trHeight w:val="298" w:hRule="atLeast"/>
          <w:jc w:val="center"/>
        </w:trPr>
        <w:tc>
          <w:tcPr>
            <w:tcW w:w="3225" w:type="dxa"/>
            <w:vAlign w:val="center"/>
          </w:tcPr>
          <w:p w14:paraId="42782745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pN stage, No. (%)</w:t>
            </w:r>
          </w:p>
        </w:tc>
        <w:tc>
          <w:tcPr>
            <w:tcW w:w="1611" w:type="dxa"/>
            <w:vAlign w:val="center"/>
          </w:tcPr>
          <w:p w14:paraId="2CE96CC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34" w:type="dxa"/>
            <w:vAlign w:val="center"/>
          </w:tcPr>
          <w:p w14:paraId="1687643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dxa"/>
            <w:vAlign w:val="center"/>
          </w:tcPr>
          <w:p w14:paraId="631CB69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14:paraId="0C1D04E5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2" w:type="dxa"/>
            <w:vAlign w:val="center"/>
          </w:tcPr>
          <w:p w14:paraId="71D0C10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0.478</w:t>
            </w:r>
          </w:p>
        </w:tc>
      </w:tr>
      <w:tr w14:paraId="6AA6F4E3">
        <w:trPr>
          <w:jc w:val="center"/>
        </w:trPr>
        <w:tc>
          <w:tcPr>
            <w:tcW w:w="3225" w:type="dxa"/>
            <w:vAlign w:val="center"/>
          </w:tcPr>
          <w:p w14:paraId="0B8E1111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1611" w:type="dxa"/>
            <w:vAlign w:val="center"/>
          </w:tcPr>
          <w:p w14:paraId="096E158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25 (64.1)</w:t>
            </w:r>
          </w:p>
        </w:tc>
        <w:tc>
          <w:tcPr>
            <w:tcW w:w="1834" w:type="dxa"/>
            <w:vAlign w:val="center"/>
          </w:tcPr>
          <w:p w14:paraId="64316D66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74.2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5" w:type="dxa"/>
            <w:vAlign w:val="center"/>
          </w:tcPr>
          <w:p w14:paraId="573ED30C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182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(7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8.1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5839C5AF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(7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62" w:type="dxa"/>
            <w:vAlign w:val="center"/>
          </w:tcPr>
          <w:p w14:paraId="5222AE9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177FDB61">
        <w:trPr>
          <w:jc w:val="center"/>
        </w:trPr>
        <w:tc>
          <w:tcPr>
            <w:tcW w:w="3225" w:type="dxa"/>
            <w:vAlign w:val="center"/>
          </w:tcPr>
          <w:p w14:paraId="220D9DBB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11" w:type="dxa"/>
            <w:vAlign w:val="center"/>
          </w:tcPr>
          <w:p w14:paraId="4D7FCE1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9 (23.1)</w:t>
            </w:r>
          </w:p>
        </w:tc>
        <w:tc>
          <w:tcPr>
            <w:tcW w:w="1834" w:type="dxa"/>
            <w:vAlign w:val="center"/>
          </w:tcPr>
          <w:p w14:paraId="7F68CCAC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80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19.1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5" w:type="dxa"/>
            <w:vAlign w:val="center"/>
          </w:tcPr>
          <w:p w14:paraId="7280D61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40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7.2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3DB34F9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9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21.4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62" w:type="dxa"/>
            <w:vAlign w:val="center"/>
          </w:tcPr>
          <w:p w14:paraId="05C89E7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0DA89DD4">
        <w:trPr>
          <w:jc w:val="center"/>
        </w:trPr>
        <w:tc>
          <w:tcPr>
            <w:tcW w:w="3225" w:type="dxa"/>
            <w:vAlign w:val="center"/>
          </w:tcPr>
          <w:p w14:paraId="1F0FD0BD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11" w:type="dxa"/>
            <w:vAlign w:val="center"/>
          </w:tcPr>
          <w:p w14:paraId="5478EDB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 (12.8)</w:t>
            </w:r>
          </w:p>
        </w:tc>
        <w:tc>
          <w:tcPr>
            <w:tcW w:w="1834" w:type="dxa"/>
            <w:vAlign w:val="center"/>
          </w:tcPr>
          <w:p w14:paraId="3CC7947D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6.7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5" w:type="dxa"/>
            <w:vAlign w:val="center"/>
          </w:tcPr>
          <w:p w14:paraId="4F98513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4.7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2B5645C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 (7.1)</w:t>
            </w:r>
          </w:p>
        </w:tc>
        <w:tc>
          <w:tcPr>
            <w:tcW w:w="1062" w:type="dxa"/>
            <w:vAlign w:val="center"/>
          </w:tcPr>
          <w:p w14:paraId="281323E9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656CF8E2">
        <w:trPr>
          <w:jc w:val="center"/>
        </w:trPr>
        <w:tc>
          <w:tcPr>
            <w:tcW w:w="3225" w:type="dxa"/>
            <w:vAlign w:val="center"/>
          </w:tcPr>
          <w:p w14:paraId="18BB7428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pTNM stage, No. (%)</w:t>
            </w:r>
          </w:p>
        </w:tc>
        <w:tc>
          <w:tcPr>
            <w:tcW w:w="1611" w:type="dxa"/>
            <w:vAlign w:val="center"/>
          </w:tcPr>
          <w:p w14:paraId="05E971C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34" w:type="dxa"/>
            <w:vAlign w:val="center"/>
          </w:tcPr>
          <w:p w14:paraId="6A63E777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dxa"/>
            <w:vAlign w:val="center"/>
          </w:tcPr>
          <w:p w14:paraId="15B39E45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14:paraId="0DAC34F8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2" w:type="dxa"/>
            <w:vAlign w:val="center"/>
          </w:tcPr>
          <w:p w14:paraId="021FF21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514</w:t>
            </w:r>
          </w:p>
        </w:tc>
      </w:tr>
      <w:tr w14:paraId="64A532A6">
        <w:trPr>
          <w:jc w:val="center"/>
        </w:trPr>
        <w:tc>
          <w:tcPr>
            <w:tcW w:w="3225" w:type="dxa"/>
            <w:vAlign w:val="center"/>
          </w:tcPr>
          <w:p w14:paraId="2094D94F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0/pCR</w:t>
            </w:r>
          </w:p>
        </w:tc>
        <w:tc>
          <w:tcPr>
            <w:tcW w:w="1611" w:type="dxa"/>
            <w:vAlign w:val="center"/>
          </w:tcPr>
          <w:p w14:paraId="0961720F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 (7.7)</w:t>
            </w:r>
          </w:p>
        </w:tc>
        <w:tc>
          <w:tcPr>
            <w:tcW w:w="1834" w:type="dxa"/>
            <w:vAlign w:val="center"/>
          </w:tcPr>
          <w:p w14:paraId="5A666445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2.9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5" w:type="dxa"/>
            <w:vAlign w:val="center"/>
          </w:tcPr>
          <w:p w14:paraId="7A61726D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4.2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vAlign w:val="center"/>
          </w:tcPr>
          <w:p w14:paraId="4C20AC85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14.3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62" w:type="dxa"/>
            <w:vAlign w:val="center"/>
          </w:tcPr>
          <w:p w14:paraId="076FBCA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4A130FAF">
        <w:trPr>
          <w:jc w:val="center"/>
        </w:trPr>
        <w:tc>
          <w:tcPr>
            <w:tcW w:w="3225" w:type="dxa"/>
            <w:vAlign w:val="center"/>
          </w:tcPr>
          <w:p w14:paraId="3094FE4C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  <w:t>I</w:t>
            </w:r>
          </w:p>
        </w:tc>
        <w:tc>
          <w:tcPr>
            <w:tcW w:w="1611" w:type="dxa"/>
            <w:vAlign w:val="center"/>
          </w:tcPr>
          <w:p w14:paraId="23E2A66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16 (41.0)</w:t>
            </w:r>
          </w:p>
        </w:tc>
        <w:tc>
          <w:tcPr>
            <w:tcW w:w="1834" w:type="dxa"/>
            <w:vAlign w:val="center"/>
          </w:tcPr>
          <w:p w14:paraId="5EEC63F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144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4.4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5" w:type="dxa"/>
            <w:vAlign w:val="center"/>
          </w:tcPr>
          <w:p w14:paraId="2DC45AC4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94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40.3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7E034573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35.7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62" w:type="dxa"/>
            <w:vAlign w:val="center"/>
          </w:tcPr>
          <w:p w14:paraId="057006D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574474A9">
        <w:trPr>
          <w:jc w:val="center"/>
        </w:trPr>
        <w:tc>
          <w:tcPr>
            <w:tcW w:w="3225" w:type="dxa"/>
            <w:vAlign w:val="center"/>
          </w:tcPr>
          <w:p w14:paraId="584D8D9B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  <w:t>II</w:t>
            </w:r>
          </w:p>
        </w:tc>
        <w:tc>
          <w:tcPr>
            <w:tcW w:w="1611" w:type="dxa"/>
            <w:vAlign w:val="center"/>
          </w:tcPr>
          <w:p w14:paraId="1510718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 (15.4)</w:t>
            </w:r>
          </w:p>
        </w:tc>
        <w:tc>
          <w:tcPr>
            <w:tcW w:w="1834" w:type="dxa"/>
            <w:vAlign w:val="center"/>
          </w:tcPr>
          <w:p w14:paraId="323E55C4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5" w:type="dxa"/>
            <w:vAlign w:val="center"/>
          </w:tcPr>
          <w:p w14:paraId="1C6D0D9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4.0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69415875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62" w:type="dxa"/>
            <w:vAlign w:val="center"/>
          </w:tcPr>
          <w:p w14:paraId="2E494E4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6488FDF6">
        <w:trPr>
          <w:jc w:val="center"/>
        </w:trPr>
        <w:tc>
          <w:tcPr>
            <w:tcW w:w="3225" w:type="dxa"/>
            <w:vAlign w:val="center"/>
          </w:tcPr>
          <w:p w14:paraId="783C5427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  <w:t>III</w:t>
            </w:r>
          </w:p>
        </w:tc>
        <w:tc>
          <w:tcPr>
            <w:tcW w:w="1611" w:type="dxa"/>
            <w:vAlign w:val="center"/>
          </w:tcPr>
          <w:p w14:paraId="1953A95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14 (35.9)</w:t>
            </w:r>
          </w:p>
        </w:tc>
        <w:tc>
          <w:tcPr>
            <w:tcW w:w="1834" w:type="dxa"/>
            <w:vAlign w:val="center"/>
          </w:tcPr>
          <w:p w14:paraId="3D75576D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5" w:type="dxa"/>
            <w:vAlign w:val="center"/>
          </w:tcPr>
          <w:p w14:paraId="59A7C2C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23CD884B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8.6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62" w:type="dxa"/>
            <w:vAlign w:val="center"/>
          </w:tcPr>
          <w:p w14:paraId="103072B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2A33DC54">
        <w:trPr>
          <w:jc w:val="center"/>
        </w:trPr>
        <w:tc>
          <w:tcPr>
            <w:tcW w:w="3225" w:type="dxa"/>
            <w:vAlign w:val="center"/>
          </w:tcPr>
          <w:p w14:paraId="7683BB1A"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No. of retrieved lymph nodes, median (IQR)</w:t>
            </w:r>
          </w:p>
        </w:tc>
        <w:tc>
          <w:tcPr>
            <w:tcW w:w="1611" w:type="dxa"/>
            <w:vAlign w:val="center"/>
          </w:tcPr>
          <w:p w14:paraId="36ADD480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 (10.5, 21)</w:t>
            </w:r>
          </w:p>
        </w:tc>
        <w:tc>
          <w:tcPr>
            <w:tcW w:w="1834" w:type="dxa"/>
            <w:vAlign w:val="center"/>
          </w:tcPr>
          <w:p w14:paraId="0E272C1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13 (9, 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vAlign w:val="center"/>
          </w:tcPr>
          <w:p w14:paraId="45BDF64F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13 (9, 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vAlign w:val="center"/>
          </w:tcPr>
          <w:p w14:paraId="20A70DB2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2" w:type="dxa"/>
            <w:vAlign w:val="center"/>
          </w:tcPr>
          <w:p w14:paraId="239F1D4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0.050</w:t>
            </w:r>
          </w:p>
        </w:tc>
      </w:tr>
      <w:tr w14:paraId="1ED57227">
        <w:trPr>
          <w:jc w:val="center"/>
        </w:trPr>
        <w:tc>
          <w:tcPr>
            <w:tcW w:w="3225" w:type="dxa"/>
            <w:vAlign w:val="top"/>
          </w:tcPr>
          <w:p w14:paraId="229855B0"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Histopathology, No. (%)</w:t>
            </w:r>
          </w:p>
        </w:tc>
        <w:tc>
          <w:tcPr>
            <w:tcW w:w="1611" w:type="dxa"/>
            <w:vAlign w:val="center"/>
          </w:tcPr>
          <w:p w14:paraId="77D7836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34" w:type="dxa"/>
            <w:vAlign w:val="center"/>
          </w:tcPr>
          <w:p w14:paraId="491C0C3D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dxa"/>
            <w:vAlign w:val="center"/>
          </w:tcPr>
          <w:p w14:paraId="540E6F0E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14:paraId="2377A50E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2" w:type="dxa"/>
            <w:vAlign w:val="center"/>
          </w:tcPr>
          <w:p w14:paraId="1921EA7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786</w:t>
            </w:r>
          </w:p>
        </w:tc>
      </w:tr>
      <w:tr w14:paraId="11185ECD">
        <w:trPr>
          <w:jc w:val="center"/>
        </w:trPr>
        <w:tc>
          <w:tcPr>
            <w:tcW w:w="3225" w:type="dxa"/>
            <w:vAlign w:val="top"/>
          </w:tcPr>
          <w:p w14:paraId="7D890693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denocarcinoma</w:t>
            </w:r>
          </w:p>
        </w:tc>
        <w:tc>
          <w:tcPr>
            <w:tcW w:w="1611" w:type="dxa"/>
            <w:vAlign w:val="center"/>
          </w:tcPr>
          <w:p w14:paraId="1F92F68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 (97.4)</w:t>
            </w:r>
          </w:p>
        </w:tc>
        <w:tc>
          <w:tcPr>
            <w:tcW w:w="1834" w:type="dxa"/>
            <w:vAlign w:val="center"/>
          </w:tcPr>
          <w:p w14:paraId="0CCE2F64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vAlign w:val="center"/>
          </w:tcPr>
          <w:p w14:paraId="5CFCB7B7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6A676FBF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2" w:type="dxa"/>
            <w:vAlign w:val="center"/>
          </w:tcPr>
          <w:p w14:paraId="3E1788D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69030B85">
        <w:trPr>
          <w:jc w:val="center"/>
        </w:trPr>
        <w:tc>
          <w:tcPr>
            <w:tcW w:w="3225" w:type="dxa"/>
            <w:vAlign w:val="top"/>
          </w:tcPr>
          <w:p w14:paraId="6EF99B9D">
            <w:pPr>
              <w:ind w:left="239" w:leftChars="114" w:firstLine="0" w:firstLine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Mucinous adenocarcinoma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Signet-ring cell carcinoma</w:t>
            </w:r>
          </w:p>
        </w:tc>
        <w:tc>
          <w:tcPr>
            <w:tcW w:w="1611" w:type="dxa"/>
            <w:vAlign w:val="center"/>
          </w:tcPr>
          <w:p w14:paraId="1CBBCCF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(2.6)</w:t>
            </w:r>
          </w:p>
        </w:tc>
        <w:tc>
          <w:tcPr>
            <w:tcW w:w="1834" w:type="dxa"/>
            <w:vAlign w:val="center"/>
          </w:tcPr>
          <w:p w14:paraId="78D3B843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vAlign w:val="center"/>
          </w:tcPr>
          <w:p w14:paraId="6D50E7A3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14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47A1D6C5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2" w:type="dxa"/>
            <w:vAlign w:val="center"/>
          </w:tcPr>
          <w:p w14:paraId="2BA1483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03A099A5">
        <w:trPr>
          <w:jc w:val="center"/>
        </w:trPr>
        <w:tc>
          <w:tcPr>
            <w:tcW w:w="3225" w:type="dxa"/>
            <w:vAlign w:val="top"/>
          </w:tcPr>
          <w:p w14:paraId="34DDD7DE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Tumor differentiation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, No. (%)</w:t>
            </w:r>
          </w:p>
        </w:tc>
        <w:tc>
          <w:tcPr>
            <w:tcW w:w="1611" w:type="dxa"/>
            <w:vAlign w:val="center"/>
          </w:tcPr>
          <w:p w14:paraId="26CDE57C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34" w:type="dxa"/>
            <w:vAlign w:val="center"/>
          </w:tcPr>
          <w:p w14:paraId="3DAF1E5D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dxa"/>
            <w:vAlign w:val="center"/>
          </w:tcPr>
          <w:p w14:paraId="022CB0E7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14:paraId="486843CB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2" w:type="dxa"/>
            <w:vAlign w:val="center"/>
          </w:tcPr>
          <w:p w14:paraId="096CB0A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595</w:t>
            </w:r>
          </w:p>
        </w:tc>
      </w:tr>
      <w:tr w14:paraId="5DAE69D2">
        <w:trPr>
          <w:jc w:val="center"/>
        </w:trPr>
        <w:tc>
          <w:tcPr>
            <w:tcW w:w="3225" w:type="dxa"/>
            <w:vAlign w:val="top"/>
          </w:tcPr>
          <w:p w14:paraId="4333142A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Well differentiated</w:t>
            </w:r>
          </w:p>
        </w:tc>
        <w:tc>
          <w:tcPr>
            <w:tcW w:w="1611" w:type="dxa"/>
            <w:vAlign w:val="center"/>
          </w:tcPr>
          <w:p w14:paraId="28088A2E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(5.1)</w:t>
            </w:r>
          </w:p>
        </w:tc>
        <w:tc>
          <w:tcPr>
            <w:tcW w:w="1834" w:type="dxa"/>
            <w:vAlign w:val="center"/>
          </w:tcPr>
          <w:p w14:paraId="199979E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vAlign w:val="center"/>
          </w:tcPr>
          <w:p w14:paraId="2FE6ACBF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vAlign w:val="center"/>
          </w:tcPr>
          <w:p w14:paraId="0D1AFF6D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 (16.7)</w:t>
            </w:r>
          </w:p>
        </w:tc>
        <w:tc>
          <w:tcPr>
            <w:tcW w:w="1062" w:type="dxa"/>
            <w:vAlign w:val="center"/>
          </w:tcPr>
          <w:p w14:paraId="3F7DF1B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</w:tr>
      <w:tr w14:paraId="67C41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1823E06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Moderately differentiated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2140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 (69.2)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56BA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7B5C1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57.1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6942F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 (54.8)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45E5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062FF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E3F0EE7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Poorly differentiated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E6FC6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 (7.7)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B7987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20011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5549F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 (7.1)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D4E1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680FB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10EFCD0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Undifferentiated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9963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5A99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86451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BAEF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CB8E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13AB8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5A3BC5B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Unknown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DAD9F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 (17.9)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C7841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29.2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AA04C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DDF9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 (21.4)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4876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40173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755CF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trike w:val="0"/>
                <w:dstrike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TME quality, No. (%)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trike w:val="0"/>
                <w:dstrike w:val="0"/>
                <w:color w:val="000000" w:themeColor="text1"/>
                <w:kern w:val="0"/>
                <w:sz w:val="24"/>
                <w:szCs w:val="24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701E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3C24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14D6E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6C41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EC00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  <w:t>0.106</w:t>
            </w:r>
          </w:p>
        </w:tc>
      </w:tr>
      <w:tr w14:paraId="082D9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15A15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Complete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1DA3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 (86.8)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9AD32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307 (84.3)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641A2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171 (84.2)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78DDF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 (86.1)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EA753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7C297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585A2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Nearly complete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FCDE7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 (10.5)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47B6E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 (13.5)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0142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 (12.8)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6220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(2.8)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70D4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43759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0B52B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Incomplete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2B72B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(2.6)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32BC7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 (2.2)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3667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 (3.0)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4DD2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 (11.1)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CDBE9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3C4E6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49D47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Length of PRM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mm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, median (IQR)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3B9E5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  <w:p w14:paraId="4222D5A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(82,140)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5BD2F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2F008B21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, 15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E1DFD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6E9A676C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, 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70E05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8CC557B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, 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D299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048</w:t>
            </w:r>
          </w:p>
        </w:tc>
      </w:tr>
      <w:tr w14:paraId="4C029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510">
            <w:pPr>
              <w:jc w:val="left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Length of DRM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mm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, median (IQR)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783ED">
            <w:pPr>
              <w:jc w:val="center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D4831">
            <w:pPr>
              <w:jc w:val="center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ABD94">
            <w:pPr>
              <w:jc w:val="center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7F6C9">
            <w:pPr>
              <w:jc w:val="center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8789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131</w:t>
            </w:r>
          </w:p>
        </w:tc>
      </w:tr>
      <w:tr w14:paraId="70EC2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D047D">
            <w:pPr>
              <w:jc w:val="left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Negative DRM, No. (%)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8CD72">
            <w:pPr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 (100)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784D8">
            <w:pPr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417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99.8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DFB3A">
            <w:pPr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2E904">
            <w:pPr>
              <w:jc w:val="center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 (100)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7A0C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0.225</w:t>
            </w:r>
          </w:p>
        </w:tc>
      </w:tr>
      <w:tr w14:paraId="4B258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1337A">
            <w:pPr>
              <w:jc w:val="left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Negative CRM, No. (%)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9707E">
            <w:pPr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 (97.4)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609D9">
            <w:pPr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410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98.1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5C0E5">
            <w:pPr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FF3E8">
            <w:pPr>
              <w:jc w:val="center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 (100)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B554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0.131</w:t>
            </w:r>
          </w:p>
        </w:tc>
      </w:tr>
      <w:tr w14:paraId="042D6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1E631">
            <w:pPr>
              <w:jc w:val="left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Postoperative recovery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9DC53">
            <w:pPr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20349">
            <w:pPr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6CD60">
            <w:pPr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5C1BC">
            <w:pPr>
              <w:jc w:val="center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928BD">
            <w:pPr>
              <w:jc w:val="center"/>
              <w:rPr>
                <w:rFonts w:ascii="Times New Roman" w:hAnsi="Times New Roman" w:cs="Times New Roman" w:eastAsiaTheme="minorEastAsia"/>
                <w:b w:val="0"/>
                <w:bCs w:val="0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25F8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E5785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Time to first flatus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(h)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, median (IQR)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BD6DE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36.3</w:t>
            </w:r>
          </w:p>
          <w:p w14:paraId="31A1442E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(16.8, 44.0)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A013F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40.4</w:t>
            </w:r>
          </w:p>
          <w:p w14:paraId="47574E46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, 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26C31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40.7</w:t>
            </w:r>
          </w:p>
          <w:p w14:paraId="6ABD9597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, 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ABBC7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E797D6A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, 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1D5B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225</w:t>
            </w:r>
          </w:p>
        </w:tc>
      </w:tr>
      <w:tr w14:paraId="1452A169">
        <w:trPr>
          <w:jc w:val="center"/>
        </w:trPr>
        <w:tc>
          <w:tcPr>
            <w:tcW w:w="3225" w:type="dxa"/>
            <w:vAlign w:val="center"/>
          </w:tcPr>
          <w:p w14:paraId="5EBA72EA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Time to first defecation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(h)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, median (IQR)</w:t>
            </w:r>
          </w:p>
        </w:tc>
        <w:tc>
          <w:tcPr>
            <w:tcW w:w="1611" w:type="dxa"/>
            <w:vAlign w:val="center"/>
          </w:tcPr>
          <w:p w14:paraId="5D3127A0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51.2 </w:t>
            </w:r>
          </w:p>
          <w:p w14:paraId="5BB4787B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(21.6, 88.5)</w:t>
            </w:r>
          </w:p>
        </w:tc>
        <w:tc>
          <w:tcPr>
            <w:tcW w:w="1834" w:type="dxa"/>
            <w:vAlign w:val="center"/>
          </w:tcPr>
          <w:p w14:paraId="480AFC6B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62.8 </w:t>
            </w:r>
          </w:p>
          <w:p w14:paraId="0B6B360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35.8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vAlign w:val="center"/>
          </w:tcPr>
          <w:p w14:paraId="4F9E8F74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61C6EBEC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vAlign w:val="center"/>
          </w:tcPr>
          <w:p w14:paraId="2FB63B6D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551BA461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45.1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121.3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2" w:type="dxa"/>
            <w:vAlign w:val="center"/>
          </w:tcPr>
          <w:p w14:paraId="4483EE1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154</w:t>
            </w:r>
          </w:p>
        </w:tc>
      </w:tr>
      <w:tr w14:paraId="65A20794">
        <w:trPr>
          <w:trHeight w:val="90" w:hRule="atLeast"/>
          <w:jc w:val="center"/>
        </w:trPr>
        <w:tc>
          <w:tcPr>
            <w:tcW w:w="3225" w:type="dxa"/>
            <w:vAlign w:val="center"/>
          </w:tcPr>
          <w:p w14:paraId="4106E893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Time to liquid diet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(h)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, median (IQR)</w:t>
            </w:r>
          </w:p>
        </w:tc>
        <w:tc>
          <w:tcPr>
            <w:tcW w:w="1611" w:type="dxa"/>
            <w:vAlign w:val="center"/>
          </w:tcPr>
          <w:p w14:paraId="2DE9669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40.0</w:t>
            </w:r>
          </w:p>
          <w:p w14:paraId="15C362F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(20.0, 53.7)</w:t>
            </w:r>
          </w:p>
        </w:tc>
        <w:tc>
          <w:tcPr>
            <w:tcW w:w="1834" w:type="dxa"/>
            <w:vAlign w:val="center"/>
          </w:tcPr>
          <w:p w14:paraId="5767253F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45.5 </w:t>
            </w:r>
          </w:p>
          <w:p w14:paraId="09B94676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21.2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vAlign w:val="center"/>
          </w:tcPr>
          <w:p w14:paraId="3D66899A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61314226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90.3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vAlign w:val="center"/>
          </w:tcPr>
          <w:p w14:paraId="3FD5CE3D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45930E05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91.3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2" w:type="dxa"/>
            <w:vAlign w:val="center"/>
          </w:tcPr>
          <w:p w14:paraId="4D2027C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0.0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42</w:t>
            </w:r>
          </w:p>
        </w:tc>
      </w:tr>
      <w:tr w14:paraId="03B624A5">
        <w:trPr>
          <w:jc w:val="center"/>
        </w:trPr>
        <w:tc>
          <w:tcPr>
            <w:tcW w:w="3225" w:type="dxa"/>
            <w:vAlign w:val="center"/>
          </w:tcPr>
          <w:p w14:paraId="1409AB42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Time to normal diet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(h)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, median (IQR)</w:t>
            </w:r>
          </w:p>
        </w:tc>
        <w:tc>
          <w:tcPr>
            <w:tcW w:w="1611" w:type="dxa"/>
            <w:vAlign w:val="center"/>
          </w:tcPr>
          <w:p w14:paraId="4C19BD00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93.9 </w:t>
            </w:r>
          </w:p>
          <w:p w14:paraId="7427F7A7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(68.3, 139.4)</w:t>
            </w:r>
          </w:p>
        </w:tc>
        <w:tc>
          <w:tcPr>
            <w:tcW w:w="1834" w:type="dxa"/>
            <w:vAlign w:val="center"/>
          </w:tcPr>
          <w:p w14:paraId="1501B1AA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E18EAA3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, 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83.8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vAlign w:val="center"/>
          </w:tcPr>
          <w:p w14:paraId="2E9A91C9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1E3656B4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164.8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vAlign w:val="center"/>
          </w:tcPr>
          <w:p w14:paraId="4E47364D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19.7</w:t>
            </w:r>
          </w:p>
          <w:p w14:paraId="7D687EBE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89.2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163.0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2" w:type="dxa"/>
            <w:vAlign w:val="center"/>
          </w:tcPr>
          <w:p w14:paraId="0BBA435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065</w:t>
            </w:r>
          </w:p>
        </w:tc>
      </w:tr>
      <w:tr w14:paraId="3F9A22D4">
        <w:trPr>
          <w:jc w:val="center"/>
        </w:trPr>
        <w:tc>
          <w:tcPr>
            <w:tcW w:w="3225" w:type="dxa"/>
            <w:vAlign w:val="center"/>
          </w:tcPr>
          <w:p w14:paraId="0B953CC9"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30-d Postoperative complications, No. (%)</w:t>
            </w:r>
          </w:p>
        </w:tc>
        <w:tc>
          <w:tcPr>
            <w:tcW w:w="1611" w:type="dxa"/>
            <w:vAlign w:val="center"/>
          </w:tcPr>
          <w:p w14:paraId="7749B2B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 (10.3)</w:t>
            </w:r>
          </w:p>
        </w:tc>
        <w:tc>
          <w:tcPr>
            <w:tcW w:w="1834" w:type="dxa"/>
            <w:vAlign w:val="center"/>
          </w:tcPr>
          <w:p w14:paraId="787611A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 (11.5)</w:t>
            </w:r>
          </w:p>
        </w:tc>
        <w:tc>
          <w:tcPr>
            <w:tcW w:w="1535" w:type="dxa"/>
            <w:vAlign w:val="center"/>
          </w:tcPr>
          <w:p w14:paraId="615A5CE4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 (16.3)</w:t>
            </w:r>
          </w:p>
        </w:tc>
        <w:tc>
          <w:tcPr>
            <w:tcW w:w="1445" w:type="dxa"/>
            <w:vAlign w:val="center"/>
          </w:tcPr>
          <w:p w14:paraId="48C79E44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 (11.9)</w:t>
            </w:r>
          </w:p>
        </w:tc>
        <w:tc>
          <w:tcPr>
            <w:tcW w:w="1062" w:type="dxa"/>
            <w:vAlign w:val="center"/>
          </w:tcPr>
          <w:p w14:paraId="0656D9C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0.347</w:t>
            </w:r>
          </w:p>
        </w:tc>
      </w:tr>
      <w:tr w14:paraId="3E33F7DC">
        <w:trPr>
          <w:jc w:val="center"/>
        </w:trPr>
        <w:tc>
          <w:tcPr>
            <w:tcW w:w="3225" w:type="dxa"/>
            <w:vAlign w:val="center"/>
          </w:tcPr>
          <w:p w14:paraId="1736F303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Type of postoperative complications, No. (%)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vertAlign w:val="superscript"/>
                <w:lang w:val="en-US" w:eastAsia="zh-CN" w:bidi="ar"/>
              </w:rPr>
              <w:t>e</w:t>
            </w:r>
          </w:p>
        </w:tc>
        <w:tc>
          <w:tcPr>
            <w:tcW w:w="1611" w:type="dxa"/>
            <w:vAlign w:val="center"/>
          </w:tcPr>
          <w:p w14:paraId="791D6EB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4" w:type="dxa"/>
            <w:vAlign w:val="center"/>
          </w:tcPr>
          <w:p w14:paraId="32158552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dxa"/>
            <w:vAlign w:val="center"/>
          </w:tcPr>
          <w:p w14:paraId="7EA85C5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vAlign w:val="center"/>
          </w:tcPr>
          <w:p w14:paraId="0ADFCBA8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2" w:type="dxa"/>
            <w:vAlign w:val="center"/>
          </w:tcPr>
          <w:p w14:paraId="1BEBC01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</w:tr>
      <w:tr w14:paraId="64351857">
        <w:trPr>
          <w:trHeight w:val="90" w:hRule="atLeast"/>
          <w:jc w:val="center"/>
        </w:trPr>
        <w:tc>
          <w:tcPr>
            <w:tcW w:w="3225" w:type="dxa"/>
            <w:vAlign w:val="center"/>
          </w:tcPr>
          <w:p w14:paraId="6AB888CA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Presacral hemorrhage</w:t>
            </w:r>
          </w:p>
        </w:tc>
        <w:tc>
          <w:tcPr>
            <w:tcW w:w="1611" w:type="dxa"/>
            <w:vAlign w:val="center"/>
          </w:tcPr>
          <w:p w14:paraId="1B7B282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34" w:type="dxa"/>
            <w:vAlign w:val="center"/>
          </w:tcPr>
          <w:p w14:paraId="44648D5E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(0.2)</w:t>
            </w:r>
          </w:p>
        </w:tc>
        <w:tc>
          <w:tcPr>
            <w:tcW w:w="1535" w:type="dxa"/>
            <w:vAlign w:val="center"/>
          </w:tcPr>
          <w:p w14:paraId="60901CC6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45" w:type="dxa"/>
            <w:vAlign w:val="center"/>
          </w:tcPr>
          <w:p w14:paraId="712D58B8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62" w:type="dxa"/>
            <w:vAlign w:val="center"/>
          </w:tcPr>
          <w:p w14:paraId="13ACB8A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1.000</w:t>
            </w:r>
          </w:p>
        </w:tc>
      </w:tr>
      <w:tr w14:paraId="7AEE82B1">
        <w:trPr>
          <w:jc w:val="center"/>
        </w:trPr>
        <w:tc>
          <w:tcPr>
            <w:tcW w:w="3225" w:type="dxa"/>
            <w:vAlign w:val="center"/>
          </w:tcPr>
          <w:p w14:paraId="63F39F7D">
            <w:pPr>
              <w:ind w:left="240" w:leftChars="0" w:hanging="240" w:hanging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Active intraabdominal bleeding</w:t>
            </w:r>
          </w:p>
        </w:tc>
        <w:tc>
          <w:tcPr>
            <w:tcW w:w="1611" w:type="dxa"/>
            <w:vAlign w:val="center"/>
          </w:tcPr>
          <w:p w14:paraId="2395FAA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(2.6)</w:t>
            </w:r>
          </w:p>
        </w:tc>
        <w:tc>
          <w:tcPr>
            <w:tcW w:w="1834" w:type="dxa"/>
            <w:vAlign w:val="center"/>
          </w:tcPr>
          <w:p w14:paraId="143A6F1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(0.2)</w:t>
            </w:r>
          </w:p>
        </w:tc>
        <w:tc>
          <w:tcPr>
            <w:tcW w:w="1535" w:type="dxa"/>
            <w:vAlign w:val="center"/>
          </w:tcPr>
          <w:p w14:paraId="20C5197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(0.4)</w:t>
            </w:r>
          </w:p>
        </w:tc>
        <w:tc>
          <w:tcPr>
            <w:tcW w:w="1445" w:type="dxa"/>
            <w:vAlign w:val="center"/>
          </w:tcPr>
          <w:p w14:paraId="2DD4B33E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62" w:type="dxa"/>
            <w:vAlign w:val="center"/>
          </w:tcPr>
          <w:p w14:paraId="446F3FC7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0.266</w:t>
            </w:r>
          </w:p>
        </w:tc>
      </w:tr>
      <w:tr w14:paraId="5625CCC1">
        <w:trPr>
          <w:jc w:val="center"/>
        </w:trPr>
        <w:tc>
          <w:tcPr>
            <w:tcW w:w="3225" w:type="dxa"/>
            <w:vAlign w:val="center"/>
          </w:tcPr>
          <w:p w14:paraId="2B18B27E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Anastomotic bleeding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611" w:type="dxa"/>
            <w:vAlign w:val="center"/>
          </w:tcPr>
          <w:p w14:paraId="7D1E5B5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34" w:type="dxa"/>
            <w:vAlign w:val="center"/>
          </w:tcPr>
          <w:p w14:paraId="6D845EB7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(0.2)</w:t>
            </w:r>
          </w:p>
        </w:tc>
        <w:tc>
          <w:tcPr>
            <w:tcW w:w="1535" w:type="dxa"/>
            <w:vAlign w:val="center"/>
          </w:tcPr>
          <w:p w14:paraId="0A32959C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(0.9)</w:t>
            </w:r>
          </w:p>
        </w:tc>
        <w:tc>
          <w:tcPr>
            <w:tcW w:w="1445" w:type="dxa"/>
            <w:vAlign w:val="center"/>
          </w:tcPr>
          <w:p w14:paraId="6E19D239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62" w:type="dxa"/>
            <w:vAlign w:val="center"/>
          </w:tcPr>
          <w:p w14:paraId="51A2305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0.502</w:t>
            </w:r>
          </w:p>
        </w:tc>
      </w:tr>
      <w:tr w14:paraId="5A6C7CDA">
        <w:trPr>
          <w:jc w:val="center"/>
        </w:trPr>
        <w:tc>
          <w:tcPr>
            <w:tcW w:w="3225" w:type="dxa"/>
            <w:vAlign w:val="center"/>
          </w:tcPr>
          <w:p w14:paraId="40E0405C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Anastomotic leakage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611" w:type="dxa"/>
            <w:vAlign w:val="center"/>
          </w:tcPr>
          <w:p w14:paraId="72DEE0A1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(2.6)</w:t>
            </w:r>
          </w:p>
        </w:tc>
        <w:tc>
          <w:tcPr>
            <w:tcW w:w="1834" w:type="dxa"/>
            <w:vAlign w:val="center"/>
          </w:tcPr>
          <w:p w14:paraId="68DCB25B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 (1.9)</w:t>
            </w:r>
          </w:p>
        </w:tc>
        <w:tc>
          <w:tcPr>
            <w:tcW w:w="1535" w:type="dxa"/>
            <w:vAlign w:val="center"/>
          </w:tcPr>
          <w:p w14:paraId="7E00C17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 (2.1)</w:t>
            </w:r>
          </w:p>
        </w:tc>
        <w:tc>
          <w:tcPr>
            <w:tcW w:w="1445" w:type="dxa"/>
            <w:vAlign w:val="center"/>
          </w:tcPr>
          <w:p w14:paraId="0E3A006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62" w:type="dxa"/>
            <w:vAlign w:val="center"/>
          </w:tcPr>
          <w:p w14:paraId="4E7E81D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0.843</w:t>
            </w:r>
          </w:p>
        </w:tc>
      </w:tr>
      <w:tr w14:paraId="1814FB20">
        <w:trPr>
          <w:jc w:val="center"/>
        </w:trPr>
        <w:tc>
          <w:tcPr>
            <w:tcW w:w="3225" w:type="dxa"/>
            <w:vAlign w:val="center"/>
          </w:tcPr>
          <w:p w14:paraId="2DE90DC7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Chylous leakage</w:t>
            </w:r>
          </w:p>
        </w:tc>
        <w:tc>
          <w:tcPr>
            <w:tcW w:w="1611" w:type="dxa"/>
            <w:vAlign w:val="center"/>
          </w:tcPr>
          <w:p w14:paraId="27F6D8EF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34" w:type="dxa"/>
            <w:vAlign w:val="center"/>
          </w:tcPr>
          <w:p w14:paraId="1FE33EE1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 (0.7)</w:t>
            </w:r>
          </w:p>
        </w:tc>
        <w:tc>
          <w:tcPr>
            <w:tcW w:w="1535" w:type="dxa"/>
            <w:vAlign w:val="center"/>
          </w:tcPr>
          <w:p w14:paraId="114A7BD7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(0.4)</w:t>
            </w:r>
          </w:p>
        </w:tc>
        <w:tc>
          <w:tcPr>
            <w:tcW w:w="1445" w:type="dxa"/>
            <w:vAlign w:val="center"/>
          </w:tcPr>
          <w:p w14:paraId="5426814B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62" w:type="dxa"/>
            <w:vAlign w:val="center"/>
          </w:tcPr>
          <w:p w14:paraId="34ECECB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1.000</w:t>
            </w:r>
          </w:p>
        </w:tc>
      </w:tr>
      <w:tr w14:paraId="554BFA2E">
        <w:trPr>
          <w:jc w:val="center"/>
        </w:trPr>
        <w:tc>
          <w:tcPr>
            <w:tcW w:w="3225" w:type="dxa"/>
            <w:vAlign w:val="center"/>
          </w:tcPr>
          <w:p w14:paraId="2D0C315F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Ileus</w:t>
            </w:r>
          </w:p>
        </w:tc>
        <w:tc>
          <w:tcPr>
            <w:tcW w:w="1611" w:type="dxa"/>
            <w:vAlign w:val="center"/>
          </w:tcPr>
          <w:p w14:paraId="2571C5C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34" w:type="dxa"/>
            <w:vAlign w:val="center"/>
          </w:tcPr>
          <w:p w14:paraId="6E5B234C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 (1.9)</w:t>
            </w:r>
          </w:p>
        </w:tc>
        <w:tc>
          <w:tcPr>
            <w:tcW w:w="1535" w:type="dxa"/>
            <w:vAlign w:val="center"/>
          </w:tcPr>
          <w:p w14:paraId="76FE305C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 (2.6)</w:t>
            </w:r>
          </w:p>
        </w:tc>
        <w:tc>
          <w:tcPr>
            <w:tcW w:w="1445" w:type="dxa"/>
            <w:vAlign w:val="center"/>
          </w:tcPr>
          <w:p w14:paraId="49D2AD10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(2.4)</w:t>
            </w:r>
          </w:p>
        </w:tc>
        <w:tc>
          <w:tcPr>
            <w:tcW w:w="1062" w:type="dxa"/>
            <w:vAlign w:val="center"/>
          </w:tcPr>
          <w:p w14:paraId="22E0B47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0.727</w:t>
            </w:r>
          </w:p>
        </w:tc>
      </w:tr>
      <w:tr w14:paraId="39D137E7">
        <w:trPr>
          <w:jc w:val="center"/>
        </w:trPr>
        <w:tc>
          <w:tcPr>
            <w:tcW w:w="3225" w:type="dxa"/>
            <w:vAlign w:val="center"/>
          </w:tcPr>
          <w:p w14:paraId="119E8A20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Incision complications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714D9DF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(2.6)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2BBD08C3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50BF40AA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(0.4)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248C6B05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62" w:type="dxa"/>
            <w:vAlign w:val="center"/>
          </w:tcPr>
          <w:p w14:paraId="20F86EE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0.046</w:t>
            </w:r>
          </w:p>
        </w:tc>
      </w:tr>
      <w:tr w14:paraId="7F7AE980">
        <w:trPr>
          <w:jc w:val="center"/>
        </w:trPr>
        <w:tc>
          <w:tcPr>
            <w:tcW w:w="3225" w:type="dxa"/>
            <w:vAlign w:val="center"/>
          </w:tcPr>
          <w:p w14:paraId="35EE6000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Stoma-related complications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5BC184A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388EDAFB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140B72E0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76B788D2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62" w:type="dxa"/>
            <w:vAlign w:val="center"/>
          </w:tcPr>
          <w:p w14:paraId="26D1359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NA</w:t>
            </w:r>
          </w:p>
        </w:tc>
      </w:tr>
      <w:tr w14:paraId="35DD8E6C">
        <w:trPr>
          <w:jc w:val="center"/>
        </w:trPr>
        <w:tc>
          <w:tcPr>
            <w:tcW w:w="3225" w:type="dxa"/>
            <w:vAlign w:val="center"/>
          </w:tcPr>
          <w:p w14:paraId="018EE042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Urinary disorder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11A6AAA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77672D5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 (2.2)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39CFBBFA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 (1.3)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6741A313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(2.4)</w:t>
            </w:r>
          </w:p>
        </w:tc>
        <w:tc>
          <w:tcPr>
            <w:tcW w:w="1062" w:type="dxa"/>
            <w:vAlign w:val="center"/>
          </w:tcPr>
          <w:p w14:paraId="63979F7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0.712</w:t>
            </w:r>
          </w:p>
        </w:tc>
      </w:tr>
      <w:tr w14:paraId="13F188DF">
        <w:trPr>
          <w:jc w:val="center"/>
        </w:trPr>
        <w:tc>
          <w:tcPr>
            <w:tcW w:w="3225" w:type="dxa"/>
            <w:vAlign w:val="center"/>
          </w:tcPr>
          <w:p w14:paraId="7B09D1F0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Urinary tract infection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80BE1ED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2506B844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(0.5)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2618D29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 (2.1)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62B87971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62" w:type="dxa"/>
            <w:vAlign w:val="center"/>
          </w:tcPr>
          <w:p w14:paraId="1FB3D8E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0.250</w:t>
            </w:r>
          </w:p>
        </w:tc>
      </w:tr>
      <w:tr w14:paraId="14986F59">
        <w:trPr>
          <w:jc w:val="center"/>
        </w:trPr>
        <w:tc>
          <w:tcPr>
            <w:tcW w:w="3225" w:type="dxa"/>
            <w:vAlign w:val="center"/>
          </w:tcPr>
          <w:p w14:paraId="7D4EC0B6">
            <w:pPr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Cardiovascular event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CE6BC5A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64E68ADE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51F98EA7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 (1.3)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74C843F3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62" w:type="dxa"/>
            <w:vAlign w:val="center"/>
          </w:tcPr>
          <w:p w14:paraId="1C0434C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0.099</w:t>
            </w:r>
          </w:p>
        </w:tc>
      </w:tr>
      <w:tr w14:paraId="45781208">
        <w:trPr>
          <w:jc w:val="center"/>
        </w:trPr>
        <w:tc>
          <w:tcPr>
            <w:tcW w:w="3225" w:type="dxa"/>
            <w:vAlign w:val="center"/>
          </w:tcPr>
          <w:p w14:paraId="7017125A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Pneumonia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B9DFF67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5FFD3624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 (1.0)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33AA19FA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(0.9)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47EACE09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62" w:type="dxa"/>
            <w:vAlign w:val="center"/>
          </w:tcPr>
          <w:p w14:paraId="187590F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1.000</w:t>
            </w:r>
          </w:p>
        </w:tc>
      </w:tr>
      <w:tr w14:paraId="4206BF1E">
        <w:trPr>
          <w:trHeight w:val="318" w:hRule="atLeast"/>
          <w:jc w:val="center"/>
        </w:trPr>
        <w:tc>
          <w:tcPr>
            <w:tcW w:w="3225" w:type="dxa"/>
            <w:vAlign w:val="center"/>
          </w:tcPr>
          <w:p w14:paraId="46441354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Others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9FD113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(2.6)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756D1267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 (2.2)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1C5BE7B1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 (3.0)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22C0D9D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(4.8)</w:t>
            </w:r>
          </w:p>
        </w:tc>
        <w:tc>
          <w:tcPr>
            <w:tcW w:w="1062" w:type="dxa"/>
            <w:vAlign w:val="center"/>
          </w:tcPr>
          <w:p w14:paraId="06CF95F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0.509</w:t>
            </w:r>
          </w:p>
        </w:tc>
      </w:tr>
      <w:tr w14:paraId="08307F8F">
        <w:trPr>
          <w:jc w:val="center"/>
        </w:trPr>
        <w:tc>
          <w:tcPr>
            <w:tcW w:w="3225" w:type="dxa"/>
            <w:vAlign w:val="center"/>
          </w:tcPr>
          <w:p w14:paraId="6C62D74C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Clavien-Dindo classification, No. (%)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E3BF3B3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4A06EDAF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14:paraId="29178804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14:paraId="3E5F638A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2" w:type="dxa"/>
            <w:vAlign w:val="center"/>
          </w:tcPr>
          <w:p w14:paraId="3FEEF89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0.052</w:t>
            </w:r>
          </w:p>
        </w:tc>
      </w:tr>
      <w:tr w14:paraId="64A84EBD">
        <w:trPr>
          <w:jc w:val="center"/>
        </w:trPr>
        <w:tc>
          <w:tcPr>
            <w:tcW w:w="3225" w:type="dxa"/>
            <w:vAlign w:val="center"/>
          </w:tcPr>
          <w:p w14:paraId="4D177947">
            <w:pPr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I-II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4729E8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 (10.3)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6461E4E2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 (11.5)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5B2EE305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 (13.7)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4D44D899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 (11.9)</w:t>
            </w:r>
          </w:p>
        </w:tc>
        <w:tc>
          <w:tcPr>
            <w:tcW w:w="1062" w:type="dxa"/>
            <w:vAlign w:val="center"/>
          </w:tcPr>
          <w:p w14:paraId="441AD64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14:paraId="65FD4C2E">
        <w:trPr>
          <w:jc w:val="center"/>
        </w:trPr>
        <w:tc>
          <w:tcPr>
            <w:tcW w:w="3225" w:type="dxa"/>
            <w:vAlign w:val="center"/>
          </w:tcPr>
          <w:p w14:paraId="2F6EB1CD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IIIa-IVa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6447CE6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5017F4DC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5210EAD0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 (2.6)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1FE5403E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62" w:type="dxa"/>
            <w:vAlign w:val="center"/>
          </w:tcPr>
          <w:p w14:paraId="76AA186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14:paraId="556F4F14">
        <w:trPr>
          <w:jc w:val="center"/>
        </w:trPr>
        <w:tc>
          <w:tcPr>
            <w:tcW w:w="3225" w:type="dxa"/>
            <w:vAlign w:val="center"/>
          </w:tcPr>
          <w:p w14:paraId="237581FD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R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bidi="ar"/>
              </w:rPr>
              <w:t>-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operation, No. (%)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147774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0D46F69E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70301747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 (2.6)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924A57E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62" w:type="dxa"/>
            <w:vAlign w:val="center"/>
          </w:tcPr>
          <w:p w14:paraId="16D7BD5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0.009</w:t>
            </w:r>
          </w:p>
        </w:tc>
      </w:tr>
      <w:tr w14:paraId="3BDD16C1">
        <w:trPr>
          <w:jc w:val="center"/>
        </w:trPr>
        <w:tc>
          <w:tcPr>
            <w:tcW w:w="3225" w:type="dxa"/>
            <w:vAlign w:val="center"/>
          </w:tcPr>
          <w:p w14:paraId="3E5ADA31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30-d Mortality, No. (%)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64CA7CB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2B72C6A6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70313CAB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7A243410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62" w:type="dxa"/>
            <w:vAlign w:val="center"/>
          </w:tcPr>
          <w:p w14:paraId="31D6B22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NA</w:t>
            </w:r>
          </w:p>
        </w:tc>
      </w:tr>
      <w:tr w14:paraId="09AFC7EA">
        <w:trPr>
          <w:jc w:val="center"/>
        </w:trPr>
        <w:tc>
          <w:tcPr>
            <w:tcW w:w="3225" w:type="dxa"/>
            <w:vAlign w:val="center"/>
          </w:tcPr>
          <w:p w14:paraId="43C479BE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ostoperative hospital stay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 (d)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, No. (%)</w:t>
            </w:r>
          </w:p>
        </w:tc>
        <w:tc>
          <w:tcPr>
            <w:tcW w:w="1611" w:type="dxa"/>
            <w:vAlign w:val="center"/>
          </w:tcPr>
          <w:p w14:paraId="5FC61555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 (87.2)</w:t>
            </w:r>
          </w:p>
        </w:tc>
        <w:tc>
          <w:tcPr>
            <w:tcW w:w="1834" w:type="dxa"/>
            <w:vAlign w:val="center"/>
          </w:tcPr>
          <w:p w14:paraId="05A3C811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359 (85.9)</w:t>
            </w:r>
          </w:p>
        </w:tc>
        <w:tc>
          <w:tcPr>
            <w:tcW w:w="1535" w:type="dxa"/>
            <w:vAlign w:val="center"/>
          </w:tcPr>
          <w:p w14:paraId="07DC6143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192 (82.4)</w:t>
            </w:r>
          </w:p>
        </w:tc>
        <w:tc>
          <w:tcPr>
            <w:tcW w:w="1445" w:type="dxa"/>
            <w:vAlign w:val="center"/>
          </w:tcPr>
          <w:p w14:paraId="251FCEC4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 (88.1)</w:t>
            </w:r>
          </w:p>
        </w:tc>
        <w:tc>
          <w:tcPr>
            <w:tcW w:w="1062" w:type="dxa"/>
            <w:vAlign w:val="center"/>
          </w:tcPr>
          <w:p w14:paraId="16C3F37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0.584</w:t>
            </w:r>
          </w:p>
        </w:tc>
      </w:tr>
      <w:tr w14:paraId="1ADB04A4">
        <w:trPr>
          <w:jc w:val="center"/>
        </w:trPr>
        <w:tc>
          <w:tcPr>
            <w:tcW w:w="3225" w:type="dxa"/>
            <w:vAlign w:val="center"/>
          </w:tcPr>
          <w:p w14:paraId="12F8A76C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Duration of hospitalization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d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, median (IQR)</w:t>
            </w:r>
          </w:p>
        </w:tc>
        <w:tc>
          <w:tcPr>
            <w:tcW w:w="1611" w:type="dxa"/>
            <w:vAlign w:val="center"/>
          </w:tcPr>
          <w:p w14:paraId="3A4D0A87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 (7, 10.5)</w:t>
            </w:r>
          </w:p>
        </w:tc>
        <w:tc>
          <w:tcPr>
            <w:tcW w:w="1834" w:type="dxa"/>
            <w:vAlign w:val="center"/>
          </w:tcPr>
          <w:p w14:paraId="3C7C229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35" w:type="dxa"/>
            <w:vAlign w:val="center"/>
          </w:tcPr>
          <w:p w14:paraId="487CD093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7313A82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2" w:type="dxa"/>
            <w:vAlign w:val="center"/>
          </w:tcPr>
          <w:p w14:paraId="4882CA5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084</w:t>
            </w:r>
          </w:p>
        </w:tc>
      </w:tr>
    </w:tbl>
    <w:p w14:paraId="6044B5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center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Abbreviations: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IQR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,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 interquartile range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;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Tis,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Carcinoma in situ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;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pCR, pathological complete response; PRM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,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 proximal resection margin; DRM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,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 distal resection margin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;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CRM, circumferential resection margin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;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 TME, total mesorectal excision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; NA, not applicable.</w:t>
      </w:r>
    </w:p>
    <w:p w14:paraId="6B2C65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center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a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Data were obtained from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718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patients.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In the Normal weight group, 1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patients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underwent the Hartmann procedure, and 1 underwent posterior pelvic resection. In the Overweight group, 1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patient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underwent transanal total mesorectal excision. In the Obesity group, 1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patient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underwent the Hartmann procedure.</w:t>
      </w:r>
    </w:p>
    <w:p w14:paraId="5F0DF4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center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 xml:space="preserve">B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In the Normal weight group, 1 patient underwent posterior pelvic resection. In the Overweight group, 1 patient underwent transanal total mesorectal excision. In the Obesity group, 1 patient underwent the Hartmann procedure.</w:t>
      </w:r>
    </w:p>
    <w:p w14:paraId="77EB69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center"/>
        <w:rPr>
          <w:rFonts w:hint="default" w:ascii="Times New Roman" w:hAnsi="Times New Roman" w:eastAsia="宋体" w:cs="Times New Roman"/>
          <w:sz w:val="24"/>
          <w:szCs w:val="24"/>
          <w:vertAlign w:val="superscript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superscript"/>
          <w:lang w:val="en-US" w:eastAsia="zh-CN"/>
        </w:rPr>
        <w:t>c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Only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patients who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underwent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sphincter-preserving surgery were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included.</w:t>
      </w:r>
    </w:p>
    <w:p w14:paraId="3FFA81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eastAsia="GuardianSansGR-Regular" w:cs="Times New Roman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GuardianSansGR-Regular" w:cs="Times New Roman"/>
          <w:color w:val="231F20"/>
          <w:kern w:val="0"/>
          <w:sz w:val="24"/>
          <w:szCs w:val="24"/>
          <w:vertAlign w:val="superscript"/>
          <w:lang w:val="en-US" w:eastAsia="zh-CN" w:bidi="ar"/>
        </w:rPr>
        <w:t>d</w:t>
      </w:r>
      <w:r>
        <w:rPr>
          <w:rFonts w:hint="eastAsia" w:ascii="Times New Roman" w:hAnsi="Times New Roman" w:eastAsia="GuardianSansGR-Regular" w:cs="Times New Roman"/>
          <w:color w:val="231F2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GuardianSansGR-Regular" w:cs="Times New Roman"/>
          <w:color w:val="231F20"/>
          <w:kern w:val="0"/>
          <w:sz w:val="24"/>
          <w:szCs w:val="24"/>
          <w:lang w:val="en-US" w:eastAsia="zh-CN" w:bidi="ar"/>
        </w:rPr>
        <w:t xml:space="preserve">Data were obtained from </w:t>
      </w:r>
      <w:r>
        <w:rPr>
          <w:rFonts w:hint="eastAsia" w:ascii="Times New Roman" w:hAnsi="Times New Roman" w:eastAsia="GuardianSansGR-Regular" w:cs="Times New Roman"/>
          <w:color w:val="231F20"/>
          <w:kern w:val="0"/>
          <w:sz w:val="24"/>
          <w:szCs w:val="24"/>
          <w:lang w:val="en-US" w:eastAsia="zh-CN" w:bidi="ar"/>
        </w:rPr>
        <w:t>641</w:t>
      </w:r>
      <w:r>
        <w:rPr>
          <w:rFonts w:hint="default" w:ascii="Times New Roman" w:hAnsi="Times New Roman" w:eastAsia="GuardianSansGR-Regular" w:cs="Times New Roman"/>
          <w:color w:val="231F20"/>
          <w:kern w:val="0"/>
          <w:sz w:val="24"/>
          <w:szCs w:val="24"/>
          <w:lang w:val="en-US" w:eastAsia="zh-CN" w:bidi="ar"/>
        </w:rPr>
        <w:t xml:space="preserve"> patients.</w:t>
      </w:r>
    </w:p>
    <w:p w14:paraId="4696B4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center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 xml:space="preserve">e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The number of individual complications exceeded the total number of complications because patients may have had 2 or more complications.</w:t>
      </w:r>
    </w:p>
    <w:p w14:paraId="0B0418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GuardianSansGR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74B"/>
    <w:rsid w:val="00000954"/>
    <w:rsid w:val="000218D7"/>
    <w:rsid w:val="000561E8"/>
    <w:rsid w:val="0009640E"/>
    <w:rsid w:val="000B6232"/>
    <w:rsid w:val="001B6D02"/>
    <w:rsid w:val="002454CD"/>
    <w:rsid w:val="00272142"/>
    <w:rsid w:val="00280679"/>
    <w:rsid w:val="002A2306"/>
    <w:rsid w:val="002B10D5"/>
    <w:rsid w:val="002E38E2"/>
    <w:rsid w:val="003B574B"/>
    <w:rsid w:val="003D35FA"/>
    <w:rsid w:val="003F2CEB"/>
    <w:rsid w:val="0041139B"/>
    <w:rsid w:val="004261EA"/>
    <w:rsid w:val="00437367"/>
    <w:rsid w:val="00481A90"/>
    <w:rsid w:val="004A18D0"/>
    <w:rsid w:val="004C34D3"/>
    <w:rsid w:val="004D5AF2"/>
    <w:rsid w:val="0051494F"/>
    <w:rsid w:val="005A513D"/>
    <w:rsid w:val="005A53AE"/>
    <w:rsid w:val="005A7BB3"/>
    <w:rsid w:val="005B592D"/>
    <w:rsid w:val="005E43FC"/>
    <w:rsid w:val="006104FB"/>
    <w:rsid w:val="006267BE"/>
    <w:rsid w:val="0062723A"/>
    <w:rsid w:val="00654E44"/>
    <w:rsid w:val="006814A3"/>
    <w:rsid w:val="00686012"/>
    <w:rsid w:val="006A1EAD"/>
    <w:rsid w:val="006C3F5F"/>
    <w:rsid w:val="006E540C"/>
    <w:rsid w:val="00715922"/>
    <w:rsid w:val="00725925"/>
    <w:rsid w:val="007930FD"/>
    <w:rsid w:val="007D24CE"/>
    <w:rsid w:val="007F27E4"/>
    <w:rsid w:val="007F3E62"/>
    <w:rsid w:val="00803402"/>
    <w:rsid w:val="00852348"/>
    <w:rsid w:val="008640DE"/>
    <w:rsid w:val="00885A24"/>
    <w:rsid w:val="008B3B2B"/>
    <w:rsid w:val="008C10E6"/>
    <w:rsid w:val="008D0CAF"/>
    <w:rsid w:val="008D36CE"/>
    <w:rsid w:val="009B6861"/>
    <w:rsid w:val="009C5226"/>
    <w:rsid w:val="009F5005"/>
    <w:rsid w:val="00AC1799"/>
    <w:rsid w:val="00AC7360"/>
    <w:rsid w:val="00AE1D54"/>
    <w:rsid w:val="00AE39AA"/>
    <w:rsid w:val="00B065B6"/>
    <w:rsid w:val="00B07C54"/>
    <w:rsid w:val="00B1716B"/>
    <w:rsid w:val="00B81E17"/>
    <w:rsid w:val="00B8506A"/>
    <w:rsid w:val="00B9525C"/>
    <w:rsid w:val="00BC1128"/>
    <w:rsid w:val="00BC4561"/>
    <w:rsid w:val="00C131AE"/>
    <w:rsid w:val="00C5159F"/>
    <w:rsid w:val="00C526B4"/>
    <w:rsid w:val="00C73935"/>
    <w:rsid w:val="00CB10D1"/>
    <w:rsid w:val="00CE77EA"/>
    <w:rsid w:val="00D06D5A"/>
    <w:rsid w:val="00D301F8"/>
    <w:rsid w:val="00D667AA"/>
    <w:rsid w:val="00DD660F"/>
    <w:rsid w:val="00E53C00"/>
    <w:rsid w:val="00EB5AAF"/>
    <w:rsid w:val="00ED3786"/>
    <w:rsid w:val="00F01D07"/>
    <w:rsid w:val="00F10E0B"/>
    <w:rsid w:val="00F94E62"/>
    <w:rsid w:val="07DC0503"/>
    <w:rsid w:val="07DE071F"/>
    <w:rsid w:val="0A9F3DD7"/>
    <w:rsid w:val="0B1869E3"/>
    <w:rsid w:val="0B3B311A"/>
    <w:rsid w:val="0C525237"/>
    <w:rsid w:val="0CBA64E2"/>
    <w:rsid w:val="12DF78ED"/>
    <w:rsid w:val="13E869AB"/>
    <w:rsid w:val="1B4E4028"/>
    <w:rsid w:val="1D170C45"/>
    <w:rsid w:val="2021261B"/>
    <w:rsid w:val="209C7DBC"/>
    <w:rsid w:val="225F3A4B"/>
    <w:rsid w:val="24F63A00"/>
    <w:rsid w:val="26445799"/>
    <w:rsid w:val="26661BB3"/>
    <w:rsid w:val="273D18FB"/>
    <w:rsid w:val="277070D9"/>
    <w:rsid w:val="27A050E3"/>
    <w:rsid w:val="2DFF7260"/>
    <w:rsid w:val="2F115032"/>
    <w:rsid w:val="2F511653"/>
    <w:rsid w:val="312E3689"/>
    <w:rsid w:val="32BA1E25"/>
    <w:rsid w:val="349043B6"/>
    <w:rsid w:val="38051FC1"/>
    <w:rsid w:val="39643D30"/>
    <w:rsid w:val="39911A8F"/>
    <w:rsid w:val="39CD0B3A"/>
    <w:rsid w:val="3FD72DD2"/>
    <w:rsid w:val="4449267C"/>
    <w:rsid w:val="47B03BA9"/>
    <w:rsid w:val="4CCB2625"/>
    <w:rsid w:val="4D4C3AC2"/>
    <w:rsid w:val="51403E91"/>
    <w:rsid w:val="523429E2"/>
    <w:rsid w:val="577C34FA"/>
    <w:rsid w:val="586E207E"/>
    <w:rsid w:val="67917429"/>
    <w:rsid w:val="6BFF9144"/>
    <w:rsid w:val="6DD3718F"/>
    <w:rsid w:val="6FB04096"/>
    <w:rsid w:val="75892461"/>
    <w:rsid w:val="75F21519"/>
    <w:rsid w:val="7AC77EB3"/>
    <w:rsid w:val="7DFB0A37"/>
    <w:rsid w:val="7E9D0467"/>
    <w:rsid w:val="AB4E67C4"/>
    <w:rsid w:val="FDFF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1000</Words>
  <Characters>4881</Characters>
  <Lines>14</Lines>
  <Paragraphs>4</Paragraphs>
  <TotalTime>6</TotalTime>
  <ScaleCrop>false</ScaleCrop>
  <LinksUpToDate>false</LinksUpToDate>
  <CharactersWithSpaces>5523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2023-11-16T16:12:00Z</dcterms:created>
  <dc:creator>Zathan</dc:creator>
  <cp:lastModifiedBy>风清扬</cp:lastModifiedBy>
  <cp:lastPrinted>2023-11-16T17:55:00Z</cp:lastPrinted>
  <dcterms:modified xsi:type="dcterms:W3CDTF">2025-07-09T11:11:28Z</dcterms:modified>
  <cp:revision>116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EDF85C475D12468C90B3A737F26DC0C0_13</vt:lpwstr>
  </property>
  <property fmtid="{D5CDD505-2E9C-101B-9397-08002B2CF9AE}" pid="4" name="KSOTemplateDocerSaveRecord">
    <vt:lpwstr>eyJoZGlkIjoiMzhmMzIzOTQwNDcxMDllNzcxMjExMWExNTViNjBhYjUiLCJ1c2VySWQiOiI0ODgwMjgwMzIifQ==</vt:lpwstr>
  </property>
</Properties>
</file>