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CB1C" w14:textId="612E2C28" w:rsidR="003C0876" w:rsidRPr="003C0876" w:rsidRDefault="00567FCA" w:rsidP="00567FCA">
      <w:pPr>
        <w:autoSpaceDE w:val="0"/>
        <w:autoSpaceDN w:val="0"/>
        <w:adjustRightInd w:val="0"/>
        <w:jc w:val="left"/>
        <w:rPr>
          <w:rFonts w:ascii="Times New Roman" w:hAnsi="Times New Roman" w:cs="Times New Roman" w:hint="eastAsia"/>
          <w:b/>
          <w:bCs/>
        </w:rPr>
      </w:pPr>
      <w:r w:rsidRPr="00567FCA">
        <w:rPr>
          <w:rFonts w:ascii="Times New Roman" w:hAnsi="Times New Roman" w:cs="Times New Roman"/>
          <w:b/>
          <w:bCs/>
        </w:rPr>
        <w:t xml:space="preserve">Supplementary Table </w:t>
      </w:r>
      <w:r w:rsidR="003C0876">
        <w:rPr>
          <w:rFonts w:ascii="Times New Roman" w:hAnsi="Times New Roman" w:cs="Times New Roman" w:hint="eastAsia"/>
          <w:b/>
          <w:bCs/>
        </w:rPr>
        <w:t>S</w:t>
      </w:r>
      <w:r w:rsidRPr="00567FCA">
        <w:rPr>
          <w:rFonts w:ascii="Times New Roman" w:hAnsi="Times New Roman" w:cs="Times New Roman"/>
          <w:b/>
          <w:bCs/>
        </w:rPr>
        <w:t>1</w:t>
      </w:r>
      <w:r w:rsidR="003C0876">
        <w:rPr>
          <w:rFonts w:ascii="Times New Roman" w:hAnsi="Times New Roman" w:cs="Times New Roman" w:hint="eastAsia"/>
          <w:b/>
          <w:bCs/>
        </w:rPr>
        <w:t>.</w:t>
      </w:r>
      <w:r w:rsidR="003C0876" w:rsidRPr="003C0876">
        <w:t xml:space="preserve"> </w:t>
      </w:r>
      <w:r w:rsidR="003C0876" w:rsidRPr="003C0876">
        <w:rPr>
          <w:rFonts w:ascii="Times New Roman" w:hAnsi="Times New Roman" w:cs="Times New Roman"/>
          <w:b/>
          <w:bCs/>
        </w:rPr>
        <w:t>Sensitivity analysis stratified by calendar period for the primary outcome</w:t>
      </w:r>
    </w:p>
    <w:tbl>
      <w:tblPr>
        <w:tblW w:w="5000" w:type="pct"/>
        <w:tblCellSpacing w:w="15" w:type="dxa"/>
        <w:tblBorders>
          <w:top w:val="single" w:sz="18" w:space="0" w:color="auto"/>
          <w:bottom w:val="single" w:sz="18" w:space="0" w:color="auto"/>
        </w:tblBorders>
        <w:tblCellMar>
          <w:top w:w="15" w:type="dxa"/>
          <w:left w:w="15" w:type="dxa"/>
          <w:bottom w:w="15" w:type="dxa"/>
          <w:right w:w="15" w:type="dxa"/>
        </w:tblCellMar>
        <w:tblLook w:val="04A0" w:firstRow="1" w:lastRow="0" w:firstColumn="1" w:lastColumn="0" w:noHBand="0" w:noVBand="1"/>
      </w:tblPr>
      <w:tblGrid>
        <w:gridCol w:w="1762"/>
        <w:gridCol w:w="791"/>
        <w:gridCol w:w="712"/>
        <w:gridCol w:w="1274"/>
        <w:gridCol w:w="1274"/>
        <w:gridCol w:w="1558"/>
        <w:gridCol w:w="935"/>
      </w:tblGrid>
      <w:tr w:rsidR="00567FCA" w:rsidRPr="00567FCA" w14:paraId="6E77AEEE" w14:textId="77777777" w:rsidTr="00F37CEF">
        <w:trPr>
          <w:tblHeader/>
          <w:tblCellSpacing w:w="15" w:type="dxa"/>
        </w:trPr>
        <w:tc>
          <w:tcPr>
            <w:tcW w:w="1034" w:type="pct"/>
            <w:tcBorders>
              <w:top w:val="nil"/>
              <w:bottom w:val="single" w:sz="18" w:space="0" w:color="auto"/>
            </w:tcBorders>
            <w:vAlign w:val="center"/>
            <w:hideMark/>
          </w:tcPr>
          <w:p w14:paraId="46DB15AC" w14:textId="645D9F22" w:rsidR="00567FCA" w:rsidRPr="00567FCA" w:rsidRDefault="00567FCA" w:rsidP="00567FCA">
            <w:pPr>
              <w:jc w:val="left"/>
              <w:rPr>
                <w:rFonts w:ascii="Times New Roman" w:hAnsi="Times New Roman" w:cs="Times New Roman"/>
                <w:b/>
                <w:bCs/>
              </w:rPr>
            </w:pPr>
            <w:r w:rsidRPr="00567FCA">
              <w:rPr>
                <w:rFonts w:ascii="Times New Roman" w:hAnsi="Times New Roman" w:cs="Times New Roman"/>
                <w:b/>
                <w:bCs/>
              </w:rPr>
              <w:t>Calendar period</w:t>
            </w:r>
          </w:p>
        </w:tc>
        <w:tc>
          <w:tcPr>
            <w:tcW w:w="458" w:type="pct"/>
            <w:tcBorders>
              <w:top w:val="nil"/>
              <w:bottom w:val="single" w:sz="18" w:space="0" w:color="auto"/>
            </w:tcBorders>
          </w:tcPr>
          <w:p w14:paraId="1F0C8295" w14:textId="77777777" w:rsidR="00567FCA" w:rsidRDefault="00567FCA" w:rsidP="00567FCA">
            <w:pPr>
              <w:jc w:val="left"/>
              <w:rPr>
                <w:rFonts w:ascii="Times New Roman" w:hAnsi="Times New Roman" w:cs="Times New Roman"/>
                <w:b/>
                <w:bCs/>
              </w:rPr>
            </w:pPr>
            <w:r w:rsidRPr="00567FCA">
              <w:rPr>
                <w:rFonts w:ascii="Times New Roman" w:hAnsi="Times New Roman" w:cs="Times New Roman"/>
                <w:b/>
                <w:bCs/>
              </w:rPr>
              <w:t>IV+LA</w:t>
            </w:r>
            <w:r>
              <w:rPr>
                <w:rFonts w:ascii="Times New Roman" w:hAnsi="Times New Roman" w:cs="Times New Roman" w:hint="eastAsia"/>
                <w:b/>
                <w:bCs/>
              </w:rPr>
              <w:t xml:space="preserve"> </w:t>
            </w:r>
          </w:p>
          <w:p w14:paraId="36678C65" w14:textId="5B31C2D6" w:rsidR="00567FCA" w:rsidRPr="00567FCA" w:rsidRDefault="00567FCA" w:rsidP="00567FCA">
            <w:pPr>
              <w:jc w:val="left"/>
              <w:rPr>
                <w:rFonts w:ascii="Times New Roman" w:hAnsi="Times New Roman" w:cs="Times New Roman"/>
                <w:b/>
                <w:bCs/>
              </w:rPr>
            </w:pPr>
            <w:r w:rsidRPr="00567FCA">
              <w:rPr>
                <w:rFonts w:ascii="Times New Roman" w:hAnsi="Times New Roman" w:cs="Times New Roman"/>
                <w:b/>
                <w:bCs/>
              </w:rPr>
              <w:t>(n)</w:t>
            </w:r>
          </w:p>
        </w:tc>
        <w:tc>
          <w:tcPr>
            <w:tcW w:w="411" w:type="pct"/>
            <w:tcBorders>
              <w:top w:val="nil"/>
              <w:bottom w:val="single" w:sz="18" w:space="0" w:color="auto"/>
            </w:tcBorders>
          </w:tcPr>
          <w:p w14:paraId="452C638C" w14:textId="77777777" w:rsidR="00567FCA" w:rsidRDefault="00567FCA" w:rsidP="00567FCA">
            <w:pPr>
              <w:jc w:val="left"/>
              <w:rPr>
                <w:rFonts w:ascii="Times New Roman" w:hAnsi="Times New Roman" w:cs="Times New Roman"/>
                <w:b/>
                <w:bCs/>
              </w:rPr>
            </w:pPr>
            <w:r w:rsidRPr="00D04E71">
              <w:rPr>
                <w:rFonts w:ascii="Times New Roman" w:hAnsi="Times New Roman" w:cs="Times New Roman"/>
                <w:b/>
                <w:bCs/>
              </w:rPr>
              <w:t>SA</w:t>
            </w:r>
          </w:p>
          <w:p w14:paraId="6AD5DE3E" w14:textId="52F3DDFB" w:rsidR="00567FCA" w:rsidRPr="00567FCA" w:rsidRDefault="00567FCA" w:rsidP="00567FCA">
            <w:pPr>
              <w:jc w:val="left"/>
              <w:rPr>
                <w:rFonts w:ascii="Times New Roman" w:hAnsi="Times New Roman" w:cs="Times New Roman"/>
                <w:b/>
                <w:bCs/>
              </w:rPr>
            </w:pPr>
            <w:r w:rsidRPr="00D04E71">
              <w:rPr>
                <w:rFonts w:ascii="Times New Roman" w:hAnsi="Times New Roman" w:cs="Times New Roman"/>
                <w:b/>
                <w:bCs/>
              </w:rPr>
              <w:t>(n)</w:t>
            </w:r>
          </w:p>
        </w:tc>
        <w:tc>
          <w:tcPr>
            <w:tcW w:w="749" w:type="pct"/>
            <w:tcBorders>
              <w:top w:val="nil"/>
              <w:bottom w:val="single" w:sz="18" w:space="0" w:color="auto"/>
            </w:tcBorders>
            <w:vAlign w:val="center"/>
          </w:tcPr>
          <w:p w14:paraId="40891C17" w14:textId="221CC48C" w:rsidR="00567FCA" w:rsidRDefault="00567FCA" w:rsidP="00567FCA">
            <w:pPr>
              <w:jc w:val="left"/>
              <w:rPr>
                <w:rFonts w:ascii="Times New Roman" w:hAnsi="Times New Roman" w:cs="Times New Roman"/>
                <w:b/>
                <w:bCs/>
              </w:rPr>
            </w:pPr>
            <w:r w:rsidRPr="00D04E71">
              <w:rPr>
                <w:rFonts w:ascii="Times New Roman" w:hAnsi="Times New Roman" w:cs="Times New Roman"/>
                <w:b/>
                <w:bCs/>
              </w:rPr>
              <w:t>IV+LA</w:t>
            </w:r>
          </w:p>
          <w:p w14:paraId="27957331" w14:textId="76AF5CD4" w:rsidR="00567FCA" w:rsidRPr="00567FCA" w:rsidRDefault="00567FCA" w:rsidP="00567FCA">
            <w:pPr>
              <w:jc w:val="left"/>
              <w:rPr>
                <w:rFonts w:ascii="Times New Roman" w:hAnsi="Times New Roman" w:cs="Times New Roman"/>
                <w:b/>
                <w:bCs/>
              </w:rPr>
            </w:pPr>
            <w:r w:rsidRPr="00D04E71">
              <w:rPr>
                <w:rFonts w:ascii="Times New Roman" w:hAnsi="Times New Roman" w:cs="Times New Roman"/>
                <w:b/>
                <w:bCs/>
              </w:rPr>
              <w:t>24h NRS</w:t>
            </w:r>
          </w:p>
        </w:tc>
        <w:tc>
          <w:tcPr>
            <w:tcW w:w="749" w:type="pct"/>
            <w:tcBorders>
              <w:top w:val="nil"/>
              <w:bottom w:val="single" w:sz="18" w:space="0" w:color="auto"/>
            </w:tcBorders>
            <w:vAlign w:val="center"/>
            <w:hideMark/>
          </w:tcPr>
          <w:p w14:paraId="4E8EC99A" w14:textId="56D8EE10" w:rsidR="00567FCA" w:rsidRDefault="00567FCA" w:rsidP="00567FCA">
            <w:pPr>
              <w:jc w:val="left"/>
              <w:rPr>
                <w:rFonts w:ascii="Times New Roman" w:hAnsi="Times New Roman" w:cs="Times New Roman"/>
                <w:b/>
                <w:bCs/>
              </w:rPr>
            </w:pPr>
            <w:r w:rsidRPr="00D04E71">
              <w:rPr>
                <w:rFonts w:ascii="Times New Roman" w:hAnsi="Times New Roman" w:cs="Times New Roman"/>
                <w:b/>
                <w:bCs/>
              </w:rPr>
              <w:t>SA</w:t>
            </w:r>
          </w:p>
          <w:p w14:paraId="5DDB388F" w14:textId="5597338B" w:rsidR="00567FCA" w:rsidRPr="00567FCA" w:rsidRDefault="00567FCA" w:rsidP="00567FCA">
            <w:pPr>
              <w:jc w:val="left"/>
              <w:rPr>
                <w:rFonts w:ascii="Times New Roman" w:hAnsi="Times New Roman" w:cs="Times New Roman"/>
                <w:b/>
                <w:bCs/>
              </w:rPr>
            </w:pPr>
            <w:r w:rsidRPr="00D04E71">
              <w:rPr>
                <w:rFonts w:ascii="Times New Roman" w:hAnsi="Times New Roman" w:cs="Times New Roman"/>
                <w:b/>
                <w:bCs/>
              </w:rPr>
              <w:t>24h NRS</w:t>
            </w:r>
          </w:p>
        </w:tc>
        <w:tc>
          <w:tcPr>
            <w:tcW w:w="920" w:type="pct"/>
            <w:tcBorders>
              <w:top w:val="nil"/>
              <w:bottom w:val="single" w:sz="18" w:space="0" w:color="auto"/>
            </w:tcBorders>
            <w:vAlign w:val="center"/>
            <w:hideMark/>
          </w:tcPr>
          <w:p w14:paraId="3E15A4F5" w14:textId="77777777" w:rsidR="00567FCA" w:rsidRPr="00567FCA" w:rsidRDefault="00567FCA" w:rsidP="00567FCA">
            <w:pPr>
              <w:jc w:val="left"/>
              <w:rPr>
                <w:rFonts w:ascii="Times New Roman" w:hAnsi="Times New Roman" w:cs="Times New Roman"/>
                <w:b/>
                <w:bCs/>
              </w:rPr>
            </w:pPr>
            <w:r w:rsidRPr="00567FCA">
              <w:rPr>
                <w:rFonts w:ascii="Times New Roman" w:hAnsi="Times New Roman" w:cs="Times New Roman"/>
                <w:b/>
                <w:bCs/>
              </w:rPr>
              <w:t>95% CI</w:t>
            </w:r>
          </w:p>
        </w:tc>
        <w:tc>
          <w:tcPr>
            <w:tcW w:w="536" w:type="pct"/>
            <w:tcBorders>
              <w:top w:val="nil"/>
              <w:bottom w:val="single" w:sz="18" w:space="0" w:color="auto"/>
            </w:tcBorders>
            <w:vAlign w:val="center"/>
            <w:hideMark/>
          </w:tcPr>
          <w:p w14:paraId="5F663121" w14:textId="77777777" w:rsidR="00567FCA" w:rsidRPr="00567FCA" w:rsidRDefault="00567FCA" w:rsidP="00567FCA">
            <w:pPr>
              <w:jc w:val="left"/>
              <w:rPr>
                <w:rFonts w:ascii="Times New Roman" w:hAnsi="Times New Roman" w:cs="Times New Roman"/>
                <w:b/>
                <w:bCs/>
              </w:rPr>
            </w:pPr>
            <w:r w:rsidRPr="00567FCA">
              <w:rPr>
                <w:rFonts w:ascii="Times New Roman" w:hAnsi="Times New Roman" w:cs="Times New Roman"/>
                <w:b/>
                <w:bCs/>
              </w:rPr>
              <w:t>P value</w:t>
            </w:r>
          </w:p>
        </w:tc>
      </w:tr>
      <w:tr w:rsidR="00567FCA" w:rsidRPr="00567FCA" w14:paraId="1D44C706" w14:textId="77777777" w:rsidTr="00F37CEF">
        <w:trPr>
          <w:tblCellSpacing w:w="15" w:type="dxa"/>
        </w:trPr>
        <w:tc>
          <w:tcPr>
            <w:tcW w:w="1034" w:type="pct"/>
            <w:vAlign w:val="center"/>
            <w:hideMark/>
          </w:tcPr>
          <w:p w14:paraId="007EC88A" w14:textId="3198EEE9" w:rsidR="00567FCA" w:rsidRPr="00567FCA" w:rsidRDefault="00567FCA" w:rsidP="00567FCA">
            <w:pPr>
              <w:jc w:val="left"/>
              <w:rPr>
                <w:rFonts w:ascii="Times New Roman" w:hAnsi="Times New Roman" w:cs="Times New Roman"/>
              </w:rPr>
            </w:pPr>
            <w:r w:rsidRPr="00D04E71">
              <w:rPr>
                <w:rFonts w:ascii="Times New Roman" w:hAnsi="Times New Roman" w:cs="Times New Roman"/>
              </w:rPr>
              <w:t>2024</w:t>
            </w:r>
          </w:p>
        </w:tc>
        <w:tc>
          <w:tcPr>
            <w:tcW w:w="458" w:type="pct"/>
            <w:vAlign w:val="center"/>
          </w:tcPr>
          <w:p w14:paraId="3A486079" w14:textId="5312273A" w:rsidR="00567FCA" w:rsidRPr="00567FCA" w:rsidRDefault="00567FCA" w:rsidP="00567FCA">
            <w:pPr>
              <w:jc w:val="left"/>
              <w:rPr>
                <w:rFonts w:ascii="Times New Roman" w:hAnsi="Times New Roman" w:cs="Times New Roman"/>
              </w:rPr>
            </w:pPr>
            <w:r w:rsidRPr="00D04E71">
              <w:rPr>
                <w:rFonts w:ascii="Times New Roman" w:hAnsi="Times New Roman" w:cs="Times New Roman"/>
              </w:rPr>
              <w:t>13</w:t>
            </w:r>
          </w:p>
        </w:tc>
        <w:tc>
          <w:tcPr>
            <w:tcW w:w="411" w:type="pct"/>
            <w:vAlign w:val="center"/>
          </w:tcPr>
          <w:p w14:paraId="27BEBBF6" w14:textId="7A77B9F4" w:rsidR="00567FCA" w:rsidRPr="00567FCA" w:rsidRDefault="00567FCA" w:rsidP="00567FCA">
            <w:pPr>
              <w:jc w:val="left"/>
              <w:rPr>
                <w:rFonts w:ascii="Times New Roman" w:hAnsi="Times New Roman" w:cs="Times New Roman"/>
              </w:rPr>
            </w:pPr>
            <w:r w:rsidRPr="00D04E71">
              <w:rPr>
                <w:rFonts w:ascii="Times New Roman" w:hAnsi="Times New Roman" w:cs="Times New Roman"/>
              </w:rPr>
              <w:t>36</w:t>
            </w:r>
          </w:p>
        </w:tc>
        <w:tc>
          <w:tcPr>
            <w:tcW w:w="749" w:type="pct"/>
            <w:vAlign w:val="center"/>
          </w:tcPr>
          <w:p w14:paraId="27952209" w14:textId="5E25B655" w:rsidR="00567FCA" w:rsidRPr="00567FCA" w:rsidRDefault="00567FCA" w:rsidP="00567FCA">
            <w:pPr>
              <w:jc w:val="left"/>
              <w:rPr>
                <w:rFonts w:ascii="Times New Roman" w:hAnsi="Times New Roman" w:cs="Times New Roman"/>
              </w:rPr>
            </w:pPr>
            <w:r w:rsidRPr="00D04E71">
              <w:rPr>
                <w:rFonts w:ascii="Times New Roman" w:hAnsi="Times New Roman" w:cs="Times New Roman"/>
              </w:rPr>
              <w:t>1.69 ± 1.32</w:t>
            </w:r>
          </w:p>
        </w:tc>
        <w:tc>
          <w:tcPr>
            <w:tcW w:w="749" w:type="pct"/>
            <w:vAlign w:val="center"/>
            <w:hideMark/>
          </w:tcPr>
          <w:p w14:paraId="1AE01526" w14:textId="4DC5BC1A" w:rsidR="00567FCA" w:rsidRPr="00567FCA" w:rsidRDefault="00567FCA" w:rsidP="00567FCA">
            <w:pPr>
              <w:jc w:val="left"/>
              <w:rPr>
                <w:rFonts w:ascii="Times New Roman" w:hAnsi="Times New Roman" w:cs="Times New Roman"/>
              </w:rPr>
            </w:pPr>
            <w:r w:rsidRPr="00D04E71">
              <w:rPr>
                <w:rFonts w:ascii="Times New Roman" w:hAnsi="Times New Roman" w:cs="Times New Roman"/>
              </w:rPr>
              <w:t>2.36 ± 1.25</w:t>
            </w:r>
          </w:p>
        </w:tc>
        <w:tc>
          <w:tcPr>
            <w:tcW w:w="920" w:type="pct"/>
            <w:vAlign w:val="center"/>
            <w:hideMark/>
          </w:tcPr>
          <w:p w14:paraId="2198236E" w14:textId="3AB696A9" w:rsidR="00567FCA" w:rsidRPr="00567FCA" w:rsidRDefault="00567FCA" w:rsidP="00567FCA">
            <w:pPr>
              <w:jc w:val="left"/>
              <w:rPr>
                <w:rFonts w:ascii="Times New Roman" w:hAnsi="Times New Roman" w:cs="Times New Roman"/>
              </w:rPr>
            </w:pPr>
            <w:r w:rsidRPr="00D04E71">
              <w:rPr>
                <w:rFonts w:ascii="Times New Roman" w:hAnsi="Times New Roman" w:cs="Times New Roman"/>
              </w:rPr>
              <w:t>−0.67 (−1.54 to 0.21)</w:t>
            </w:r>
          </w:p>
        </w:tc>
        <w:tc>
          <w:tcPr>
            <w:tcW w:w="536" w:type="pct"/>
            <w:vAlign w:val="center"/>
            <w:hideMark/>
          </w:tcPr>
          <w:p w14:paraId="64940305" w14:textId="71B37A5D" w:rsidR="00567FCA" w:rsidRPr="00567FCA" w:rsidRDefault="00567FCA" w:rsidP="00567FCA">
            <w:pPr>
              <w:jc w:val="left"/>
              <w:rPr>
                <w:rFonts w:ascii="Times New Roman" w:hAnsi="Times New Roman" w:cs="Times New Roman"/>
                <w:b/>
                <w:bCs/>
              </w:rPr>
            </w:pPr>
            <w:r w:rsidRPr="00D04E71">
              <w:rPr>
                <w:rFonts w:ascii="Times New Roman" w:hAnsi="Times New Roman" w:cs="Times New Roman"/>
              </w:rPr>
              <w:t>0.127</w:t>
            </w:r>
          </w:p>
        </w:tc>
      </w:tr>
      <w:tr w:rsidR="00567FCA" w:rsidRPr="00567FCA" w14:paraId="7811E250" w14:textId="77777777" w:rsidTr="00F37CEF">
        <w:trPr>
          <w:tblCellSpacing w:w="15" w:type="dxa"/>
        </w:trPr>
        <w:tc>
          <w:tcPr>
            <w:tcW w:w="1034" w:type="pct"/>
            <w:vAlign w:val="center"/>
            <w:hideMark/>
          </w:tcPr>
          <w:p w14:paraId="7293F80F" w14:textId="3FB4A131" w:rsidR="00567FCA" w:rsidRPr="00567FCA" w:rsidRDefault="00567FCA" w:rsidP="00567FCA">
            <w:pPr>
              <w:jc w:val="left"/>
              <w:rPr>
                <w:rFonts w:ascii="Times New Roman" w:hAnsi="Times New Roman" w:cs="Times New Roman"/>
              </w:rPr>
            </w:pPr>
            <w:r w:rsidRPr="00D04E71">
              <w:rPr>
                <w:rFonts w:ascii="Times New Roman" w:hAnsi="Times New Roman" w:cs="Times New Roman"/>
              </w:rPr>
              <w:t>2025–2026</w:t>
            </w:r>
          </w:p>
        </w:tc>
        <w:tc>
          <w:tcPr>
            <w:tcW w:w="458" w:type="pct"/>
            <w:vAlign w:val="center"/>
          </w:tcPr>
          <w:p w14:paraId="616A66E2" w14:textId="0F98B89C" w:rsidR="00567FCA" w:rsidRPr="00567FCA" w:rsidRDefault="00567FCA" w:rsidP="00567FCA">
            <w:pPr>
              <w:jc w:val="left"/>
              <w:rPr>
                <w:rFonts w:ascii="Times New Roman" w:hAnsi="Times New Roman" w:cs="Times New Roman"/>
              </w:rPr>
            </w:pPr>
            <w:r w:rsidRPr="00D04E71">
              <w:rPr>
                <w:rFonts w:ascii="Times New Roman" w:hAnsi="Times New Roman" w:cs="Times New Roman"/>
              </w:rPr>
              <w:t>59</w:t>
            </w:r>
          </w:p>
        </w:tc>
        <w:tc>
          <w:tcPr>
            <w:tcW w:w="411" w:type="pct"/>
            <w:vAlign w:val="center"/>
          </w:tcPr>
          <w:p w14:paraId="63161F5A" w14:textId="70EEEA0C" w:rsidR="00567FCA" w:rsidRPr="00567FCA" w:rsidRDefault="00567FCA" w:rsidP="00567FCA">
            <w:pPr>
              <w:jc w:val="left"/>
              <w:rPr>
                <w:rFonts w:ascii="Times New Roman" w:hAnsi="Times New Roman" w:cs="Times New Roman"/>
              </w:rPr>
            </w:pPr>
            <w:r w:rsidRPr="00D04E71">
              <w:rPr>
                <w:rFonts w:ascii="Times New Roman" w:hAnsi="Times New Roman" w:cs="Times New Roman"/>
              </w:rPr>
              <w:t>38</w:t>
            </w:r>
          </w:p>
        </w:tc>
        <w:tc>
          <w:tcPr>
            <w:tcW w:w="749" w:type="pct"/>
            <w:vAlign w:val="center"/>
          </w:tcPr>
          <w:p w14:paraId="16C69F4E" w14:textId="1895C31A" w:rsidR="00567FCA" w:rsidRPr="00567FCA" w:rsidRDefault="00567FCA" w:rsidP="00567FCA">
            <w:pPr>
              <w:jc w:val="left"/>
              <w:rPr>
                <w:rFonts w:ascii="Times New Roman" w:hAnsi="Times New Roman" w:cs="Times New Roman"/>
              </w:rPr>
            </w:pPr>
            <w:r w:rsidRPr="00D04E71">
              <w:rPr>
                <w:rFonts w:ascii="Times New Roman" w:hAnsi="Times New Roman" w:cs="Times New Roman"/>
              </w:rPr>
              <w:t>1.14 ± 1.01</w:t>
            </w:r>
          </w:p>
        </w:tc>
        <w:tc>
          <w:tcPr>
            <w:tcW w:w="749" w:type="pct"/>
            <w:vAlign w:val="center"/>
            <w:hideMark/>
          </w:tcPr>
          <w:p w14:paraId="31A05135" w14:textId="42548268" w:rsidR="00567FCA" w:rsidRPr="00567FCA" w:rsidRDefault="00567FCA" w:rsidP="00567FCA">
            <w:pPr>
              <w:jc w:val="left"/>
              <w:rPr>
                <w:rFonts w:ascii="Times New Roman" w:hAnsi="Times New Roman" w:cs="Times New Roman"/>
              </w:rPr>
            </w:pPr>
            <w:r w:rsidRPr="00D04E71">
              <w:rPr>
                <w:rFonts w:ascii="Times New Roman" w:hAnsi="Times New Roman" w:cs="Times New Roman"/>
              </w:rPr>
              <w:t>1.87 ± 1.21</w:t>
            </w:r>
          </w:p>
        </w:tc>
        <w:tc>
          <w:tcPr>
            <w:tcW w:w="920" w:type="pct"/>
            <w:vAlign w:val="center"/>
            <w:hideMark/>
          </w:tcPr>
          <w:p w14:paraId="6E583E89" w14:textId="2335CB36" w:rsidR="00567FCA" w:rsidRPr="00567FCA" w:rsidRDefault="00567FCA" w:rsidP="00567FCA">
            <w:pPr>
              <w:jc w:val="left"/>
              <w:rPr>
                <w:rFonts w:ascii="Times New Roman" w:hAnsi="Times New Roman" w:cs="Times New Roman"/>
              </w:rPr>
            </w:pPr>
            <w:r w:rsidRPr="00D04E71">
              <w:rPr>
                <w:rFonts w:ascii="Times New Roman" w:hAnsi="Times New Roman" w:cs="Times New Roman"/>
              </w:rPr>
              <w:t>−0.73 (−1.20 to −0.26)</w:t>
            </w:r>
          </w:p>
        </w:tc>
        <w:tc>
          <w:tcPr>
            <w:tcW w:w="536" w:type="pct"/>
            <w:vAlign w:val="center"/>
            <w:hideMark/>
          </w:tcPr>
          <w:p w14:paraId="4A63F745" w14:textId="5C7EE27D" w:rsidR="00567FCA" w:rsidRPr="00567FCA" w:rsidRDefault="00567FCA" w:rsidP="00567FCA">
            <w:pPr>
              <w:jc w:val="left"/>
              <w:rPr>
                <w:rFonts w:ascii="Times New Roman" w:hAnsi="Times New Roman" w:cs="Times New Roman"/>
                <w:b/>
                <w:bCs/>
              </w:rPr>
            </w:pPr>
            <w:r w:rsidRPr="00D04E71">
              <w:rPr>
                <w:rFonts w:ascii="Times New Roman" w:hAnsi="Times New Roman" w:cs="Times New Roman"/>
              </w:rPr>
              <w:t>0.003</w:t>
            </w:r>
          </w:p>
        </w:tc>
      </w:tr>
    </w:tbl>
    <w:p w14:paraId="24CE4F72" w14:textId="77777777" w:rsidR="00567FCA" w:rsidRPr="00567FCA" w:rsidRDefault="00567FCA">
      <w:pPr>
        <w:rPr>
          <w:rFonts w:ascii="Times New Roman" w:hAnsi="Times New Roman" w:cs="Times New Roman"/>
        </w:rPr>
      </w:pPr>
    </w:p>
    <w:p w14:paraId="0D9F7BFC" w14:textId="77777777" w:rsidR="00567FCA" w:rsidRPr="00567FCA" w:rsidRDefault="00567FCA">
      <w:pPr>
        <w:rPr>
          <w:rFonts w:ascii="Times New Roman" w:hAnsi="Times New Roman" w:cs="Times New Roman"/>
        </w:rPr>
      </w:pPr>
    </w:p>
    <w:p w14:paraId="2DA95626" w14:textId="24A139D5" w:rsidR="00567FCA" w:rsidRPr="00567FCA" w:rsidRDefault="003C0876">
      <w:pPr>
        <w:rPr>
          <w:rFonts w:ascii="Times New Roman" w:hAnsi="Times New Roman" w:cs="Times New Roman"/>
        </w:rPr>
      </w:pPr>
      <w:r w:rsidRPr="003C0876">
        <w:rPr>
          <w:rFonts w:ascii="Times New Roman" w:hAnsi="Times New Roman" w:cs="Times New Roman"/>
        </w:rPr>
        <w:t>Values are presented as n or mean ± SD unless otherwise indicated. Calendar period was grouped as 2024 versus 2025–2026 to address temporal imbalance in treatment allocation while preserving interpretability given the limited number of cases in 2026. Mean differences are expressed as IV + LA minus SA. Negative values indicate lower 24h NRS scores in the IV + LA group. P values were calculated from between-group comparisons within each calendar-period stratum.</w:t>
      </w:r>
    </w:p>
    <w:sectPr w:rsidR="00567FCA" w:rsidRPr="00567F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EFD7" w14:textId="77777777" w:rsidR="004B2719" w:rsidRDefault="004B2719" w:rsidP="00D04E71">
      <w:pPr>
        <w:rPr>
          <w:rFonts w:hint="eastAsia"/>
        </w:rPr>
      </w:pPr>
      <w:r>
        <w:separator/>
      </w:r>
    </w:p>
  </w:endnote>
  <w:endnote w:type="continuationSeparator" w:id="0">
    <w:p w14:paraId="0926A10E" w14:textId="77777777" w:rsidR="004B2719" w:rsidRDefault="004B2719" w:rsidP="00D04E7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65C32" w14:textId="77777777" w:rsidR="004B2719" w:rsidRDefault="004B2719" w:rsidP="00D04E71">
      <w:pPr>
        <w:rPr>
          <w:rFonts w:hint="eastAsia"/>
        </w:rPr>
      </w:pPr>
      <w:r>
        <w:separator/>
      </w:r>
    </w:p>
  </w:footnote>
  <w:footnote w:type="continuationSeparator" w:id="0">
    <w:p w14:paraId="4C2199D1" w14:textId="77777777" w:rsidR="004B2719" w:rsidRDefault="004B2719" w:rsidP="00D04E7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A48"/>
    <w:rsid w:val="003C0876"/>
    <w:rsid w:val="004B2719"/>
    <w:rsid w:val="00567FCA"/>
    <w:rsid w:val="00661345"/>
    <w:rsid w:val="009F5FBB"/>
    <w:rsid w:val="00B14A48"/>
    <w:rsid w:val="00D04E71"/>
    <w:rsid w:val="00D60090"/>
    <w:rsid w:val="00EE4227"/>
    <w:rsid w:val="00F37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97318"/>
  <w15:chartTrackingRefBased/>
  <w15:docId w15:val="{66AB57B8-036E-4FBE-8A89-CCEB4238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14A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14A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14A4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14A4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14A4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14A4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14A4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14A4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14A48"/>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14A4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14A4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14A4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14A48"/>
    <w:rPr>
      <w:rFonts w:cstheme="majorBidi"/>
      <w:color w:val="0F4761" w:themeColor="accent1" w:themeShade="BF"/>
      <w:sz w:val="28"/>
      <w:szCs w:val="28"/>
    </w:rPr>
  </w:style>
  <w:style w:type="character" w:customStyle="1" w:styleId="50">
    <w:name w:val="标题 5 字符"/>
    <w:basedOn w:val="a0"/>
    <w:link w:val="5"/>
    <w:uiPriority w:val="9"/>
    <w:semiHidden/>
    <w:rsid w:val="00B14A48"/>
    <w:rPr>
      <w:rFonts w:cstheme="majorBidi"/>
      <w:color w:val="0F4761" w:themeColor="accent1" w:themeShade="BF"/>
      <w:sz w:val="24"/>
      <w:szCs w:val="24"/>
    </w:rPr>
  </w:style>
  <w:style w:type="character" w:customStyle="1" w:styleId="60">
    <w:name w:val="标题 6 字符"/>
    <w:basedOn w:val="a0"/>
    <w:link w:val="6"/>
    <w:uiPriority w:val="9"/>
    <w:semiHidden/>
    <w:rsid w:val="00B14A48"/>
    <w:rPr>
      <w:rFonts w:cstheme="majorBidi"/>
      <w:b/>
      <w:bCs/>
      <w:color w:val="0F4761" w:themeColor="accent1" w:themeShade="BF"/>
    </w:rPr>
  </w:style>
  <w:style w:type="character" w:customStyle="1" w:styleId="70">
    <w:name w:val="标题 7 字符"/>
    <w:basedOn w:val="a0"/>
    <w:link w:val="7"/>
    <w:uiPriority w:val="9"/>
    <w:semiHidden/>
    <w:rsid w:val="00B14A48"/>
    <w:rPr>
      <w:rFonts w:cstheme="majorBidi"/>
      <w:b/>
      <w:bCs/>
      <w:color w:val="595959" w:themeColor="text1" w:themeTint="A6"/>
    </w:rPr>
  </w:style>
  <w:style w:type="character" w:customStyle="1" w:styleId="80">
    <w:name w:val="标题 8 字符"/>
    <w:basedOn w:val="a0"/>
    <w:link w:val="8"/>
    <w:uiPriority w:val="9"/>
    <w:semiHidden/>
    <w:rsid w:val="00B14A48"/>
    <w:rPr>
      <w:rFonts w:cstheme="majorBidi"/>
      <w:color w:val="595959" w:themeColor="text1" w:themeTint="A6"/>
    </w:rPr>
  </w:style>
  <w:style w:type="character" w:customStyle="1" w:styleId="90">
    <w:name w:val="标题 9 字符"/>
    <w:basedOn w:val="a0"/>
    <w:link w:val="9"/>
    <w:uiPriority w:val="9"/>
    <w:semiHidden/>
    <w:rsid w:val="00B14A48"/>
    <w:rPr>
      <w:rFonts w:eastAsiaTheme="majorEastAsia" w:cstheme="majorBidi"/>
      <w:color w:val="595959" w:themeColor="text1" w:themeTint="A6"/>
    </w:rPr>
  </w:style>
  <w:style w:type="paragraph" w:styleId="a3">
    <w:name w:val="Title"/>
    <w:basedOn w:val="a"/>
    <w:next w:val="a"/>
    <w:link w:val="a4"/>
    <w:uiPriority w:val="10"/>
    <w:qFormat/>
    <w:rsid w:val="00B14A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14A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4A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14A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14A48"/>
    <w:pPr>
      <w:spacing w:before="160" w:after="160"/>
      <w:jc w:val="center"/>
    </w:pPr>
    <w:rPr>
      <w:i/>
      <w:iCs/>
      <w:color w:val="404040" w:themeColor="text1" w:themeTint="BF"/>
    </w:rPr>
  </w:style>
  <w:style w:type="character" w:customStyle="1" w:styleId="a8">
    <w:name w:val="引用 字符"/>
    <w:basedOn w:val="a0"/>
    <w:link w:val="a7"/>
    <w:uiPriority w:val="29"/>
    <w:rsid w:val="00B14A48"/>
    <w:rPr>
      <w:i/>
      <w:iCs/>
      <w:color w:val="404040" w:themeColor="text1" w:themeTint="BF"/>
    </w:rPr>
  </w:style>
  <w:style w:type="paragraph" w:styleId="a9">
    <w:name w:val="List Paragraph"/>
    <w:basedOn w:val="a"/>
    <w:uiPriority w:val="34"/>
    <w:qFormat/>
    <w:rsid w:val="00B14A48"/>
    <w:pPr>
      <w:ind w:left="720"/>
      <w:contextualSpacing/>
    </w:pPr>
  </w:style>
  <w:style w:type="character" w:styleId="aa">
    <w:name w:val="Intense Emphasis"/>
    <w:basedOn w:val="a0"/>
    <w:uiPriority w:val="21"/>
    <w:qFormat/>
    <w:rsid w:val="00B14A48"/>
    <w:rPr>
      <w:i/>
      <w:iCs/>
      <w:color w:val="0F4761" w:themeColor="accent1" w:themeShade="BF"/>
    </w:rPr>
  </w:style>
  <w:style w:type="paragraph" w:styleId="ab">
    <w:name w:val="Intense Quote"/>
    <w:basedOn w:val="a"/>
    <w:next w:val="a"/>
    <w:link w:val="ac"/>
    <w:uiPriority w:val="30"/>
    <w:qFormat/>
    <w:rsid w:val="00B14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14A48"/>
    <w:rPr>
      <w:i/>
      <w:iCs/>
      <w:color w:val="0F4761" w:themeColor="accent1" w:themeShade="BF"/>
    </w:rPr>
  </w:style>
  <w:style w:type="character" w:styleId="ad">
    <w:name w:val="Intense Reference"/>
    <w:basedOn w:val="a0"/>
    <w:uiPriority w:val="32"/>
    <w:qFormat/>
    <w:rsid w:val="00B14A48"/>
    <w:rPr>
      <w:b/>
      <w:bCs/>
      <w:smallCaps/>
      <w:color w:val="0F4761" w:themeColor="accent1" w:themeShade="BF"/>
      <w:spacing w:val="5"/>
    </w:rPr>
  </w:style>
  <w:style w:type="paragraph" w:styleId="ae">
    <w:name w:val="header"/>
    <w:basedOn w:val="a"/>
    <w:link w:val="af"/>
    <w:uiPriority w:val="99"/>
    <w:unhideWhenUsed/>
    <w:rsid w:val="00D04E71"/>
    <w:pPr>
      <w:tabs>
        <w:tab w:val="center" w:pos="4153"/>
        <w:tab w:val="right" w:pos="8306"/>
      </w:tabs>
      <w:snapToGrid w:val="0"/>
      <w:jc w:val="center"/>
    </w:pPr>
    <w:rPr>
      <w:sz w:val="18"/>
      <w:szCs w:val="18"/>
    </w:rPr>
  </w:style>
  <w:style w:type="character" w:customStyle="1" w:styleId="af">
    <w:name w:val="页眉 字符"/>
    <w:basedOn w:val="a0"/>
    <w:link w:val="ae"/>
    <w:uiPriority w:val="99"/>
    <w:rsid w:val="00D04E71"/>
    <w:rPr>
      <w:sz w:val="18"/>
      <w:szCs w:val="18"/>
    </w:rPr>
  </w:style>
  <w:style w:type="paragraph" w:styleId="af0">
    <w:name w:val="footer"/>
    <w:basedOn w:val="a"/>
    <w:link w:val="af1"/>
    <w:uiPriority w:val="99"/>
    <w:unhideWhenUsed/>
    <w:rsid w:val="00D04E71"/>
    <w:pPr>
      <w:tabs>
        <w:tab w:val="center" w:pos="4153"/>
        <w:tab w:val="right" w:pos="8306"/>
      </w:tabs>
      <w:snapToGrid w:val="0"/>
      <w:jc w:val="left"/>
    </w:pPr>
    <w:rPr>
      <w:sz w:val="18"/>
      <w:szCs w:val="18"/>
    </w:rPr>
  </w:style>
  <w:style w:type="character" w:customStyle="1" w:styleId="af1">
    <w:name w:val="页脚 字符"/>
    <w:basedOn w:val="a0"/>
    <w:link w:val="af0"/>
    <w:uiPriority w:val="99"/>
    <w:rsid w:val="00D04E7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雯雯 郑</dc:creator>
  <cp:keywords/>
  <dc:description/>
  <cp:lastModifiedBy>雯雯 郑</cp:lastModifiedBy>
  <cp:revision>12</cp:revision>
  <dcterms:created xsi:type="dcterms:W3CDTF">2026-04-21T16:09:00Z</dcterms:created>
  <dcterms:modified xsi:type="dcterms:W3CDTF">2026-04-21T16:20:00Z</dcterms:modified>
</cp:coreProperties>
</file>