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spacing w:before="180"/>
        <w:ind w:left="115" w:right="0" w:firstLine="0"/>
        <w:jc w:val="left"/>
        <w:rPr>
          <w:b/>
          <w:sz w:val="28"/>
        </w:rPr>
      </w:pPr>
      <w:r>
        <w:rPr>
          <w:b/>
          <w:sz w:val="28"/>
        </w:rPr>
        <w:t>Anhang C: Definition von Modellvariablen</w:t>
      </w:r>
    </w:p>
    <w:p>
      <w:pPr>
        <w:pStyle w:val="BodyText"/>
        <w:spacing w:line="259" w:lineRule="auto" w:before="186"/>
        <w:ind w:left="115" w:right="111"/>
        <w:jc w:val="both"/>
      </w:pPr>
      <w:r>
        <w:rPr/>
        <w:t>Allgemeine</w:t>
      </w:r>
      <w:r>
        <w:rPr>
          <w:spacing w:val="-12"/>
        </w:rPr>
        <w:t> </w:t>
      </w:r>
      <w:r>
        <w:rPr/>
        <w:t>Anmerkung</w:t>
      </w:r>
      <w:r>
        <w:rPr>
          <w:spacing w:val="-13"/>
        </w:rPr>
        <w:t> </w:t>
      </w:r>
      <w:r>
        <w:rPr/>
        <w:t>zu</w:t>
      </w:r>
      <w:r>
        <w:rPr>
          <w:spacing w:val="-13"/>
        </w:rPr>
        <w:t> </w:t>
      </w:r>
      <w:r>
        <w:rPr/>
        <w:t>den</w:t>
      </w:r>
      <w:r>
        <w:rPr>
          <w:spacing w:val="-13"/>
        </w:rPr>
        <w:t> </w:t>
      </w:r>
      <w:r>
        <w:rPr/>
        <w:t>Begriffen</w:t>
      </w:r>
      <w:r>
        <w:rPr>
          <w:spacing w:val="-13"/>
        </w:rPr>
        <w:t> </w:t>
      </w:r>
      <w:r>
        <w:rPr/>
        <w:t>"pflegende</w:t>
      </w:r>
      <w:r>
        <w:rPr>
          <w:spacing w:val="-12"/>
        </w:rPr>
        <w:t> </w:t>
      </w:r>
      <w:r>
        <w:rPr/>
        <w:t>und</w:t>
      </w:r>
      <w:r>
        <w:rPr>
          <w:spacing w:val="-13"/>
        </w:rPr>
        <w:t> </w:t>
      </w:r>
      <w:r>
        <w:rPr/>
        <w:t>betreuende</w:t>
      </w:r>
      <w:r>
        <w:rPr>
          <w:spacing w:val="-12"/>
        </w:rPr>
        <w:t> </w:t>
      </w:r>
      <w:r>
        <w:rPr/>
        <w:t>angehörige</w:t>
      </w:r>
      <w:r>
        <w:rPr>
          <w:spacing w:val="-14"/>
        </w:rPr>
        <w:t> </w:t>
      </w:r>
      <w:r>
        <w:rPr/>
        <w:t>Person</w:t>
      </w:r>
      <w:r>
        <w:rPr>
          <w:spacing w:val="-13"/>
        </w:rPr>
        <w:t> </w:t>
      </w:r>
      <w:r>
        <w:rPr/>
        <w:t>(PBAP)"</w:t>
      </w:r>
      <w:r>
        <w:rPr>
          <w:spacing w:val="-12"/>
        </w:rPr>
        <w:t> </w:t>
      </w:r>
      <w:r>
        <w:rPr/>
        <w:t>sowie "Drittperson." Sind in einem Pflege- und Betreuungsarrangement mehrere angehörige Personen in einer Pflege und Betreuungsrolle engagiert, dann sind die folgenden Definitionen immer aus der Sicht einer bestimmten PBAP zu lesen. Dabei ist unerheblich,</w:t>
      </w:r>
      <w:r>
        <w:rPr>
          <w:spacing w:val="-6"/>
        </w:rPr>
        <w:t> </w:t>
      </w:r>
      <w:r>
        <w:rPr/>
        <w:t>ob</w:t>
      </w:r>
    </w:p>
    <w:p>
      <w:pPr>
        <w:pStyle w:val="ListParagraph"/>
        <w:numPr>
          <w:ilvl w:val="0"/>
          <w:numId w:val="1"/>
        </w:numPr>
        <w:tabs>
          <w:tab w:pos="835" w:val="left" w:leader="none"/>
          <w:tab w:pos="836" w:val="left" w:leader="none"/>
        </w:tabs>
        <w:spacing w:line="259" w:lineRule="auto" w:before="160" w:after="0"/>
        <w:ind w:left="835" w:right="113" w:hanging="360"/>
        <w:jc w:val="left"/>
        <w:rPr>
          <w:sz w:val="22"/>
        </w:rPr>
      </w:pPr>
      <w:r>
        <w:rPr>
          <w:sz w:val="22"/>
        </w:rPr>
        <w:t>es sich bei der bestimmten PBAP um diejenige Person mit der stärksten relativen Aneignung der Pflege- und Betreuungsrolle</w:t>
      </w:r>
      <w:r>
        <w:rPr>
          <w:spacing w:val="-1"/>
          <w:sz w:val="22"/>
        </w:rPr>
        <w:t> </w:t>
      </w:r>
      <w:r>
        <w:rPr>
          <w:sz w:val="22"/>
        </w:rPr>
        <w:t>handelt;</w:t>
      </w:r>
    </w:p>
    <w:p>
      <w:pPr>
        <w:pStyle w:val="ListParagraph"/>
        <w:numPr>
          <w:ilvl w:val="0"/>
          <w:numId w:val="1"/>
        </w:numPr>
        <w:tabs>
          <w:tab w:pos="835" w:val="left" w:leader="none"/>
          <w:tab w:pos="836" w:val="left" w:leader="none"/>
        </w:tabs>
        <w:spacing w:line="256" w:lineRule="auto" w:before="0" w:after="0"/>
        <w:ind w:left="835" w:right="110" w:hanging="360"/>
        <w:jc w:val="left"/>
        <w:rPr>
          <w:sz w:val="22"/>
        </w:rPr>
      </w:pPr>
      <w:r>
        <w:rPr>
          <w:sz w:val="22"/>
        </w:rPr>
        <w:t>die relative Aneignung der Pflege- und Betreuungsrolle für mehrere involvierte Personen ähnlich hoch ist;</w:t>
      </w:r>
      <w:r>
        <w:rPr>
          <w:spacing w:val="-4"/>
          <w:sz w:val="22"/>
        </w:rPr>
        <w:t> </w:t>
      </w:r>
      <w:r>
        <w:rPr>
          <w:sz w:val="22"/>
        </w:rPr>
        <w:t>oder</w:t>
      </w:r>
    </w:p>
    <w:p>
      <w:pPr>
        <w:pStyle w:val="ListParagraph"/>
        <w:numPr>
          <w:ilvl w:val="0"/>
          <w:numId w:val="1"/>
        </w:numPr>
        <w:tabs>
          <w:tab w:pos="835" w:val="left" w:leader="none"/>
          <w:tab w:pos="836" w:val="left" w:leader="none"/>
        </w:tabs>
        <w:spacing w:line="259" w:lineRule="auto" w:before="4" w:after="0"/>
        <w:ind w:left="835" w:right="115" w:hanging="360"/>
        <w:jc w:val="left"/>
        <w:rPr>
          <w:sz w:val="22"/>
        </w:rPr>
      </w:pPr>
      <w:r>
        <w:rPr>
          <w:sz w:val="22"/>
        </w:rPr>
        <w:t>eine andere angehörige Person im Arrangement involviert ist, deren relative Aneignung der Pflege- und Betreuungsrolle im Vergleich zur bestimmten PBAP stärker</w:t>
      </w:r>
      <w:r>
        <w:rPr>
          <w:spacing w:val="-11"/>
          <w:sz w:val="22"/>
        </w:rPr>
        <w:t> </w:t>
      </w:r>
      <w:r>
        <w:rPr>
          <w:sz w:val="22"/>
        </w:rPr>
        <w:t>ist.</w:t>
      </w:r>
    </w:p>
    <w:p>
      <w:pPr>
        <w:pStyle w:val="BodyText"/>
        <w:spacing w:before="159"/>
        <w:ind w:left="115"/>
      </w:pPr>
      <w:r>
        <w:rPr/>
        <w:t>Das Modell wurde für alle drei Fälle gleichermaßen validiert.</w:t>
      </w:r>
    </w:p>
    <w:p>
      <w:pPr>
        <w:pStyle w:val="BodyText"/>
        <w:spacing w:line="256" w:lineRule="auto" w:before="183"/>
        <w:ind w:left="115" w:right="113"/>
        <w:jc w:val="both"/>
      </w:pPr>
      <w:r>
        <w:rPr/>
        <w:t>"Dritte" oder "Drittpersonen" schließt entsprechend alle weiteren am Pflege- und Betreuungsarrangement beteiligten Personen und Organisationen außer der bestimmten PBAP ein.</w:t>
      </w:r>
    </w:p>
    <w:p>
      <w:pPr>
        <w:pStyle w:val="Heading1"/>
        <w:spacing w:before="164"/>
      </w:pPr>
      <w:r>
        <w:rPr/>
        <w:t>Endogene Modellvariablen</w:t>
      </w:r>
    </w:p>
    <w:p>
      <w:pPr>
        <w:pStyle w:val="BodyText"/>
        <w:spacing w:line="259" w:lineRule="auto" w:before="180"/>
        <w:ind w:left="115" w:right="114"/>
        <w:jc w:val="both"/>
      </w:pPr>
      <w:r>
        <w:rPr/>
        <w:t>Die Modellvariablen verändern ihren Wert dynamisch während des Betrachtungszeitraums. Sie verändern</w:t>
      </w:r>
      <w:r>
        <w:rPr>
          <w:spacing w:val="-10"/>
        </w:rPr>
        <w:t> </w:t>
      </w:r>
      <w:r>
        <w:rPr/>
        <w:t>sich</w:t>
      </w:r>
      <w:r>
        <w:rPr>
          <w:spacing w:val="-10"/>
        </w:rPr>
        <w:t> </w:t>
      </w:r>
      <w:r>
        <w:rPr/>
        <w:t>aufgrund</w:t>
      </w:r>
      <w:r>
        <w:rPr>
          <w:spacing w:val="-10"/>
        </w:rPr>
        <w:t> </w:t>
      </w:r>
      <w:r>
        <w:rPr/>
        <w:t>der</w:t>
      </w:r>
      <w:r>
        <w:rPr>
          <w:spacing w:val="-9"/>
        </w:rPr>
        <w:t> </w:t>
      </w:r>
      <w:r>
        <w:rPr/>
        <w:t>im</w:t>
      </w:r>
      <w:r>
        <w:rPr>
          <w:spacing w:val="-10"/>
        </w:rPr>
        <w:t> </w:t>
      </w:r>
      <w:r>
        <w:rPr/>
        <w:t>Modell</w:t>
      </w:r>
      <w:r>
        <w:rPr>
          <w:spacing w:val="-9"/>
        </w:rPr>
        <w:t> </w:t>
      </w:r>
      <w:r>
        <w:rPr/>
        <w:t>beschriebenen</w:t>
      </w:r>
      <w:r>
        <w:rPr>
          <w:spacing w:val="-12"/>
        </w:rPr>
        <w:t> </w:t>
      </w:r>
      <w:r>
        <w:rPr/>
        <w:t>inneren</w:t>
      </w:r>
      <w:r>
        <w:rPr>
          <w:spacing w:val="-10"/>
        </w:rPr>
        <w:t> </w:t>
      </w:r>
      <w:r>
        <w:rPr/>
        <w:t>Mechanismen,</w:t>
      </w:r>
      <w:r>
        <w:rPr>
          <w:spacing w:val="-9"/>
        </w:rPr>
        <w:t> </w:t>
      </w:r>
      <w:r>
        <w:rPr/>
        <w:t>aufgrund</w:t>
      </w:r>
      <w:r>
        <w:rPr>
          <w:spacing w:val="-10"/>
        </w:rPr>
        <w:t> </w:t>
      </w:r>
      <w:r>
        <w:rPr/>
        <w:t>der</w:t>
      </w:r>
      <w:r>
        <w:rPr>
          <w:spacing w:val="-9"/>
        </w:rPr>
        <w:t> </w:t>
      </w:r>
      <w:r>
        <w:rPr/>
        <w:t>Werte</w:t>
      </w:r>
      <w:r>
        <w:rPr>
          <w:spacing w:val="-9"/>
        </w:rPr>
        <w:t> </w:t>
      </w:r>
      <w:r>
        <w:rPr/>
        <w:t>der Modellparameter, sowie aufgrund der exogenen</w:t>
      </w:r>
      <w:r>
        <w:rPr>
          <w:spacing w:val="-7"/>
        </w:rPr>
        <w:t> </w:t>
      </w:r>
      <w:r>
        <w:rPr/>
        <w:t>Einflüsse.</w:t>
      </w:r>
    </w:p>
    <w:p>
      <w:pPr>
        <w:pStyle w:val="BodyText"/>
        <w:spacing w:before="2"/>
        <w:rPr>
          <w:sz w:val="13"/>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9"/>
        <w:gridCol w:w="6343"/>
      </w:tblGrid>
      <w:tr>
        <w:trPr>
          <w:trHeight w:val="268" w:hRule="atLeast"/>
        </w:trPr>
        <w:tc>
          <w:tcPr>
            <w:tcW w:w="2719" w:type="dxa"/>
          </w:tcPr>
          <w:p>
            <w:pPr>
              <w:pStyle w:val="TableParagraph"/>
              <w:spacing w:line="248" w:lineRule="exact"/>
              <w:ind w:left="110"/>
              <w:rPr>
                <w:b/>
                <w:sz w:val="22"/>
              </w:rPr>
            </w:pPr>
            <w:r>
              <w:rPr>
                <w:b/>
                <w:sz w:val="22"/>
              </w:rPr>
              <w:t>Variable</w:t>
            </w:r>
          </w:p>
        </w:tc>
        <w:tc>
          <w:tcPr>
            <w:tcW w:w="6343" w:type="dxa"/>
          </w:tcPr>
          <w:p>
            <w:pPr>
              <w:pStyle w:val="TableParagraph"/>
              <w:spacing w:line="248" w:lineRule="exact"/>
              <w:rPr>
                <w:b/>
                <w:sz w:val="22"/>
              </w:rPr>
            </w:pPr>
            <w:r>
              <w:rPr>
                <w:b/>
                <w:sz w:val="22"/>
              </w:rPr>
              <w:t>Definition</w:t>
            </w:r>
          </w:p>
        </w:tc>
      </w:tr>
      <w:tr>
        <w:trPr>
          <w:trHeight w:val="1074" w:hRule="atLeast"/>
        </w:trPr>
        <w:tc>
          <w:tcPr>
            <w:tcW w:w="2719" w:type="dxa"/>
          </w:tcPr>
          <w:p>
            <w:pPr>
              <w:pStyle w:val="TableParagraph"/>
              <w:ind w:left="110" w:right="848"/>
              <w:rPr>
                <w:sz w:val="22"/>
              </w:rPr>
            </w:pPr>
            <w:r>
              <w:rPr>
                <w:sz w:val="22"/>
              </w:rPr>
              <w:t>Pflege- und Betreuungsleistung</w:t>
            </w:r>
          </w:p>
        </w:tc>
        <w:tc>
          <w:tcPr>
            <w:tcW w:w="6343" w:type="dxa"/>
          </w:tcPr>
          <w:p>
            <w:pPr>
              <w:pStyle w:val="TableParagraph"/>
              <w:ind w:left="107" w:right="162"/>
              <w:rPr>
                <w:sz w:val="22"/>
              </w:rPr>
            </w:pPr>
            <w:r>
              <w:rPr>
                <w:sz w:val="22"/>
              </w:rPr>
              <w:t>Zeit pro Woche, die die PBAP benötigt, um ihren Teil der Pflege und Betreuung der betreffenden betreuungs- und/oder pflegebedürftigen Person so zu leisten, dass die Pflege und</w:t>
            </w:r>
          </w:p>
          <w:p>
            <w:pPr>
              <w:pStyle w:val="TableParagraph"/>
              <w:spacing w:line="249" w:lineRule="exact"/>
              <w:rPr>
                <w:sz w:val="22"/>
              </w:rPr>
            </w:pPr>
            <w:r>
              <w:rPr>
                <w:sz w:val="22"/>
              </w:rPr>
              <w:t>Betreuung aus Sicht der PBAP angemessen ist.</w:t>
            </w:r>
          </w:p>
        </w:tc>
      </w:tr>
      <w:tr>
        <w:trPr>
          <w:trHeight w:val="1074" w:hRule="atLeast"/>
        </w:trPr>
        <w:tc>
          <w:tcPr>
            <w:tcW w:w="2719" w:type="dxa"/>
          </w:tcPr>
          <w:p>
            <w:pPr>
              <w:pStyle w:val="TableParagraph"/>
              <w:ind w:left="110" w:right="282"/>
              <w:rPr>
                <w:sz w:val="22"/>
              </w:rPr>
            </w:pPr>
            <w:r>
              <w:rPr>
                <w:sz w:val="22"/>
              </w:rPr>
              <w:t>Pflege- und Betreuungsleistung durch Dritte</w:t>
            </w:r>
          </w:p>
        </w:tc>
        <w:tc>
          <w:tcPr>
            <w:tcW w:w="6343" w:type="dxa"/>
          </w:tcPr>
          <w:p>
            <w:pPr>
              <w:pStyle w:val="TableParagraph"/>
              <w:ind w:left="107" w:right="555"/>
              <w:rPr>
                <w:sz w:val="22"/>
              </w:rPr>
            </w:pPr>
            <w:r>
              <w:rPr>
                <w:sz w:val="22"/>
              </w:rPr>
              <w:t>Zeit pro Woche, die Drittpersonen benötigen, um ihren Teil der Pflege und Betreuung der betreffenden betreuungs- und/oder pflegebedürftigen Person so zu leisten, dass die Pflege und</w:t>
            </w:r>
          </w:p>
          <w:p>
            <w:pPr>
              <w:pStyle w:val="TableParagraph"/>
              <w:spacing w:line="249" w:lineRule="exact"/>
              <w:rPr>
                <w:sz w:val="22"/>
              </w:rPr>
            </w:pPr>
            <w:r>
              <w:rPr>
                <w:sz w:val="22"/>
              </w:rPr>
              <w:t>Betreuung aus Sicht der PBAP angemessen ist.</w:t>
            </w:r>
          </w:p>
        </w:tc>
      </w:tr>
      <w:tr>
        <w:trPr>
          <w:trHeight w:val="1074" w:hRule="atLeast"/>
        </w:trPr>
        <w:tc>
          <w:tcPr>
            <w:tcW w:w="2719" w:type="dxa"/>
          </w:tcPr>
          <w:p>
            <w:pPr>
              <w:pStyle w:val="TableParagraph"/>
              <w:ind w:left="110" w:right="203"/>
              <w:rPr>
                <w:sz w:val="22"/>
              </w:rPr>
            </w:pPr>
            <w:r>
              <w:rPr>
                <w:sz w:val="22"/>
              </w:rPr>
              <w:t>Aneignung der Pflege- und Betreuungsrolle</w:t>
            </w:r>
          </w:p>
        </w:tc>
        <w:tc>
          <w:tcPr>
            <w:tcW w:w="6343" w:type="dxa"/>
          </w:tcPr>
          <w:p>
            <w:pPr>
              <w:pStyle w:val="TableParagraph"/>
              <w:ind w:right="368"/>
              <w:rPr>
                <w:sz w:val="22"/>
              </w:rPr>
            </w:pPr>
            <w:r>
              <w:rPr>
                <w:sz w:val="22"/>
              </w:rPr>
              <w:t>Stärke der Rollenzuschreibung der PBAP. Dies schließt sowohl die Selbstzuschreibung der Rolle als auch die Zuschreibung durch andere Personen innerhalb und außerhalb des Arrangements mit</w:t>
            </w:r>
          </w:p>
          <w:p>
            <w:pPr>
              <w:pStyle w:val="TableParagraph"/>
              <w:spacing w:line="249" w:lineRule="exact"/>
              <w:rPr>
                <w:sz w:val="22"/>
              </w:rPr>
            </w:pPr>
            <w:r>
              <w:rPr>
                <w:sz w:val="22"/>
              </w:rPr>
              <w:t>ein (vgl. auch detaillierte Erläuterungen im Artikel).</w:t>
            </w:r>
          </w:p>
        </w:tc>
      </w:tr>
      <w:tr>
        <w:trPr>
          <w:trHeight w:val="1341" w:hRule="atLeast"/>
        </w:trPr>
        <w:tc>
          <w:tcPr>
            <w:tcW w:w="2719" w:type="dxa"/>
          </w:tcPr>
          <w:p>
            <w:pPr>
              <w:pStyle w:val="TableParagraph"/>
              <w:spacing w:line="268" w:lineRule="exact"/>
              <w:ind w:left="110"/>
              <w:rPr>
                <w:sz w:val="22"/>
              </w:rPr>
            </w:pPr>
            <w:r>
              <w:rPr>
                <w:sz w:val="22"/>
              </w:rPr>
              <w:t>Aneignung durch Dritte</w:t>
            </w:r>
          </w:p>
        </w:tc>
        <w:tc>
          <w:tcPr>
            <w:tcW w:w="6343" w:type="dxa"/>
          </w:tcPr>
          <w:p>
            <w:pPr>
              <w:pStyle w:val="TableParagraph"/>
              <w:ind w:right="384"/>
              <w:rPr>
                <w:sz w:val="22"/>
              </w:rPr>
            </w:pPr>
            <w:r>
              <w:rPr>
                <w:sz w:val="22"/>
              </w:rPr>
              <w:t>Stärke der Rollenzuschreibung für Drittpersonen und/oder Dienstleistungsorganisationen. Dies schließt sowohl die Selbstzuschreibung der Rolle als auch die Zuschreibung durch andere Personen innerhalb und außerhalb des Arrangements mit</w:t>
            </w:r>
          </w:p>
          <w:p>
            <w:pPr>
              <w:pStyle w:val="TableParagraph"/>
              <w:spacing w:line="248" w:lineRule="exact"/>
              <w:rPr>
                <w:sz w:val="22"/>
              </w:rPr>
            </w:pPr>
            <w:r>
              <w:rPr>
                <w:sz w:val="22"/>
              </w:rPr>
              <w:t>ein (vgl. auch detaillierte Erläuterungen im Artikel).</w:t>
            </w:r>
          </w:p>
        </w:tc>
      </w:tr>
      <w:tr>
        <w:trPr>
          <w:trHeight w:val="1074" w:hRule="atLeast"/>
        </w:trPr>
        <w:tc>
          <w:tcPr>
            <w:tcW w:w="2719" w:type="dxa"/>
          </w:tcPr>
          <w:p>
            <w:pPr>
              <w:pStyle w:val="TableParagraph"/>
              <w:ind w:left="110" w:right="946"/>
              <w:rPr>
                <w:sz w:val="22"/>
              </w:rPr>
            </w:pPr>
            <w:r>
              <w:rPr>
                <w:sz w:val="22"/>
              </w:rPr>
              <w:t>Relativer Grad der Aneignung</w:t>
            </w:r>
          </w:p>
        </w:tc>
        <w:tc>
          <w:tcPr>
            <w:tcW w:w="6343" w:type="dxa"/>
          </w:tcPr>
          <w:p>
            <w:pPr>
              <w:pStyle w:val="TableParagraph"/>
              <w:ind w:left="107" w:right="188"/>
              <w:rPr>
                <w:sz w:val="22"/>
              </w:rPr>
            </w:pPr>
            <w:r>
              <w:rPr>
                <w:sz w:val="22"/>
              </w:rPr>
              <w:t>Das Verhältnis zwischen der Aneignung der Pflege- und Betreuungsrolle durch die PBAP und der Aneignung der Pflege- und Betreuungsrolle durch Drittpersonen oder</w:t>
            </w:r>
          </w:p>
          <w:p>
            <w:pPr>
              <w:pStyle w:val="TableParagraph"/>
              <w:spacing w:line="249" w:lineRule="exact"/>
              <w:rPr>
                <w:sz w:val="22"/>
              </w:rPr>
            </w:pPr>
            <w:r>
              <w:rPr>
                <w:sz w:val="22"/>
              </w:rPr>
              <w:t>Dienstleistungsorganisationen.</w:t>
            </w:r>
          </w:p>
        </w:tc>
      </w:tr>
      <w:tr>
        <w:trPr>
          <w:trHeight w:val="806" w:hRule="atLeast"/>
        </w:trPr>
        <w:tc>
          <w:tcPr>
            <w:tcW w:w="2719" w:type="dxa"/>
          </w:tcPr>
          <w:p>
            <w:pPr>
              <w:pStyle w:val="TableParagraph"/>
              <w:spacing w:line="268" w:lineRule="exact"/>
              <w:ind w:left="110"/>
              <w:rPr>
                <w:sz w:val="22"/>
              </w:rPr>
            </w:pPr>
            <w:r>
              <w:rPr>
                <w:sz w:val="22"/>
              </w:rPr>
              <w:t>Entlastung der PBAP</w:t>
            </w:r>
          </w:p>
        </w:tc>
        <w:tc>
          <w:tcPr>
            <w:tcW w:w="6343" w:type="dxa"/>
          </w:tcPr>
          <w:p>
            <w:pPr>
              <w:pStyle w:val="TableParagraph"/>
              <w:ind w:right="349"/>
              <w:rPr>
                <w:sz w:val="22"/>
              </w:rPr>
            </w:pPr>
            <w:r>
              <w:rPr>
                <w:sz w:val="22"/>
              </w:rPr>
              <w:t>Die zeitliche Rate, mit der eine belastete PBAP bestehende Aufgaben der Pflege und Betreuung an Drittpersonen abgibt; also</w:t>
            </w:r>
          </w:p>
          <w:p>
            <w:pPr>
              <w:pStyle w:val="TableParagraph"/>
              <w:spacing w:line="249" w:lineRule="exact"/>
              <w:rPr>
                <w:sz w:val="22"/>
              </w:rPr>
            </w:pPr>
            <w:r>
              <w:rPr>
                <w:sz w:val="22"/>
              </w:rPr>
              <w:t>die Pflege- und Betreuungsleistung [Einheit: Stunden/Woche], die</w:t>
            </w:r>
          </w:p>
        </w:tc>
      </w:tr>
    </w:tbl>
    <w:p>
      <w:pPr>
        <w:spacing w:after="0" w:line="249" w:lineRule="exact"/>
        <w:rPr>
          <w:sz w:val="22"/>
        </w:rPr>
        <w:sectPr>
          <w:type w:val="continuous"/>
          <w:pgSz w:w="11910" w:h="16840"/>
          <w:pgMar w:top="1580" w:bottom="280" w:left="1300" w:right="1300"/>
        </w:sect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9"/>
        <w:gridCol w:w="6343"/>
      </w:tblGrid>
      <w:tr>
        <w:trPr>
          <w:trHeight w:val="1072" w:hRule="atLeast"/>
        </w:trPr>
        <w:tc>
          <w:tcPr>
            <w:tcW w:w="2719" w:type="dxa"/>
          </w:tcPr>
          <w:p>
            <w:pPr>
              <w:pStyle w:val="TableParagraph"/>
              <w:ind w:left="0"/>
              <w:rPr>
                <w:rFonts w:ascii="Times New Roman"/>
                <w:sz w:val="22"/>
              </w:rPr>
            </w:pPr>
          </w:p>
        </w:tc>
        <w:tc>
          <w:tcPr>
            <w:tcW w:w="6343" w:type="dxa"/>
          </w:tcPr>
          <w:p>
            <w:pPr>
              <w:pStyle w:val="TableParagraph"/>
              <w:ind w:right="255"/>
              <w:rPr>
                <w:sz w:val="22"/>
              </w:rPr>
            </w:pPr>
            <w:r>
              <w:rPr>
                <w:sz w:val="22"/>
              </w:rPr>
              <w:t>eine PBAP während eines gegebenen Zeitraums abgibt. Die Einheit dieser Größe ist folglich [(Stunden/Woche)/Jahr]. Eine hohe Entlastung der PBAP entspricht gemäß dieser Definition einer</w:t>
            </w:r>
          </w:p>
          <w:p>
            <w:pPr>
              <w:pStyle w:val="TableParagraph"/>
              <w:spacing w:line="248" w:lineRule="exact"/>
              <w:rPr>
                <w:sz w:val="22"/>
              </w:rPr>
            </w:pPr>
            <w:r>
              <w:rPr>
                <w:sz w:val="22"/>
              </w:rPr>
              <w:t>Veränderung, in der eine PBAP in kurzer Zeit viele Aufgaben abgibt.</w:t>
            </w:r>
          </w:p>
        </w:tc>
      </w:tr>
      <w:tr>
        <w:trPr>
          <w:trHeight w:val="1074" w:hRule="atLeast"/>
        </w:trPr>
        <w:tc>
          <w:tcPr>
            <w:tcW w:w="2719" w:type="dxa"/>
          </w:tcPr>
          <w:p>
            <w:pPr>
              <w:pStyle w:val="TableParagraph"/>
              <w:spacing w:line="268" w:lineRule="exact"/>
              <w:ind w:left="110"/>
              <w:rPr>
                <w:sz w:val="22"/>
              </w:rPr>
            </w:pPr>
            <w:r>
              <w:rPr>
                <w:sz w:val="22"/>
              </w:rPr>
              <w:t>Andere Verpflichtungen</w:t>
            </w:r>
          </w:p>
        </w:tc>
        <w:tc>
          <w:tcPr>
            <w:tcW w:w="6343" w:type="dxa"/>
          </w:tcPr>
          <w:p>
            <w:pPr>
              <w:pStyle w:val="TableParagraph"/>
              <w:ind w:right="328"/>
              <w:rPr>
                <w:sz w:val="22"/>
              </w:rPr>
            </w:pPr>
            <w:r>
              <w:rPr>
                <w:sz w:val="22"/>
              </w:rPr>
              <w:t>Zeit pro Woche, die die PBAP für Tätigkeiten außerhalb der Pflege und Betreuung benötigt, um gemäß ihrer Selbsteinschätzung gegenüber Drittpersonen angemessen zu handeln.</w:t>
            </w:r>
          </w:p>
        </w:tc>
      </w:tr>
      <w:tr>
        <w:trPr>
          <w:trHeight w:val="1074" w:hRule="atLeast"/>
        </w:trPr>
        <w:tc>
          <w:tcPr>
            <w:tcW w:w="2719" w:type="dxa"/>
          </w:tcPr>
          <w:p>
            <w:pPr>
              <w:pStyle w:val="TableParagraph"/>
              <w:spacing w:line="268" w:lineRule="exact"/>
              <w:ind w:left="110"/>
              <w:rPr>
                <w:sz w:val="22"/>
              </w:rPr>
            </w:pPr>
            <w:r>
              <w:rPr>
                <w:sz w:val="22"/>
              </w:rPr>
              <w:t>Zeitliche Beanspruchung</w:t>
            </w:r>
          </w:p>
        </w:tc>
        <w:tc>
          <w:tcPr>
            <w:tcW w:w="6343" w:type="dxa"/>
          </w:tcPr>
          <w:p>
            <w:pPr>
              <w:pStyle w:val="TableParagraph"/>
              <w:ind w:right="269"/>
              <w:rPr>
                <w:sz w:val="22"/>
              </w:rPr>
            </w:pPr>
            <w:r>
              <w:rPr>
                <w:sz w:val="22"/>
              </w:rPr>
              <w:t>Zeit pro Woche, die die PBAP insgesamt benötigt, um gemäß ihrer Selbsteinschätzung gegenüber anderen Personen angemessen zu handeln (bezüglich beidem: Pflege und Betreuung der betroffenen</w:t>
            </w:r>
          </w:p>
          <w:p>
            <w:pPr>
              <w:pStyle w:val="TableParagraph"/>
              <w:spacing w:line="249" w:lineRule="exact"/>
              <w:rPr>
                <w:sz w:val="22"/>
              </w:rPr>
            </w:pPr>
            <w:r>
              <w:rPr>
                <w:sz w:val="22"/>
              </w:rPr>
              <w:t>Person sowie andere Verpflichtungen).</w:t>
            </w:r>
          </w:p>
        </w:tc>
      </w:tr>
      <w:tr>
        <w:trPr>
          <w:trHeight w:val="537" w:hRule="atLeast"/>
        </w:trPr>
        <w:tc>
          <w:tcPr>
            <w:tcW w:w="2719" w:type="dxa"/>
          </w:tcPr>
          <w:p>
            <w:pPr>
              <w:pStyle w:val="TableParagraph"/>
              <w:spacing w:line="268" w:lineRule="exact"/>
              <w:ind w:left="110"/>
              <w:rPr>
                <w:sz w:val="22"/>
              </w:rPr>
            </w:pPr>
            <w:r>
              <w:rPr>
                <w:sz w:val="22"/>
              </w:rPr>
              <w:t>Wahrgenommene</w:t>
            </w:r>
          </w:p>
          <w:p>
            <w:pPr>
              <w:pStyle w:val="TableParagraph"/>
              <w:spacing w:line="249" w:lineRule="exact"/>
              <w:ind w:left="110"/>
              <w:rPr>
                <w:sz w:val="22"/>
              </w:rPr>
            </w:pPr>
            <w:r>
              <w:rPr>
                <w:sz w:val="22"/>
              </w:rPr>
              <w:t>Belastung</w:t>
            </w:r>
          </w:p>
        </w:tc>
        <w:tc>
          <w:tcPr>
            <w:tcW w:w="6343" w:type="dxa"/>
          </w:tcPr>
          <w:p>
            <w:pPr>
              <w:pStyle w:val="TableParagraph"/>
              <w:spacing w:line="268" w:lineRule="exact"/>
              <w:rPr>
                <w:sz w:val="22"/>
              </w:rPr>
            </w:pPr>
            <w:r>
              <w:rPr>
                <w:sz w:val="22"/>
              </w:rPr>
              <w:t>Selbsteinschätzung der PBAP ihrer Belastung.</w:t>
            </w:r>
          </w:p>
        </w:tc>
      </w:tr>
      <w:tr>
        <w:trPr>
          <w:trHeight w:val="268" w:hRule="atLeast"/>
        </w:trPr>
        <w:tc>
          <w:tcPr>
            <w:tcW w:w="2719" w:type="dxa"/>
          </w:tcPr>
          <w:p>
            <w:pPr>
              <w:pStyle w:val="TableParagraph"/>
              <w:spacing w:line="248" w:lineRule="exact"/>
              <w:ind w:left="110"/>
              <w:rPr>
                <w:sz w:val="22"/>
              </w:rPr>
            </w:pPr>
            <w:r>
              <w:rPr>
                <w:sz w:val="22"/>
              </w:rPr>
              <w:t>Leistungsfähigkeit</w:t>
            </w:r>
          </w:p>
        </w:tc>
        <w:tc>
          <w:tcPr>
            <w:tcW w:w="6343" w:type="dxa"/>
          </w:tcPr>
          <w:p>
            <w:pPr>
              <w:pStyle w:val="TableParagraph"/>
              <w:spacing w:line="248" w:lineRule="exact"/>
              <w:rPr>
                <w:sz w:val="22"/>
              </w:rPr>
            </w:pPr>
            <w:r>
              <w:rPr>
                <w:sz w:val="22"/>
              </w:rPr>
              <w:t>Fähigkeit der PBAP, ihre Verpflichtungen effizient zu bewältigen.</w:t>
            </w:r>
          </w:p>
        </w:tc>
      </w:tr>
    </w:tbl>
    <w:p>
      <w:pPr>
        <w:pStyle w:val="BodyText"/>
        <w:rPr>
          <w:sz w:val="20"/>
        </w:rPr>
      </w:pPr>
    </w:p>
    <w:p>
      <w:pPr>
        <w:pStyle w:val="BodyText"/>
        <w:spacing w:before="9"/>
        <w:rPr>
          <w:sz w:val="16"/>
        </w:rPr>
      </w:pPr>
    </w:p>
    <w:p>
      <w:pPr>
        <w:pStyle w:val="Heading1"/>
      </w:pPr>
      <w:r>
        <w:rPr/>
        <w:t>Modellparameter</w:t>
      </w:r>
    </w:p>
    <w:p>
      <w:pPr>
        <w:pStyle w:val="BodyText"/>
        <w:spacing w:before="180"/>
        <w:ind w:left="115"/>
      </w:pPr>
      <w:r>
        <w:rPr/>
        <w:t>Die Modellparameter werden (vereinfacht) als konstant angenommen.</w:t>
      </w:r>
    </w:p>
    <w:p>
      <w:pPr>
        <w:pStyle w:val="BodyText"/>
        <w:spacing w:before="10"/>
        <w:rPr>
          <w:sz w:val="14"/>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9"/>
        <w:gridCol w:w="6343"/>
      </w:tblGrid>
      <w:tr>
        <w:trPr>
          <w:trHeight w:val="4029" w:hRule="atLeast"/>
        </w:trPr>
        <w:tc>
          <w:tcPr>
            <w:tcW w:w="2719" w:type="dxa"/>
          </w:tcPr>
          <w:p>
            <w:pPr>
              <w:pStyle w:val="TableParagraph"/>
              <w:spacing w:line="268" w:lineRule="exact"/>
              <w:ind w:left="110"/>
              <w:rPr>
                <w:sz w:val="22"/>
              </w:rPr>
            </w:pPr>
            <w:r>
              <w:rPr>
                <w:sz w:val="22"/>
              </w:rPr>
              <w:t>Selbstmanagementfähigkeit</w:t>
            </w:r>
          </w:p>
        </w:tc>
        <w:tc>
          <w:tcPr>
            <w:tcW w:w="6343" w:type="dxa"/>
          </w:tcPr>
          <w:p>
            <w:pPr>
              <w:pStyle w:val="TableParagraph"/>
              <w:ind w:right="242"/>
              <w:rPr>
                <w:sz w:val="22"/>
              </w:rPr>
            </w:pPr>
            <w:r>
              <w:rPr>
                <w:sz w:val="22"/>
              </w:rPr>
              <w:t>Die Fähigkeit des Pflege- und Betreuungsarrangements, bei gegebener </w:t>
            </w:r>
            <w:r>
              <w:rPr>
                <w:i/>
                <w:sz w:val="22"/>
              </w:rPr>
              <w:t>wahrgenommener Belastung </w:t>
            </w:r>
            <w:r>
              <w:rPr>
                <w:sz w:val="22"/>
              </w:rPr>
              <w:t>der PBAP und gegebenem relativem Grad der Aneignung eine </w:t>
            </w:r>
            <w:r>
              <w:rPr>
                <w:i/>
                <w:sz w:val="22"/>
              </w:rPr>
              <w:t>Entlastung </w:t>
            </w:r>
            <w:r>
              <w:rPr>
                <w:sz w:val="22"/>
              </w:rPr>
              <w:t>herbeizuführen.</w:t>
            </w:r>
          </w:p>
          <w:p>
            <w:pPr>
              <w:pStyle w:val="TableParagraph"/>
              <w:ind w:left="107" w:right="165"/>
              <w:rPr>
                <w:sz w:val="22"/>
              </w:rPr>
            </w:pPr>
            <w:r>
              <w:rPr>
                <w:sz w:val="22"/>
              </w:rPr>
              <w:t>Dieser Parameter hat vielfältige Aspekte. Auf der persönlichen Ebene der PBAP ist die Fähigkeit relevant, Belastungen als solche zu erkennen und Rollenverhältnisse zu hinterfragen. Weitere wichtige Aspekte der Selbstmanagementfähigkeit sind soziale, spirituelle, psychische und wirtschaftliche Ressourcen der PBAP, die ihr ermöglichen, sich im Bedarfsfall Entlastung durch Dritte zu verschaffen. Auf der Ebene des Pflege- und Betreuungsarrangements ist relevant, inwiefern diese Fähigkeiten der PBAP unterstützt werden, sei es durch das Vorhandensein oder die Finanzierung geeigneter Entlastungsangebote, durch Unterstützung oder Begleitung.</w:t>
            </w:r>
          </w:p>
        </w:tc>
      </w:tr>
      <w:tr>
        <w:trPr>
          <w:trHeight w:val="1878" w:hRule="atLeast"/>
        </w:trPr>
        <w:tc>
          <w:tcPr>
            <w:tcW w:w="2719" w:type="dxa"/>
          </w:tcPr>
          <w:p>
            <w:pPr>
              <w:pStyle w:val="TableParagraph"/>
              <w:spacing w:line="268" w:lineRule="exact"/>
              <w:ind w:left="110"/>
              <w:rPr>
                <w:sz w:val="22"/>
              </w:rPr>
            </w:pPr>
            <w:r>
              <w:rPr>
                <w:sz w:val="22"/>
              </w:rPr>
              <w:t>Antizipationsgrad</w:t>
            </w:r>
          </w:p>
        </w:tc>
        <w:tc>
          <w:tcPr>
            <w:tcW w:w="6343" w:type="dxa"/>
          </w:tcPr>
          <w:p>
            <w:pPr>
              <w:pStyle w:val="TableParagraph"/>
              <w:ind w:right="803"/>
              <w:rPr>
                <w:sz w:val="22"/>
              </w:rPr>
            </w:pPr>
            <w:r>
              <w:rPr>
                <w:sz w:val="22"/>
              </w:rPr>
              <w:t>Beschreibt die Ausgangslage bezüglich Rollenaneignung zum Zeitpunkt, an dem die betreffende</w:t>
            </w:r>
          </w:p>
          <w:p>
            <w:pPr>
              <w:pStyle w:val="TableParagraph"/>
              <w:ind w:left="107" w:right="94"/>
              <w:rPr>
                <w:sz w:val="22"/>
              </w:rPr>
            </w:pPr>
            <w:r>
              <w:rPr>
                <w:sz w:val="22"/>
              </w:rPr>
              <w:t>betreuungs- und/oder pflegebedürftigen Person ihre Selbständigkeit verliert, wird durch den Parameter </w:t>
            </w:r>
            <w:r>
              <w:rPr>
                <w:i/>
                <w:sz w:val="22"/>
              </w:rPr>
              <w:t>Antizipationsgrad </w:t>
            </w:r>
            <w:r>
              <w:rPr>
                <w:sz w:val="22"/>
              </w:rPr>
              <w:t>beschrieben. Je klarer für die beteiligten Personen zu diesem Zeitpunkt ist, dass die PBAP die Pflege und Betreuung übernehmen wird, desto</w:t>
            </w:r>
            <w:r>
              <w:rPr>
                <w:spacing w:val="-15"/>
                <w:sz w:val="22"/>
              </w:rPr>
              <w:t> </w:t>
            </w:r>
            <w:r>
              <w:rPr>
                <w:sz w:val="22"/>
              </w:rPr>
              <w:t>höher</w:t>
            </w:r>
          </w:p>
          <w:p>
            <w:pPr>
              <w:pStyle w:val="TableParagraph"/>
              <w:spacing w:line="248" w:lineRule="exact"/>
              <w:rPr>
                <w:sz w:val="22"/>
              </w:rPr>
            </w:pPr>
            <w:r>
              <w:rPr>
                <w:sz w:val="22"/>
              </w:rPr>
              <w:t>der Wert dieses Parameters.</w:t>
            </w:r>
          </w:p>
        </w:tc>
      </w:tr>
      <w:tr>
        <w:trPr>
          <w:trHeight w:val="1881" w:hRule="atLeast"/>
        </w:trPr>
        <w:tc>
          <w:tcPr>
            <w:tcW w:w="2719" w:type="dxa"/>
          </w:tcPr>
          <w:p>
            <w:pPr>
              <w:pStyle w:val="TableParagraph"/>
              <w:spacing w:before="1"/>
              <w:ind w:left="110"/>
              <w:rPr>
                <w:sz w:val="22"/>
              </w:rPr>
            </w:pPr>
            <w:r>
              <w:rPr>
                <w:sz w:val="22"/>
              </w:rPr>
              <w:t>Belastbarkeit</w:t>
            </w:r>
          </w:p>
        </w:tc>
        <w:tc>
          <w:tcPr>
            <w:tcW w:w="6343" w:type="dxa"/>
          </w:tcPr>
          <w:p>
            <w:pPr>
              <w:pStyle w:val="TableParagraph"/>
              <w:spacing w:before="1"/>
              <w:ind w:left="107" w:right="283"/>
              <w:rPr>
                <w:sz w:val="22"/>
              </w:rPr>
            </w:pPr>
            <w:r>
              <w:rPr>
                <w:sz w:val="22"/>
              </w:rPr>
              <w:t>Beschreibt, wie stark sich zeitliche Beanspruchung auf die </w:t>
            </w:r>
            <w:r>
              <w:rPr>
                <w:i/>
                <w:sz w:val="22"/>
              </w:rPr>
              <w:t>wahrgenommene Belastung der PBAP </w:t>
            </w:r>
            <w:r>
              <w:rPr>
                <w:sz w:val="22"/>
              </w:rPr>
              <w:t>auswirkt. Ein hoher Wert diese Parameters beschreibt ein Pflege- und Betreuungsarrangement, in dem es die Ressourcen und Copingstrategien der PBAP sowie die Unterstützung aus dem Arrangement ermöglichen, dass sich die PBAP auch bei sehr hoher</w:t>
            </w:r>
          </w:p>
          <w:p>
            <w:pPr>
              <w:pStyle w:val="TableParagraph"/>
              <w:spacing w:line="248" w:lineRule="exact"/>
              <w:rPr>
                <w:sz w:val="22"/>
              </w:rPr>
            </w:pPr>
            <w:r>
              <w:rPr>
                <w:sz w:val="22"/>
              </w:rPr>
              <w:t>zeitlicher Beanspruchung nicht belastet fühlt.</w:t>
            </w:r>
          </w:p>
        </w:tc>
      </w:tr>
    </w:tbl>
    <w:p>
      <w:pPr>
        <w:spacing w:after="0" w:line="248" w:lineRule="exact"/>
        <w:rPr>
          <w:sz w:val="22"/>
        </w:rPr>
        <w:sectPr>
          <w:pgSz w:w="11910" w:h="16840"/>
          <w:pgMar w:top="1260" w:bottom="280" w:left="1300" w:right="1300"/>
        </w:sectPr>
      </w:pPr>
    </w:p>
    <w:p>
      <w:pPr>
        <w:pStyle w:val="Heading1"/>
        <w:spacing w:before="37"/>
      </w:pPr>
      <w:r>
        <w:rPr/>
        <w:t>Exogene Modellvariablen</w:t>
      </w:r>
    </w:p>
    <w:p>
      <w:pPr>
        <w:pStyle w:val="BodyText"/>
        <w:spacing w:line="259" w:lineRule="auto" w:before="181"/>
        <w:ind w:left="115" w:right="867"/>
      </w:pPr>
      <w:r>
        <w:rPr/>
        <w:t>Exogene Modellvariablen verändern sich im Laufe des Betrachtungszeitraums. Es wird aber (vereinfacht) angenommen, dass sie nicht durch andere Modellvariablen beeinflusst werden.</w:t>
      </w:r>
    </w:p>
    <w:p>
      <w:pPr>
        <w:pStyle w:val="BodyText"/>
        <w:rPr>
          <w:sz w:val="20"/>
        </w:rPr>
      </w:pPr>
    </w:p>
    <w:p>
      <w:pPr>
        <w:pStyle w:val="BodyText"/>
        <w:rPr>
          <w:sz w:val="20"/>
        </w:rPr>
      </w:pPr>
    </w:p>
    <w:p>
      <w:pPr>
        <w:pStyle w:val="BodyText"/>
        <w:rPr>
          <w:sz w:val="10"/>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19"/>
        <w:gridCol w:w="6343"/>
      </w:tblGrid>
      <w:tr>
        <w:trPr>
          <w:trHeight w:val="268" w:hRule="atLeast"/>
        </w:trPr>
        <w:tc>
          <w:tcPr>
            <w:tcW w:w="2719" w:type="dxa"/>
          </w:tcPr>
          <w:p>
            <w:pPr>
              <w:pStyle w:val="TableParagraph"/>
              <w:spacing w:line="248" w:lineRule="exact"/>
              <w:ind w:left="110"/>
              <w:rPr>
                <w:b/>
                <w:sz w:val="22"/>
              </w:rPr>
            </w:pPr>
            <w:r>
              <w:rPr>
                <w:b/>
                <w:sz w:val="22"/>
              </w:rPr>
              <w:t>Variable</w:t>
            </w:r>
          </w:p>
        </w:tc>
        <w:tc>
          <w:tcPr>
            <w:tcW w:w="6343" w:type="dxa"/>
          </w:tcPr>
          <w:p>
            <w:pPr>
              <w:pStyle w:val="TableParagraph"/>
              <w:spacing w:line="248" w:lineRule="exact"/>
              <w:rPr>
                <w:b/>
                <w:sz w:val="22"/>
              </w:rPr>
            </w:pPr>
            <w:r>
              <w:rPr>
                <w:b/>
                <w:sz w:val="22"/>
              </w:rPr>
              <w:t>Definition</w:t>
            </w:r>
          </w:p>
        </w:tc>
      </w:tr>
      <w:tr>
        <w:trPr>
          <w:trHeight w:val="1074" w:hRule="atLeast"/>
        </w:trPr>
        <w:tc>
          <w:tcPr>
            <w:tcW w:w="2719" w:type="dxa"/>
          </w:tcPr>
          <w:p>
            <w:pPr>
              <w:pStyle w:val="TableParagraph"/>
              <w:ind w:left="110" w:right="963"/>
              <w:rPr>
                <w:sz w:val="22"/>
              </w:rPr>
            </w:pPr>
            <w:r>
              <w:rPr>
                <w:sz w:val="22"/>
              </w:rPr>
              <w:t>Pflege- und Betreuungsbedarf</w:t>
            </w:r>
          </w:p>
        </w:tc>
        <w:tc>
          <w:tcPr>
            <w:tcW w:w="6343" w:type="dxa"/>
          </w:tcPr>
          <w:p>
            <w:pPr>
              <w:pStyle w:val="TableParagraph"/>
              <w:ind w:right="198"/>
              <w:rPr>
                <w:sz w:val="22"/>
              </w:rPr>
            </w:pPr>
            <w:r>
              <w:rPr>
                <w:sz w:val="22"/>
              </w:rPr>
              <w:t>Zeit pro Woche, die Personen aus dem Arrangement insgesamt benötigen, um die gesamte Pflege und Betreuung der betreffenden betreuungs- und/oder pflegebedürftigen Person so zu leisten, dass</w:t>
            </w:r>
          </w:p>
          <w:p>
            <w:pPr>
              <w:pStyle w:val="TableParagraph"/>
              <w:spacing w:line="249" w:lineRule="exact"/>
              <w:rPr>
                <w:sz w:val="22"/>
              </w:rPr>
            </w:pPr>
            <w:r>
              <w:rPr>
                <w:sz w:val="22"/>
              </w:rPr>
              <w:t>die Pflege und Betreuung aus Sicht der PBAP angemessen ist.</w:t>
            </w:r>
          </w:p>
        </w:tc>
      </w:tr>
      <w:tr>
        <w:trPr>
          <w:trHeight w:val="3220" w:hRule="atLeast"/>
        </w:trPr>
        <w:tc>
          <w:tcPr>
            <w:tcW w:w="2719" w:type="dxa"/>
          </w:tcPr>
          <w:p>
            <w:pPr>
              <w:pStyle w:val="TableParagraph"/>
              <w:spacing w:line="237" w:lineRule="auto" w:before="1"/>
              <w:ind w:left="110" w:right="460"/>
              <w:rPr>
                <w:sz w:val="22"/>
              </w:rPr>
            </w:pPr>
            <w:r>
              <w:rPr>
                <w:sz w:val="22"/>
              </w:rPr>
              <w:t>Exogene Einflüsse auf andere Verpflichtungen</w:t>
            </w:r>
          </w:p>
        </w:tc>
        <w:tc>
          <w:tcPr>
            <w:tcW w:w="6343" w:type="dxa"/>
          </w:tcPr>
          <w:p>
            <w:pPr>
              <w:pStyle w:val="TableParagraph"/>
              <w:ind w:right="1230"/>
              <w:jc w:val="both"/>
              <w:rPr>
                <w:sz w:val="22"/>
              </w:rPr>
            </w:pPr>
            <w:r>
              <w:rPr>
                <w:sz w:val="22"/>
              </w:rPr>
              <w:t>Veränderungen, die ursächlich nicht mit der Pflege- und Betreuungstätigkeit zusammenhängen und die anderen Verpflichtungen einer PBAP beeinflussen.</w:t>
            </w:r>
          </w:p>
          <w:p>
            <w:pPr>
              <w:pStyle w:val="TableParagraph"/>
              <w:spacing w:before="9"/>
              <w:ind w:left="0"/>
              <w:rPr>
                <w:sz w:val="21"/>
              </w:rPr>
            </w:pPr>
          </w:p>
          <w:p>
            <w:pPr>
              <w:pStyle w:val="TableParagraph"/>
              <w:ind w:right="155"/>
              <w:rPr>
                <w:sz w:val="22"/>
              </w:rPr>
            </w:pPr>
            <w:r>
              <w:rPr>
                <w:sz w:val="22"/>
              </w:rPr>
              <w:t>In der Praxis sind die vielfältigen Ursachen solcher Veränderungen schwer zu differenzieren. Die Variable ist dennoch wichtig, weil äußeren Veränderungen gemäß den Interviews die Entwicklung von Pflege- und Betreuungsarrangements wesentlich beeinflussen. So wurde ein befragter pflegender Angehöriger während des Betrachtungszeitraum Vater, was die Eigendynamik der Angehörigenpflege in der Folge entscheidend beeinflusst hat.</w:t>
            </w:r>
          </w:p>
        </w:tc>
      </w:tr>
      <w:tr>
        <w:trPr>
          <w:trHeight w:val="3491" w:hRule="atLeast"/>
        </w:trPr>
        <w:tc>
          <w:tcPr>
            <w:tcW w:w="2719" w:type="dxa"/>
          </w:tcPr>
          <w:p>
            <w:pPr>
              <w:pStyle w:val="TableParagraph"/>
              <w:spacing w:line="237" w:lineRule="auto" w:before="3"/>
              <w:ind w:left="110" w:right="646"/>
              <w:rPr>
                <w:sz w:val="22"/>
              </w:rPr>
            </w:pPr>
            <w:r>
              <w:rPr>
                <w:sz w:val="22"/>
              </w:rPr>
              <w:t>Exogene Einflüsse auf Leistungsfähigkeit</w:t>
            </w:r>
          </w:p>
        </w:tc>
        <w:tc>
          <w:tcPr>
            <w:tcW w:w="6343" w:type="dxa"/>
          </w:tcPr>
          <w:p>
            <w:pPr>
              <w:pStyle w:val="TableParagraph"/>
              <w:spacing w:before="1"/>
              <w:ind w:right="373"/>
              <w:rPr>
                <w:sz w:val="22"/>
              </w:rPr>
            </w:pPr>
            <w:r>
              <w:rPr>
                <w:sz w:val="22"/>
              </w:rPr>
              <w:t>Veränderungen, die ursächlich nicht mit der Pflege- und Betreuungstätigkeit zusammenhängen und die Leistungsfähigkeit einer PBAP beeinflussen.</w:t>
            </w:r>
          </w:p>
          <w:p>
            <w:pPr>
              <w:pStyle w:val="TableParagraph"/>
              <w:spacing w:before="11"/>
              <w:ind w:left="0"/>
              <w:rPr>
                <w:sz w:val="21"/>
              </w:rPr>
            </w:pPr>
          </w:p>
          <w:p>
            <w:pPr>
              <w:pStyle w:val="TableParagraph"/>
              <w:ind w:left="107" w:right="263"/>
              <w:rPr>
                <w:sz w:val="22"/>
              </w:rPr>
            </w:pPr>
            <w:r>
              <w:rPr>
                <w:sz w:val="22"/>
              </w:rPr>
              <w:t>Analog zum Argument in "Exogene Einflüsse auf andere Verpflichtungen" sind auch hier die vielfältigen Ursachen solcher Veränderungen schwer zu differenzieren; auch hier erwies sich die Variable dennoch als wichtig, weil solche Veränderungen die Eigendynamik der Pflege- und Betreuungsarrangements entscheidend beeinflussen können. Damit sind zum Beispiel sprungartige gesundheitliche Veränderungen der PBAP gemeint, zum Beispiel Unfälle, für die die Hauptursache ausserhalb der</w:t>
            </w:r>
          </w:p>
          <w:p>
            <w:pPr>
              <w:pStyle w:val="TableParagraph"/>
              <w:spacing w:line="249" w:lineRule="exact"/>
              <w:rPr>
                <w:sz w:val="22"/>
              </w:rPr>
            </w:pPr>
            <w:r>
              <w:rPr>
                <w:sz w:val="22"/>
              </w:rPr>
              <w:t>Pflege- und Betreuungstätigkeit liegt.</w:t>
            </w:r>
          </w:p>
        </w:tc>
      </w:tr>
    </w:tbl>
    <w:sectPr>
      <w:pgSz w:w="11910" w:h="16840"/>
      <w:pgMar w:top="1220" w:bottom="28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835" w:hanging="360"/>
      </w:pPr>
      <w:rPr>
        <w:rFonts w:hint="default" w:ascii="Calibri" w:hAnsi="Calibri" w:eastAsia="Calibri" w:cs="Calibri"/>
        <w:w w:val="100"/>
        <w:sz w:val="22"/>
        <w:szCs w:val="22"/>
        <w:lang w:val="de-ch" w:eastAsia="de-ch" w:bidi="de-ch"/>
      </w:rPr>
    </w:lvl>
    <w:lvl w:ilvl="1">
      <w:start w:val="0"/>
      <w:numFmt w:val="bullet"/>
      <w:lvlText w:val="•"/>
      <w:lvlJc w:val="left"/>
      <w:pPr>
        <w:ind w:left="1686" w:hanging="360"/>
      </w:pPr>
      <w:rPr>
        <w:rFonts w:hint="default"/>
        <w:lang w:val="de-ch" w:eastAsia="de-ch" w:bidi="de-ch"/>
      </w:rPr>
    </w:lvl>
    <w:lvl w:ilvl="2">
      <w:start w:val="0"/>
      <w:numFmt w:val="bullet"/>
      <w:lvlText w:val="•"/>
      <w:lvlJc w:val="left"/>
      <w:pPr>
        <w:ind w:left="2533" w:hanging="360"/>
      </w:pPr>
      <w:rPr>
        <w:rFonts w:hint="default"/>
        <w:lang w:val="de-ch" w:eastAsia="de-ch" w:bidi="de-ch"/>
      </w:rPr>
    </w:lvl>
    <w:lvl w:ilvl="3">
      <w:start w:val="0"/>
      <w:numFmt w:val="bullet"/>
      <w:lvlText w:val="•"/>
      <w:lvlJc w:val="left"/>
      <w:pPr>
        <w:ind w:left="3379" w:hanging="360"/>
      </w:pPr>
      <w:rPr>
        <w:rFonts w:hint="default"/>
        <w:lang w:val="de-ch" w:eastAsia="de-ch" w:bidi="de-ch"/>
      </w:rPr>
    </w:lvl>
    <w:lvl w:ilvl="4">
      <w:start w:val="0"/>
      <w:numFmt w:val="bullet"/>
      <w:lvlText w:val="•"/>
      <w:lvlJc w:val="left"/>
      <w:pPr>
        <w:ind w:left="4226" w:hanging="360"/>
      </w:pPr>
      <w:rPr>
        <w:rFonts w:hint="default"/>
        <w:lang w:val="de-ch" w:eastAsia="de-ch" w:bidi="de-ch"/>
      </w:rPr>
    </w:lvl>
    <w:lvl w:ilvl="5">
      <w:start w:val="0"/>
      <w:numFmt w:val="bullet"/>
      <w:lvlText w:val="•"/>
      <w:lvlJc w:val="left"/>
      <w:pPr>
        <w:ind w:left="5073" w:hanging="360"/>
      </w:pPr>
      <w:rPr>
        <w:rFonts w:hint="default"/>
        <w:lang w:val="de-ch" w:eastAsia="de-ch" w:bidi="de-ch"/>
      </w:rPr>
    </w:lvl>
    <w:lvl w:ilvl="6">
      <w:start w:val="0"/>
      <w:numFmt w:val="bullet"/>
      <w:lvlText w:val="•"/>
      <w:lvlJc w:val="left"/>
      <w:pPr>
        <w:ind w:left="5919" w:hanging="360"/>
      </w:pPr>
      <w:rPr>
        <w:rFonts w:hint="default"/>
        <w:lang w:val="de-ch" w:eastAsia="de-ch" w:bidi="de-ch"/>
      </w:rPr>
    </w:lvl>
    <w:lvl w:ilvl="7">
      <w:start w:val="0"/>
      <w:numFmt w:val="bullet"/>
      <w:lvlText w:val="•"/>
      <w:lvlJc w:val="left"/>
      <w:pPr>
        <w:ind w:left="6766" w:hanging="360"/>
      </w:pPr>
      <w:rPr>
        <w:rFonts w:hint="default"/>
        <w:lang w:val="de-ch" w:eastAsia="de-ch" w:bidi="de-ch"/>
      </w:rPr>
    </w:lvl>
    <w:lvl w:ilvl="8">
      <w:start w:val="0"/>
      <w:numFmt w:val="bullet"/>
      <w:lvlText w:val="•"/>
      <w:lvlJc w:val="left"/>
      <w:pPr>
        <w:ind w:left="7613" w:hanging="360"/>
      </w:pPr>
      <w:rPr>
        <w:rFonts w:hint="default"/>
        <w:lang w:val="de-ch" w:eastAsia="de-ch" w:bidi="de-ch"/>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de-ch" w:eastAsia="de-ch" w:bidi="de-ch"/>
    </w:rPr>
  </w:style>
  <w:style w:styleId="BodyText" w:type="paragraph">
    <w:name w:val="Body Text"/>
    <w:basedOn w:val="Normal"/>
    <w:uiPriority w:val="1"/>
    <w:qFormat/>
    <w:pPr/>
    <w:rPr>
      <w:rFonts w:ascii="Calibri" w:hAnsi="Calibri" w:eastAsia="Calibri" w:cs="Calibri"/>
      <w:sz w:val="22"/>
      <w:szCs w:val="22"/>
      <w:lang w:val="de-ch" w:eastAsia="de-ch" w:bidi="de-ch"/>
    </w:rPr>
  </w:style>
  <w:style w:styleId="Heading1" w:type="paragraph">
    <w:name w:val="Heading 1"/>
    <w:basedOn w:val="Normal"/>
    <w:uiPriority w:val="1"/>
    <w:qFormat/>
    <w:pPr>
      <w:ind w:left="115"/>
      <w:outlineLvl w:val="1"/>
    </w:pPr>
    <w:rPr>
      <w:rFonts w:ascii="Calibri" w:hAnsi="Calibri" w:eastAsia="Calibri" w:cs="Calibri"/>
      <w:b/>
      <w:bCs/>
      <w:sz w:val="22"/>
      <w:szCs w:val="22"/>
      <w:lang w:val="de-ch" w:eastAsia="de-ch" w:bidi="de-ch"/>
    </w:rPr>
  </w:style>
  <w:style w:styleId="ListParagraph" w:type="paragraph">
    <w:name w:val="List Paragraph"/>
    <w:basedOn w:val="Normal"/>
    <w:uiPriority w:val="1"/>
    <w:qFormat/>
    <w:pPr>
      <w:ind w:left="835" w:right="110" w:hanging="360"/>
    </w:pPr>
    <w:rPr>
      <w:rFonts w:ascii="Calibri" w:hAnsi="Calibri" w:eastAsia="Calibri" w:cs="Calibri"/>
      <w:lang w:val="de-ch" w:eastAsia="de-ch" w:bidi="de-ch"/>
    </w:rPr>
  </w:style>
  <w:style w:styleId="TableParagraph" w:type="paragraph">
    <w:name w:val="Table Paragraph"/>
    <w:basedOn w:val="Normal"/>
    <w:uiPriority w:val="1"/>
    <w:qFormat/>
    <w:pPr>
      <w:ind w:left="108"/>
    </w:pPr>
    <w:rPr>
      <w:rFonts w:ascii="Calibri" w:hAnsi="Calibri" w:eastAsia="Calibri" w:cs="Calibri"/>
      <w:lang w:val="de-ch" w:eastAsia="de-ch" w:bidi="de-ch"/>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Scheidegger</dc:creator>
  <dcterms:created xsi:type="dcterms:W3CDTF">2019-04-05T17:03:13Z</dcterms:created>
  <dcterms:modified xsi:type="dcterms:W3CDTF">2019-04-05T17:03:13Z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2019-04-05T00:00:00Z</vt:filetime>
  </property>
  <property fmtid="{D5CDD505-2E9C-101B-9397-08002B2CF9AE}" pid="3" name="Creator">
    <vt:lpwstr>Acrobat PDFMaker 18 für Word</vt:lpwstr>
  </property>
  <property fmtid="{D5CDD505-2E9C-101B-9397-08002B2CF9AE}" pid="4" name="LastSaved">
    <vt:filetime>2019-04-05T00:00:00Z</vt:filetime>
  </property>
</Properties>
</file>