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A4A4E" w14:textId="77777777" w:rsidR="003B4888" w:rsidRPr="003B4888" w:rsidRDefault="003B4888" w:rsidP="003B4888">
      <w:pPr>
        <w:jc w:val="both"/>
        <w:rPr>
          <w:rFonts w:cstheme="minorHAnsi"/>
          <w:b/>
          <w:sz w:val="28"/>
          <w:szCs w:val="28"/>
          <w:lang w:val="en-US"/>
        </w:rPr>
      </w:pPr>
      <w:r w:rsidRPr="003B4888">
        <w:rPr>
          <w:rFonts w:cstheme="minorHAnsi"/>
          <w:b/>
          <w:sz w:val="28"/>
          <w:szCs w:val="28"/>
          <w:lang w:val="en-US"/>
        </w:rPr>
        <w:t>Online Supplement</w:t>
      </w:r>
    </w:p>
    <w:p w14:paraId="5FC14AAE" w14:textId="77777777" w:rsidR="003B4888" w:rsidRPr="003B4888" w:rsidRDefault="003B4888" w:rsidP="003B4888">
      <w:pPr>
        <w:keepNext/>
        <w:numPr>
          <w:ilvl w:val="1"/>
          <w:numId w:val="0"/>
        </w:numPr>
        <w:tabs>
          <w:tab w:val="left" w:pos="680"/>
          <w:tab w:val="left" w:pos="720"/>
        </w:tabs>
        <w:suppressAutoHyphens/>
        <w:spacing w:after="120" w:line="360" w:lineRule="auto"/>
        <w:jc w:val="both"/>
        <w:outlineLvl w:val="1"/>
        <w:rPr>
          <w:rFonts w:cstheme="minorHAnsi"/>
          <w:i/>
          <w:lang w:val="en-US"/>
        </w:rPr>
      </w:pPr>
      <w:r w:rsidRPr="003B4888">
        <w:rPr>
          <w:rFonts w:cstheme="minorHAnsi"/>
          <w:i/>
          <w:lang w:val="en-US"/>
        </w:rPr>
        <w:t>Data acquisition</w:t>
      </w:r>
    </w:p>
    <w:p w14:paraId="155AE5D5" w14:textId="77777777" w:rsidR="003B4888" w:rsidRPr="003B4888" w:rsidRDefault="003B4888" w:rsidP="003B4888">
      <w:pPr>
        <w:keepNext/>
        <w:numPr>
          <w:ilvl w:val="1"/>
          <w:numId w:val="0"/>
        </w:numPr>
        <w:tabs>
          <w:tab w:val="left" w:pos="680"/>
          <w:tab w:val="left" w:pos="720"/>
        </w:tabs>
        <w:suppressAutoHyphens/>
        <w:spacing w:after="120" w:line="360" w:lineRule="auto"/>
        <w:jc w:val="both"/>
        <w:outlineLvl w:val="1"/>
        <w:rPr>
          <w:rFonts w:cstheme="minorHAnsi"/>
          <w:lang w:val="en-US"/>
        </w:rPr>
      </w:pPr>
      <w:r w:rsidRPr="003B4888">
        <w:rPr>
          <w:rFonts w:cstheme="minorHAnsi"/>
          <w:lang w:val="en-US"/>
        </w:rPr>
        <w:t>The following data were screened: laboratory parameters, case documentation by nurses and medical doctors including pre-operative and operative monitoring, previous and present doctor´s letters and other documents from previous hospital admissions or out-patient contacts, medical emergency protocols, the lists of medication upon admission and discharge. The following clinical data were extracted: age, sex, medical diagnoses, typical symptoms of hypercalcemia (mental obtundation, coma) or hypocalcemia (tetany, epileptic seizures). Unspecific symptoms of hyper- and hypocalcemia such as constipation, muscle weakness and fatigue were not assessed as a consequence of the high prevalence of these symptoms of different etiologies in geriatric patients. Co-morbidities with substantial influence on calcium homoeostasis and on bone metabolism were also assessed with a particular emphasis on malignant diseases with metastases, a history of thyroidectomy, Morbus Addison, Morbus Cushing, hypophyseal abnormalities, osteoporosis, and hepatic or renal failure, and recent or older bone fractures.</w:t>
      </w:r>
    </w:p>
    <w:p w14:paraId="5B2FD014" w14:textId="3C393656" w:rsidR="003B4888" w:rsidRPr="003B4888" w:rsidRDefault="003B4888" w:rsidP="003B4888">
      <w:pPr>
        <w:spacing w:line="360" w:lineRule="auto"/>
        <w:jc w:val="both"/>
        <w:rPr>
          <w:rFonts w:cstheme="minorHAnsi"/>
          <w:lang w:val="en-US"/>
        </w:rPr>
      </w:pPr>
      <w:r w:rsidRPr="003B4888">
        <w:rPr>
          <w:rFonts w:cstheme="minorHAnsi"/>
          <w:lang w:val="en-US"/>
        </w:rPr>
        <w:t xml:space="preserve">For the assessment of the adequacy of treatment, the following drugs with an influence on calcium homoeostasis and on bone metabolism were analyzed: thiazide diuretics, oral, intravenous and inhaled corticosteroids, </w:t>
      </w:r>
      <w:proofErr w:type="spellStart"/>
      <w:r w:rsidRPr="003B4888">
        <w:rPr>
          <w:rFonts w:cstheme="minorHAnsi"/>
          <w:lang w:val="en-US"/>
        </w:rPr>
        <w:t>calcimimetics</w:t>
      </w:r>
      <w:proofErr w:type="spellEnd"/>
      <w:r w:rsidRPr="003B4888">
        <w:rPr>
          <w:rFonts w:cstheme="minorHAnsi"/>
          <w:lang w:val="en-US"/>
        </w:rPr>
        <w:t xml:space="preserve"> (cinacalcet), calcium substitution, vitamin D substitution (including combinations of calcium and vitamin D), bisphosphonates, teriparatide, monoclonal IgG2-anti-RANKL</w:t>
      </w:r>
      <w:r w:rsidR="00CD149D">
        <w:rPr>
          <w:rFonts w:cstheme="minorHAnsi"/>
          <w:lang w:val="en-US"/>
        </w:rPr>
        <w:t xml:space="preserve"> </w:t>
      </w:r>
      <w:r w:rsidRPr="003B4888">
        <w:rPr>
          <w:rFonts w:cstheme="minorHAnsi"/>
          <w:lang w:val="en-US"/>
        </w:rPr>
        <w:t xml:space="preserve">antibodies (denosumab) and </w:t>
      </w:r>
      <w:hyperlink r:id="rId6" w:tooltip="Selektiver Estrogenrezeptormodulator" w:history="1">
        <w:r w:rsidRPr="003B4888">
          <w:rPr>
            <w:rFonts w:cstheme="minorHAnsi"/>
            <w:lang w:val="en-US"/>
          </w:rPr>
          <w:t>selective estrogen receptor modulator</w:t>
        </w:r>
      </w:hyperlink>
      <w:r w:rsidRPr="003B4888">
        <w:rPr>
          <w:rFonts w:cstheme="minorHAnsi"/>
          <w:lang w:val="en-US"/>
        </w:rPr>
        <w:t xml:space="preserve">s (e.g. raloxifene). </w:t>
      </w:r>
    </w:p>
    <w:p w14:paraId="544E75D7" w14:textId="77777777" w:rsidR="003B4888" w:rsidRPr="003B4888" w:rsidRDefault="003B4888" w:rsidP="003B4888">
      <w:pPr>
        <w:spacing w:line="360" w:lineRule="auto"/>
        <w:jc w:val="both"/>
        <w:rPr>
          <w:rFonts w:cstheme="minorHAnsi"/>
          <w:lang w:val="en-US"/>
        </w:rPr>
      </w:pPr>
    </w:p>
    <w:p w14:paraId="2050FF79" w14:textId="77777777" w:rsidR="003B4888" w:rsidRPr="003B4888" w:rsidRDefault="003B4888" w:rsidP="003B4888">
      <w:pPr>
        <w:keepNext/>
        <w:numPr>
          <w:ilvl w:val="1"/>
          <w:numId w:val="0"/>
        </w:numPr>
        <w:tabs>
          <w:tab w:val="left" w:pos="680"/>
          <w:tab w:val="left" w:pos="720"/>
        </w:tabs>
        <w:suppressAutoHyphens/>
        <w:spacing w:before="480" w:after="0" w:line="360" w:lineRule="auto"/>
        <w:ind w:left="720" w:hanging="720"/>
        <w:jc w:val="both"/>
        <w:outlineLvl w:val="1"/>
        <w:rPr>
          <w:rFonts w:eastAsia="Times New Roman" w:cs="Times New Roman"/>
          <w:i/>
          <w:kern w:val="2"/>
          <w:lang w:val="en-US" w:eastAsia="de-DE"/>
        </w:rPr>
      </w:pPr>
      <w:r w:rsidRPr="003B4888">
        <w:rPr>
          <w:rFonts w:eastAsia="Times New Roman" w:cs="Times New Roman"/>
          <w:i/>
          <w:kern w:val="2"/>
          <w:lang w:val="en-US" w:eastAsia="de-DE"/>
        </w:rPr>
        <w:t>Comparison of 3 different equations for the albumin-related correction of plasma calcium</w:t>
      </w:r>
    </w:p>
    <w:p w14:paraId="5E658518" w14:textId="77777777" w:rsidR="003B4888" w:rsidRPr="003B4888" w:rsidRDefault="003B4888" w:rsidP="003B4888">
      <w:pPr>
        <w:suppressAutoHyphens/>
        <w:spacing w:before="120" w:after="0" w:line="360" w:lineRule="auto"/>
        <w:jc w:val="both"/>
        <w:rPr>
          <w:rFonts w:eastAsia="Times New Roman" w:cs="Times New Roman"/>
          <w:lang w:val="en-US" w:eastAsia="de-DE"/>
        </w:rPr>
      </w:pPr>
      <w:bookmarkStart w:id="0" w:name="_Hlk210766266"/>
      <w:r w:rsidRPr="003B4888">
        <w:rPr>
          <w:rFonts w:eastAsia="Times New Roman" w:cs="Times New Roman"/>
          <w:lang w:val="en-US" w:eastAsia="de-DE"/>
        </w:rPr>
        <w:t xml:space="preserve">Bland-Altman analysis showed a moderate agreement of the corrected calcium </w:t>
      </w:r>
      <w:proofErr w:type="spellStart"/>
      <w:r w:rsidRPr="003B4888">
        <w:rPr>
          <w:rFonts w:eastAsia="Times New Roman" w:cs="Times New Roman"/>
          <w:lang w:val="en-US" w:eastAsia="de-DE"/>
        </w:rPr>
        <w:t>concentations</w:t>
      </w:r>
      <w:proofErr w:type="spellEnd"/>
      <w:r w:rsidRPr="003B4888">
        <w:rPr>
          <w:rFonts w:eastAsia="Times New Roman" w:cs="Times New Roman"/>
          <w:lang w:val="en-US" w:eastAsia="de-DE"/>
        </w:rPr>
        <w:t xml:space="preserve"> among the three equations (Figure 4). </w:t>
      </w:r>
      <w:bookmarkEnd w:id="0"/>
      <w:r w:rsidRPr="003B4888">
        <w:rPr>
          <w:rFonts w:eastAsia="Times New Roman" w:cs="Times New Roman"/>
          <w:lang w:val="en-US" w:eastAsia="de-DE"/>
        </w:rPr>
        <w:t>Among equation 1 and 2, the average deviation was -0.060mmol/l (95%-CI: [-0.058, -0.054]). Relatively high deviations (up to 0.18mmol/l were seen at calcium concentrations &lt;2.5mmol/l, whereas at higher calcium concentrations the agreement of the two methods was good. Among equations 1 and 3, Bland-Altman analysis revealed an average deviation of 0.070 mmol/l (95%-CI [0.065, 0.070]). Deviations up to 0.2mmol/l occurred over the whole spectrum of calcium concentrations. Comparing equations 2 and 3, the average deviation was greatest among the pairwise comparisons (0.12mmol/l; 95%-CI [0.120, 0.127]), and individual deviations up to 0.35mmol/l occurred.</w:t>
      </w:r>
    </w:p>
    <w:p w14:paraId="77AFD623" w14:textId="77777777" w:rsidR="003B4888" w:rsidRPr="003B4888" w:rsidRDefault="003B4888" w:rsidP="003B4888">
      <w:pPr>
        <w:suppressAutoHyphens/>
        <w:spacing w:before="120" w:after="0" w:line="360" w:lineRule="auto"/>
        <w:jc w:val="both"/>
        <w:rPr>
          <w:rFonts w:eastAsia="Times New Roman" w:cs="Times New Roman"/>
          <w:lang w:val="en-US" w:eastAsia="de-DE"/>
        </w:rPr>
      </w:pPr>
      <w:r w:rsidRPr="003B4888">
        <w:rPr>
          <w:rFonts w:eastAsia="Times New Roman" w:cs="Times New Roman"/>
          <w:lang w:val="en-US" w:eastAsia="de-DE"/>
        </w:rPr>
        <w:t>We investigated consistency of the classification of the corrected plasma calcium as „</w:t>
      </w:r>
      <w:proofErr w:type="gramStart"/>
      <w:r w:rsidRPr="003B4888">
        <w:rPr>
          <w:rFonts w:eastAsia="Times New Roman" w:cs="Times New Roman"/>
          <w:lang w:val="en-US" w:eastAsia="de-DE"/>
        </w:rPr>
        <w:t>decreased“</w:t>
      </w:r>
      <w:proofErr w:type="gramEnd"/>
      <w:r w:rsidRPr="003B4888">
        <w:rPr>
          <w:rFonts w:eastAsia="Times New Roman" w:cs="Times New Roman"/>
          <w:lang w:val="en-US" w:eastAsia="de-DE"/>
        </w:rPr>
        <w:t xml:space="preserve">, „normal“ or „elevated“ among the different formulas (Table 2). Comparison of equations 1 and 2 </w:t>
      </w:r>
      <w:r w:rsidRPr="003B4888">
        <w:rPr>
          <w:rFonts w:eastAsia="Times New Roman" w:cs="Times New Roman"/>
          <w:lang w:val="en-US" w:eastAsia="de-DE"/>
        </w:rPr>
        <w:lastRenderedPageBreak/>
        <w:t xml:space="preserve">showed an agreement of the classification in 1,352 of 1,543 cases (88 %). In 12 % (n = 191), the classification was incongruent. With respect to hypercalcemia, the agreement was complete (100%; n = 256). Concerning hypocalcemia, the agreement was 53%, and with respect to </w:t>
      </w:r>
      <w:proofErr w:type="spellStart"/>
      <w:r w:rsidRPr="003B4888">
        <w:rPr>
          <w:rFonts w:eastAsia="Times New Roman" w:cs="Times New Roman"/>
          <w:lang w:val="en-US" w:eastAsia="de-DE"/>
        </w:rPr>
        <w:t>normocalcemiea</w:t>
      </w:r>
      <w:proofErr w:type="spellEnd"/>
      <w:r w:rsidRPr="003B4888">
        <w:rPr>
          <w:rFonts w:eastAsia="Times New Roman" w:cs="Times New Roman"/>
          <w:lang w:val="en-US" w:eastAsia="de-DE"/>
        </w:rPr>
        <w:t xml:space="preserve"> 86%. </w:t>
      </w:r>
    </w:p>
    <w:p w14:paraId="2FB6F68D" w14:textId="77777777" w:rsidR="003B4888" w:rsidRPr="003B4888" w:rsidRDefault="003B4888" w:rsidP="003B4888">
      <w:pPr>
        <w:suppressAutoHyphens/>
        <w:spacing w:before="120" w:after="0" w:line="360" w:lineRule="auto"/>
        <w:jc w:val="both"/>
        <w:rPr>
          <w:rFonts w:eastAsia="Times New Roman" w:cs="Times New Roman"/>
          <w:lang w:val="en-US" w:eastAsia="de-DE"/>
        </w:rPr>
      </w:pPr>
      <w:r w:rsidRPr="003B4888">
        <w:rPr>
          <w:rFonts w:eastAsia="Times New Roman" w:cs="Times New Roman"/>
          <w:lang w:val="en-US" w:eastAsia="de-DE"/>
        </w:rPr>
        <w:t>Equation 1 and 3 classified the plasma calcium levels concordantly as „</w:t>
      </w:r>
      <w:proofErr w:type="gramStart"/>
      <w:r w:rsidRPr="003B4888">
        <w:rPr>
          <w:rFonts w:eastAsia="Times New Roman" w:cs="Times New Roman"/>
          <w:lang w:val="en-US" w:eastAsia="de-DE"/>
        </w:rPr>
        <w:t>decreased“</w:t>
      </w:r>
      <w:proofErr w:type="gramEnd"/>
      <w:r w:rsidRPr="003B4888">
        <w:rPr>
          <w:rFonts w:eastAsia="Times New Roman" w:cs="Times New Roman"/>
          <w:lang w:val="en-US" w:eastAsia="de-DE"/>
        </w:rPr>
        <w:t>, „</w:t>
      </w:r>
      <w:proofErr w:type="spellStart"/>
      <w:r w:rsidRPr="003B4888">
        <w:rPr>
          <w:rFonts w:eastAsia="Times New Roman" w:cs="Times New Roman"/>
          <w:lang w:val="en-US" w:eastAsia="de-DE"/>
        </w:rPr>
        <w:t>nomal</w:t>
      </w:r>
      <w:proofErr w:type="spellEnd"/>
      <w:r w:rsidRPr="003B4888">
        <w:rPr>
          <w:rFonts w:eastAsia="Times New Roman" w:cs="Times New Roman"/>
          <w:lang w:val="en-US" w:eastAsia="de-DE"/>
        </w:rPr>
        <w:t xml:space="preserve">“ or „elevated“ in 1,372 cases (89%).  In hypocalcemia, agreement was complete, whereas in hypercalcemia it was only 43%. In </w:t>
      </w:r>
      <w:proofErr w:type="spellStart"/>
      <w:r w:rsidRPr="003B4888">
        <w:rPr>
          <w:rFonts w:eastAsia="Times New Roman" w:cs="Times New Roman"/>
          <w:lang w:val="en-US" w:eastAsia="de-DE"/>
        </w:rPr>
        <w:t>normocalcemia</w:t>
      </w:r>
      <w:proofErr w:type="spellEnd"/>
      <w:r w:rsidRPr="003B4888">
        <w:rPr>
          <w:rFonts w:eastAsia="Times New Roman" w:cs="Times New Roman"/>
          <w:lang w:val="en-US" w:eastAsia="de-DE"/>
        </w:rPr>
        <w:t>, the classification was identical by both equations in 98%. Equation 1 appeared to be more sensitive for hypercalcemia than equation 3.</w:t>
      </w:r>
    </w:p>
    <w:p w14:paraId="191D4030" w14:textId="77777777" w:rsidR="007677A9" w:rsidRDefault="003B4888" w:rsidP="007677A9">
      <w:pPr>
        <w:suppressAutoHyphens/>
        <w:spacing w:before="120" w:after="0" w:line="360" w:lineRule="auto"/>
        <w:jc w:val="both"/>
        <w:rPr>
          <w:rFonts w:eastAsia="Times New Roman" w:cs="Times New Roman"/>
          <w:lang w:val="en-US" w:eastAsia="de-DE"/>
        </w:rPr>
      </w:pPr>
      <w:r w:rsidRPr="003B4888">
        <w:rPr>
          <w:rFonts w:eastAsia="Times New Roman" w:cs="Times New Roman"/>
          <w:lang w:val="en-US" w:eastAsia="de-DE"/>
        </w:rPr>
        <w:t xml:space="preserve">The comparison of equation 2 and 3 showed the lowest coincidence (n = 1181, 77%) The agreement concerning hypocalcemia was complete (100%), it was only 25% with respect to hypercalcemia and 97% concerning </w:t>
      </w:r>
      <w:proofErr w:type="spellStart"/>
      <w:r w:rsidRPr="003B4888">
        <w:rPr>
          <w:rFonts w:eastAsia="Times New Roman" w:cs="Times New Roman"/>
          <w:lang w:val="en-US" w:eastAsia="de-DE"/>
        </w:rPr>
        <w:t>normocalcemia</w:t>
      </w:r>
      <w:proofErr w:type="spellEnd"/>
      <w:r w:rsidRPr="003B4888">
        <w:rPr>
          <w:rFonts w:eastAsia="Times New Roman" w:cs="Times New Roman"/>
          <w:lang w:val="en-US" w:eastAsia="de-DE"/>
        </w:rPr>
        <w:t>. Equation 3 appeared to be the least sensitive correction method for the detection of hypercalcemia.</w:t>
      </w:r>
    </w:p>
    <w:p w14:paraId="1234376C" w14:textId="77777777" w:rsidR="007677A9" w:rsidRDefault="007677A9" w:rsidP="007677A9">
      <w:pPr>
        <w:suppressAutoHyphens/>
        <w:spacing w:before="120" w:after="0" w:line="360" w:lineRule="auto"/>
        <w:jc w:val="both"/>
        <w:rPr>
          <w:rFonts w:eastAsia="Times New Roman" w:cs="Times New Roman"/>
          <w:i/>
          <w:kern w:val="2"/>
          <w:lang w:val="en-US" w:eastAsia="de-DE"/>
        </w:rPr>
      </w:pPr>
    </w:p>
    <w:p w14:paraId="783EF6BC" w14:textId="77777777" w:rsidR="003B4888" w:rsidRPr="007677A9" w:rsidRDefault="003B4888" w:rsidP="007677A9">
      <w:pPr>
        <w:suppressAutoHyphens/>
        <w:spacing w:before="120" w:after="0" w:line="360" w:lineRule="auto"/>
        <w:jc w:val="both"/>
        <w:rPr>
          <w:rFonts w:eastAsia="Times New Roman" w:cs="Times New Roman"/>
          <w:lang w:val="en-US" w:eastAsia="de-DE"/>
        </w:rPr>
      </w:pPr>
      <w:r w:rsidRPr="003B4888">
        <w:rPr>
          <w:rFonts w:eastAsia="Times New Roman" w:cs="Times New Roman"/>
          <w:i/>
          <w:kern w:val="2"/>
          <w:lang w:val="en-US" w:eastAsia="de-DE"/>
        </w:rPr>
        <w:t>Differential diagnosis and treatment of hypercalcemia</w:t>
      </w:r>
    </w:p>
    <w:p w14:paraId="228C7599" w14:textId="0B96C19E" w:rsidR="003B4888" w:rsidRPr="003B4888" w:rsidRDefault="003B4888" w:rsidP="003B4888">
      <w:pPr>
        <w:keepNext/>
        <w:numPr>
          <w:ilvl w:val="1"/>
          <w:numId w:val="0"/>
        </w:numPr>
        <w:tabs>
          <w:tab w:val="left" w:pos="680"/>
          <w:tab w:val="left" w:pos="720"/>
        </w:tabs>
        <w:suppressAutoHyphens/>
        <w:spacing w:after="0" w:line="360" w:lineRule="auto"/>
        <w:jc w:val="both"/>
        <w:outlineLvl w:val="1"/>
        <w:rPr>
          <w:rFonts w:eastAsia="Times New Roman" w:cs="Times New Roman"/>
          <w:lang w:val="en-US" w:eastAsia="de-DE"/>
        </w:rPr>
      </w:pPr>
      <w:r w:rsidRPr="003B4888">
        <w:rPr>
          <w:rFonts w:eastAsia="Times New Roman" w:cs="Times New Roman"/>
          <w:lang w:val="en-US" w:eastAsia="de-DE"/>
        </w:rPr>
        <w:t>Without correction for plasma albumin, severe hypercalcemia with an immediate treatment necessity (plasma calcium &gt; 2.8 mmol/l) was present in 6 cases (0.4 %). Probable causes were primary hyperparathyro</w:t>
      </w:r>
      <w:r w:rsidR="00184FFE">
        <w:rPr>
          <w:rFonts w:eastAsia="Times New Roman" w:cs="Times New Roman"/>
          <w:lang w:val="en-US" w:eastAsia="de-DE"/>
        </w:rPr>
        <w:t>i</w:t>
      </w:r>
      <w:r w:rsidRPr="003B4888">
        <w:rPr>
          <w:rFonts w:eastAsia="Times New Roman" w:cs="Times New Roman"/>
          <w:lang w:val="en-US" w:eastAsia="de-DE"/>
        </w:rPr>
        <w:t>dism (n = 2) and probable tertiary hyperparathyroidism as a consequence of severe vitamin D deficiency (n = 2). In 2 cases, the cause remained unclear (possible</w:t>
      </w:r>
      <w:r w:rsidRPr="003B4888">
        <w:rPr>
          <w:lang w:val="en-US"/>
        </w:rPr>
        <w:t xml:space="preserve"> </w:t>
      </w:r>
      <w:r w:rsidRPr="003B4888">
        <w:rPr>
          <w:rFonts w:eastAsia="Times New Roman" w:cs="Times New Roman"/>
          <w:lang w:val="en-US" w:eastAsia="de-DE"/>
        </w:rPr>
        <w:t xml:space="preserve">immobilization-induced hypercalcemia) [24] (Table S1). </w:t>
      </w:r>
    </w:p>
    <w:p w14:paraId="01882642" w14:textId="663DA522" w:rsidR="003B4888" w:rsidRPr="003B4888" w:rsidRDefault="003B4888" w:rsidP="003B4888">
      <w:pPr>
        <w:keepNext/>
        <w:numPr>
          <w:ilvl w:val="1"/>
          <w:numId w:val="0"/>
        </w:numPr>
        <w:tabs>
          <w:tab w:val="left" w:pos="680"/>
          <w:tab w:val="left" w:pos="720"/>
        </w:tabs>
        <w:suppressAutoHyphens/>
        <w:spacing w:after="0" w:line="360" w:lineRule="auto"/>
        <w:jc w:val="both"/>
        <w:outlineLvl w:val="1"/>
        <w:rPr>
          <w:rFonts w:eastAsia="Times New Roman" w:cs="Times New Roman"/>
          <w:lang w:val="en-US" w:eastAsia="de-DE"/>
        </w:rPr>
      </w:pPr>
      <w:r w:rsidRPr="003B4888">
        <w:rPr>
          <w:rFonts w:eastAsia="Times New Roman" w:cs="Times New Roman"/>
          <w:lang w:val="en-US" w:eastAsia="de-DE"/>
        </w:rPr>
        <w:t>After correction for plasma albumin, hypercalcemia was noted in 256 cases. Diagnostic and therapeutic measures performed in these patients are listed in Tables S1 and S2. In 195 cases with hypercal</w:t>
      </w:r>
      <w:r w:rsidR="00184FFE">
        <w:rPr>
          <w:rFonts w:eastAsia="Times New Roman" w:cs="Times New Roman"/>
          <w:lang w:val="en-US" w:eastAsia="de-DE"/>
        </w:rPr>
        <w:t>c</w:t>
      </w:r>
      <w:r w:rsidRPr="003B4888">
        <w:rPr>
          <w:rFonts w:eastAsia="Times New Roman" w:cs="Times New Roman"/>
          <w:lang w:val="en-US" w:eastAsia="de-DE"/>
        </w:rPr>
        <w:t>emia after correction for plasma albumin</w:t>
      </w:r>
      <w:r w:rsidR="00CD149D">
        <w:rPr>
          <w:rFonts w:eastAsia="Times New Roman" w:cs="Times New Roman"/>
          <w:lang w:val="en-US" w:eastAsia="de-DE"/>
        </w:rPr>
        <w:t>,</w:t>
      </w:r>
      <w:r w:rsidRPr="003B4888">
        <w:rPr>
          <w:rFonts w:eastAsia="Times New Roman" w:cs="Times New Roman"/>
          <w:lang w:val="en-US" w:eastAsia="de-DE"/>
        </w:rPr>
        <w:t xml:space="preserve"> no differential diagnosis was initiated.</w:t>
      </w:r>
    </w:p>
    <w:p w14:paraId="5F3063E1" w14:textId="77777777" w:rsidR="003B4888" w:rsidRPr="003B4888" w:rsidRDefault="003B4888" w:rsidP="003B4888">
      <w:pPr>
        <w:keepNext/>
        <w:numPr>
          <w:ilvl w:val="1"/>
          <w:numId w:val="0"/>
        </w:numPr>
        <w:tabs>
          <w:tab w:val="left" w:pos="680"/>
          <w:tab w:val="left" w:pos="720"/>
        </w:tabs>
        <w:suppressAutoHyphens/>
        <w:spacing w:before="480" w:after="0" w:line="360" w:lineRule="auto"/>
        <w:ind w:left="720" w:hanging="720"/>
        <w:jc w:val="both"/>
        <w:outlineLvl w:val="1"/>
        <w:rPr>
          <w:rFonts w:eastAsia="Times New Roman" w:cs="Times New Roman"/>
          <w:i/>
          <w:kern w:val="2"/>
          <w:lang w:val="en-US" w:eastAsia="de-DE"/>
        </w:rPr>
      </w:pPr>
      <w:r w:rsidRPr="003B4888">
        <w:rPr>
          <w:rFonts w:eastAsia="Times New Roman" w:cs="Times New Roman"/>
          <w:i/>
          <w:kern w:val="2"/>
          <w:lang w:val="en-US" w:eastAsia="de-DE"/>
        </w:rPr>
        <w:t>Differential diagnosis and treatment of hypocalcemia</w:t>
      </w:r>
    </w:p>
    <w:p w14:paraId="5E748787" w14:textId="77777777" w:rsidR="003B4888" w:rsidRPr="003B4888" w:rsidRDefault="003B4888" w:rsidP="003B4888">
      <w:pPr>
        <w:suppressAutoHyphens/>
        <w:spacing w:before="120" w:after="0" w:line="360" w:lineRule="auto"/>
        <w:jc w:val="both"/>
        <w:rPr>
          <w:rFonts w:eastAsia="Times New Roman" w:cs="Times New Roman"/>
          <w:lang w:val="en-US" w:eastAsia="de-DE"/>
        </w:rPr>
      </w:pPr>
      <w:r w:rsidRPr="003B4888">
        <w:rPr>
          <w:rFonts w:eastAsia="Times New Roman" w:cs="Times New Roman"/>
          <w:lang w:val="en-US" w:eastAsia="de-DE"/>
        </w:rPr>
        <w:t>Patients with a decreased plasma calcium concentration (&lt;2.15 mmol/L) uncorrected for albumin (n = 421) usually were treated without prior or concomitant diagnostic assessment with vitamin D 800-1000IU/d. Calcium 500-1000mg/d was added in 89 cases. In these 89 patients, when the plasma calcium level was corrected for plasma albumin, 91% (n = 81) were</w:t>
      </w:r>
      <w:r w:rsidRPr="003B4888">
        <w:rPr>
          <w:rFonts w:eastAsia="Times New Roman" w:cs="Times New Roman"/>
          <w:b/>
          <w:bCs/>
          <w:lang w:val="en-US" w:eastAsia="de-DE"/>
        </w:rPr>
        <w:t xml:space="preserve"> </w:t>
      </w:r>
      <w:proofErr w:type="spellStart"/>
      <w:r w:rsidRPr="003B4888">
        <w:rPr>
          <w:rFonts w:eastAsia="Times New Roman" w:cs="Times New Roman"/>
          <w:lang w:val="en-US" w:eastAsia="de-DE"/>
        </w:rPr>
        <w:t>normocalcemic</w:t>
      </w:r>
      <w:proofErr w:type="spellEnd"/>
      <w:r w:rsidRPr="003B4888">
        <w:rPr>
          <w:rFonts w:eastAsia="Times New Roman" w:cs="Times New Roman"/>
          <w:lang w:val="en-US" w:eastAsia="de-DE"/>
        </w:rPr>
        <w:t>.</w:t>
      </w:r>
    </w:p>
    <w:p w14:paraId="378034B7" w14:textId="77777777" w:rsidR="003B4888" w:rsidRPr="003B4888" w:rsidRDefault="003B4888" w:rsidP="003B4888">
      <w:pPr>
        <w:suppressAutoHyphens/>
        <w:spacing w:before="120" w:after="0" w:line="360" w:lineRule="auto"/>
        <w:jc w:val="both"/>
        <w:rPr>
          <w:rFonts w:eastAsia="Times New Roman" w:cs="Times New Roman"/>
          <w:lang w:val="en-US" w:eastAsia="de-DE"/>
        </w:rPr>
      </w:pPr>
      <w:r w:rsidRPr="003B4888">
        <w:rPr>
          <w:rFonts w:eastAsia="Times New Roman" w:cs="Times New Roman"/>
          <w:lang w:val="en-US" w:eastAsia="de-DE"/>
        </w:rPr>
        <w:t>Of the 15 patients, in whom hypocalcemia persisted after correction for hypoalbuminemia, one died, 11 were treated with vitamin D, 5 received pharmacological calcium substitution (of these 3 received calcium plus vitamin D substitution), and 3 received no substitution for reasons not documented in the patients` records.</w:t>
      </w:r>
    </w:p>
    <w:p w14:paraId="4C730ED2" w14:textId="77777777" w:rsidR="003B4888" w:rsidRPr="003B4888" w:rsidRDefault="003B4888" w:rsidP="003B4888">
      <w:pPr>
        <w:jc w:val="both"/>
        <w:rPr>
          <w:rFonts w:cstheme="minorHAnsi"/>
          <w:lang w:val="en-US"/>
        </w:rPr>
      </w:pPr>
    </w:p>
    <w:p w14:paraId="1AD72B78" w14:textId="77777777" w:rsidR="007677A9" w:rsidRDefault="007677A9">
      <w:pPr>
        <w:rPr>
          <w:rFonts w:eastAsia="Times New Roman" w:cstheme="minorHAnsi"/>
          <w:b/>
          <w:bCs/>
          <w:lang w:val="en-US" w:eastAsia="de-DE"/>
        </w:rPr>
      </w:pPr>
    </w:p>
    <w:p w14:paraId="4BAB60F3" w14:textId="77777777" w:rsidR="003B4888" w:rsidRPr="003B4888" w:rsidRDefault="003B4888" w:rsidP="003B4888">
      <w:pPr>
        <w:jc w:val="both"/>
        <w:rPr>
          <w:rFonts w:eastAsia="Times New Roman" w:cstheme="minorHAnsi"/>
          <w:b/>
          <w:bCs/>
          <w:lang w:val="en-US" w:eastAsia="de-DE"/>
        </w:rPr>
      </w:pPr>
      <w:r w:rsidRPr="003B4888">
        <w:rPr>
          <w:rFonts w:eastAsia="Times New Roman" w:cstheme="minorHAnsi"/>
          <w:b/>
          <w:bCs/>
          <w:lang w:val="en-US" w:eastAsia="de-DE"/>
        </w:rPr>
        <w:lastRenderedPageBreak/>
        <w:t>Table S1: Differential diagnostic procedures in hypercalcemic patients (corrected and uncorrected plasma concentrations)</w:t>
      </w:r>
    </w:p>
    <w:tbl>
      <w:tblPr>
        <w:tblStyle w:val="Gitternetztabelle1hell1"/>
        <w:tblW w:w="0" w:type="auto"/>
        <w:tblLook w:val="04A0" w:firstRow="1" w:lastRow="0" w:firstColumn="1" w:lastColumn="0" w:noHBand="0" w:noVBand="1"/>
      </w:tblPr>
      <w:tblGrid>
        <w:gridCol w:w="2881"/>
        <w:gridCol w:w="2881"/>
        <w:gridCol w:w="2881"/>
      </w:tblGrid>
      <w:tr w:rsidR="003B4888" w:rsidRPr="003B4888" w14:paraId="552C4A61" w14:textId="77777777" w:rsidTr="008515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08B339A0" w14:textId="77777777" w:rsidR="003B4888" w:rsidRPr="003B4888" w:rsidRDefault="003B4888" w:rsidP="003B4888">
            <w:pPr>
              <w:spacing w:before="120" w:line="312" w:lineRule="auto"/>
              <w:jc w:val="both"/>
            </w:pPr>
            <w:proofErr w:type="spellStart"/>
            <w:r w:rsidRPr="003B4888">
              <w:t>Diagnostic</w:t>
            </w:r>
            <w:proofErr w:type="spellEnd"/>
            <w:r w:rsidRPr="003B4888">
              <w:t xml:space="preserve"> </w:t>
            </w:r>
            <w:proofErr w:type="spellStart"/>
            <w:r w:rsidRPr="003B4888">
              <w:t>procedures</w:t>
            </w:r>
            <w:proofErr w:type="spellEnd"/>
          </w:p>
        </w:tc>
        <w:tc>
          <w:tcPr>
            <w:tcW w:w="2881" w:type="dxa"/>
          </w:tcPr>
          <w:p w14:paraId="5EB65F74" w14:textId="77777777" w:rsidR="003B4888" w:rsidRPr="003B4888" w:rsidRDefault="003B4888" w:rsidP="003B4888">
            <w:pPr>
              <w:spacing w:before="120" w:line="312" w:lineRule="auto"/>
              <w:jc w:val="both"/>
              <w:cnfStyle w:val="100000000000" w:firstRow="1" w:lastRow="0" w:firstColumn="0" w:lastColumn="0" w:oddVBand="0" w:evenVBand="0" w:oddHBand="0" w:evenHBand="0" w:firstRowFirstColumn="0" w:firstRowLastColumn="0" w:lastRowFirstColumn="0" w:lastRowLastColumn="0"/>
            </w:pPr>
            <w:proofErr w:type="spellStart"/>
            <w:r w:rsidRPr="003B4888">
              <w:t>Number</w:t>
            </w:r>
            <w:proofErr w:type="spellEnd"/>
          </w:p>
        </w:tc>
        <w:tc>
          <w:tcPr>
            <w:tcW w:w="2881" w:type="dxa"/>
          </w:tcPr>
          <w:p w14:paraId="1578C50D" w14:textId="77777777" w:rsidR="003B4888" w:rsidRPr="003B4888" w:rsidRDefault="003B4888" w:rsidP="003B4888">
            <w:pPr>
              <w:spacing w:before="120" w:line="312" w:lineRule="auto"/>
              <w:jc w:val="both"/>
              <w:cnfStyle w:val="100000000000" w:firstRow="1" w:lastRow="0" w:firstColumn="0" w:lastColumn="0" w:oddVBand="0" w:evenVBand="0" w:oddHBand="0" w:evenHBand="0" w:firstRowFirstColumn="0" w:firstRowLastColumn="0" w:lastRowFirstColumn="0" w:lastRowLastColumn="0"/>
            </w:pPr>
            <w:r w:rsidRPr="003B4888">
              <w:t xml:space="preserve">Relative </w:t>
            </w:r>
            <w:proofErr w:type="spellStart"/>
            <w:r w:rsidRPr="003B4888">
              <w:t>frequency</w:t>
            </w:r>
            <w:proofErr w:type="spellEnd"/>
            <w:r w:rsidRPr="003B4888">
              <w:t xml:space="preserve"> (%)</w:t>
            </w:r>
          </w:p>
        </w:tc>
      </w:tr>
      <w:tr w:rsidR="003B4888" w:rsidRPr="003B4888" w14:paraId="5C5A42CC" w14:textId="77777777" w:rsidTr="0085157F">
        <w:tc>
          <w:tcPr>
            <w:cnfStyle w:val="001000000000" w:firstRow="0" w:lastRow="0" w:firstColumn="1" w:lastColumn="0" w:oddVBand="0" w:evenVBand="0" w:oddHBand="0" w:evenHBand="0" w:firstRowFirstColumn="0" w:firstRowLastColumn="0" w:lastRowFirstColumn="0" w:lastRowLastColumn="0"/>
            <w:tcW w:w="2881" w:type="dxa"/>
          </w:tcPr>
          <w:p w14:paraId="1F2E5018" w14:textId="77777777" w:rsidR="003B4888" w:rsidRPr="003B4888" w:rsidRDefault="003B4888" w:rsidP="003B4888">
            <w:pPr>
              <w:spacing w:before="120" w:line="312" w:lineRule="auto"/>
              <w:jc w:val="both"/>
            </w:pPr>
            <w:proofErr w:type="spellStart"/>
            <w:r w:rsidRPr="003B4888">
              <w:t>Parathyroid</w:t>
            </w:r>
            <w:proofErr w:type="spellEnd"/>
            <w:r w:rsidRPr="003B4888">
              <w:t xml:space="preserve"> </w:t>
            </w:r>
            <w:proofErr w:type="spellStart"/>
            <w:r w:rsidRPr="003B4888">
              <w:t>hormone</w:t>
            </w:r>
            <w:proofErr w:type="spellEnd"/>
            <w:r w:rsidRPr="003B4888">
              <w:t xml:space="preserve"> </w:t>
            </w:r>
            <w:proofErr w:type="spellStart"/>
            <w:r w:rsidRPr="003B4888">
              <w:t>measured</w:t>
            </w:r>
            <w:proofErr w:type="spellEnd"/>
          </w:p>
        </w:tc>
        <w:tc>
          <w:tcPr>
            <w:tcW w:w="2881" w:type="dxa"/>
          </w:tcPr>
          <w:p w14:paraId="4EC36EED"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19</w:t>
            </w:r>
          </w:p>
        </w:tc>
        <w:tc>
          <w:tcPr>
            <w:tcW w:w="2881" w:type="dxa"/>
          </w:tcPr>
          <w:p w14:paraId="3A835B81"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7%</w:t>
            </w:r>
          </w:p>
        </w:tc>
      </w:tr>
      <w:tr w:rsidR="003B4888" w:rsidRPr="003B4888" w14:paraId="080D4FBF" w14:textId="77777777" w:rsidTr="0085157F">
        <w:tc>
          <w:tcPr>
            <w:cnfStyle w:val="001000000000" w:firstRow="0" w:lastRow="0" w:firstColumn="1" w:lastColumn="0" w:oddVBand="0" w:evenVBand="0" w:oddHBand="0" w:evenHBand="0" w:firstRowFirstColumn="0" w:firstRowLastColumn="0" w:lastRowFirstColumn="0" w:lastRowLastColumn="0"/>
            <w:tcW w:w="2881" w:type="dxa"/>
          </w:tcPr>
          <w:p w14:paraId="0DC16B46" w14:textId="77777777" w:rsidR="003B4888" w:rsidRPr="003B4888" w:rsidRDefault="003B4888" w:rsidP="003B4888">
            <w:pPr>
              <w:spacing w:before="120" w:line="312" w:lineRule="auto"/>
              <w:jc w:val="both"/>
            </w:pPr>
            <w:r w:rsidRPr="003B4888">
              <w:t xml:space="preserve">Vitamin D </w:t>
            </w:r>
            <w:proofErr w:type="spellStart"/>
            <w:r w:rsidRPr="003B4888">
              <w:t>measured</w:t>
            </w:r>
            <w:proofErr w:type="spellEnd"/>
          </w:p>
        </w:tc>
        <w:tc>
          <w:tcPr>
            <w:tcW w:w="2881" w:type="dxa"/>
          </w:tcPr>
          <w:p w14:paraId="503D03C4"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20</w:t>
            </w:r>
          </w:p>
        </w:tc>
        <w:tc>
          <w:tcPr>
            <w:tcW w:w="2881" w:type="dxa"/>
          </w:tcPr>
          <w:p w14:paraId="4FC65DE7"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8%</w:t>
            </w:r>
          </w:p>
        </w:tc>
      </w:tr>
      <w:tr w:rsidR="003B4888" w:rsidRPr="003B4888" w14:paraId="5F1C93E2" w14:textId="77777777" w:rsidTr="0085157F">
        <w:tc>
          <w:tcPr>
            <w:cnfStyle w:val="001000000000" w:firstRow="0" w:lastRow="0" w:firstColumn="1" w:lastColumn="0" w:oddVBand="0" w:evenVBand="0" w:oddHBand="0" w:evenHBand="0" w:firstRowFirstColumn="0" w:firstRowLastColumn="0" w:lastRowFirstColumn="0" w:lastRowLastColumn="0"/>
            <w:tcW w:w="2881" w:type="dxa"/>
          </w:tcPr>
          <w:p w14:paraId="01B90A4A" w14:textId="77777777" w:rsidR="003B4888" w:rsidRPr="003B4888" w:rsidRDefault="003B4888" w:rsidP="003B4888">
            <w:pPr>
              <w:spacing w:before="120" w:line="312" w:lineRule="auto"/>
              <w:jc w:val="both"/>
            </w:pPr>
            <w:r w:rsidRPr="003B4888">
              <w:t xml:space="preserve">Phosphate </w:t>
            </w:r>
            <w:proofErr w:type="spellStart"/>
            <w:r w:rsidRPr="003B4888">
              <w:t>measured</w:t>
            </w:r>
            <w:proofErr w:type="spellEnd"/>
          </w:p>
        </w:tc>
        <w:tc>
          <w:tcPr>
            <w:tcW w:w="2881" w:type="dxa"/>
          </w:tcPr>
          <w:p w14:paraId="32CC5954"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16</w:t>
            </w:r>
          </w:p>
        </w:tc>
        <w:tc>
          <w:tcPr>
            <w:tcW w:w="2881" w:type="dxa"/>
          </w:tcPr>
          <w:p w14:paraId="648BB7F1"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6%</w:t>
            </w:r>
          </w:p>
        </w:tc>
      </w:tr>
      <w:tr w:rsidR="003B4888" w:rsidRPr="003B4888" w14:paraId="29EBFC48" w14:textId="77777777" w:rsidTr="0085157F">
        <w:tc>
          <w:tcPr>
            <w:cnfStyle w:val="001000000000" w:firstRow="0" w:lastRow="0" w:firstColumn="1" w:lastColumn="0" w:oddVBand="0" w:evenVBand="0" w:oddHBand="0" w:evenHBand="0" w:firstRowFirstColumn="0" w:firstRowLastColumn="0" w:lastRowFirstColumn="0" w:lastRowLastColumn="0"/>
            <w:tcW w:w="2881" w:type="dxa"/>
          </w:tcPr>
          <w:p w14:paraId="66621E30" w14:textId="77777777" w:rsidR="003B4888" w:rsidRPr="003B4888" w:rsidRDefault="003B4888" w:rsidP="003B4888">
            <w:pPr>
              <w:spacing w:before="120" w:line="312" w:lineRule="auto"/>
              <w:jc w:val="both"/>
              <w:rPr>
                <w:lang w:val="en-US"/>
              </w:rPr>
            </w:pPr>
            <w:r w:rsidRPr="003B4888">
              <w:rPr>
                <w:lang w:val="en-US"/>
              </w:rPr>
              <w:t>Ultrasonography of the parathyroid gland performed/ recommended</w:t>
            </w:r>
          </w:p>
        </w:tc>
        <w:tc>
          <w:tcPr>
            <w:tcW w:w="2881" w:type="dxa"/>
          </w:tcPr>
          <w:p w14:paraId="5D2D1684"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6</w:t>
            </w:r>
          </w:p>
        </w:tc>
        <w:tc>
          <w:tcPr>
            <w:tcW w:w="2881" w:type="dxa"/>
          </w:tcPr>
          <w:p w14:paraId="25C5A231"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2%</w:t>
            </w:r>
          </w:p>
        </w:tc>
      </w:tr>
      <w:tr w:rsidR="003B4888" w:rsidRPr="003B4888" w14:paraId="2A6C54F2" w14:textId="77777777" w:rsidTr="0085157F">
        <w:tc>
          <w:tcPr>
            <w:cnfStyle w:val="001000000000" w:firstRow="0" w:lastRow="0" w:firstColumn="1" w:lastColumn="0" w:oddVBand="0" w:evenVBand="0" w:oddHBand="0" w:evenHBand="0" w:firstRowFirstColumn="0" w:firstRowLastColumn="0" w:lastRowFirstColumn="0" w:lastRowLastColumn="0"/>
            <w:tcW w:w="2881" w:type="dxa"/>
          </w:tcPr>
          <w:p w14:paraId="5D3A1EC3" w14:textId="77777777" w:rsidR="003B4888" w:rsidRPr="003B4888" w:rsidRDefault="003B4888" w:rsidP="003B4888">
            <w:pPr>
              <w:spacing w:before="120" w:line="312" w:lineRule="auto"/>
              <w:jc w:val="both"/>
              <w:rPr>
                <w:lang w:val="en-US"/>
              </w:rPr>
            </w:pPr>
            <w:r w:rsidRPr="003B4888">
              <w:rPr>
                <w:lang w:val="en-US"/>
              </w:rPr>
              <w:t>Search for primary tumors/ metastases performed/ recommended</w:t>
            </w:r>
          </w:p>
        </w:tc>
        <w:tc>
          <w:tcPr>
            <w:tcW w:w="2881" w:type="dxa"/>
          </w:tcPr>
          <w:p w14:paraId="19BAF90E"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19</w:t>
            </w:r>
          </w:p>
        </w:tc>
        <w:tc>
          <w:tcPr>
            <w:tcW w:w="2881" w:type="dxa"/>
          </w:tcPr>
          <w:p w14:paraId="34F15C3D"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7%</w:t>
            </w:r>
          </w:p>
        </w:tc>
      </w:tr>
      <w:tr w:rsidR="003B4888" w:rsidRPr="003B4888" w14:paraId="5AF07202" w14:textId="77777777" w:rsidTr="0085157F">
        <w:tc>
          <w:tcPr>
            <w:cnfStyle w:val="001000000000" w:firstRow="0" w:lastRow="0" w:firstColumn="1" w:lastColumn="0" w:oddVBand="0" w:evenVBand="0" w:oddHBand="0" w:evenHBand="0" w:firstRowFirstColumn="0" w:firstRowLastColumn="0" w:lastRowFirstColumn="0" w:lastRowLastColumn="0"/>
            <w:tcW w:w="2881" w:type="dxa"/>
          </w:tcPr>
          <w:p w14:paraId="19039804" w14:textId="77777777" w:rsidR="003B4888" w:rsidRPr="003B4888" w:rsidRDefault="003B4888" w:rsidP="003B4888">
            <w:pPr>
              <w:spacing w:before="120" w:line="312" w:lineRule="auto"/>
              <w:jc w:val="both"/>
              <w:rPr>
                <w:lang w:val="en-US"/>
              </w:rPr>
            </w:pPr>
            <w:r w:rsidRPr="003B4888">
              <w:rPr>
                <w:lang w:val="en-US"/>
              </w:rPr>
              <w:t>Causes of hypoalbuminemia assessed/ assessment recommended</w:t>
            </w:r>
          </w:p>
        </w:tc>
        <w:tc>
          <w:tcPr>
            <w:tcW w:w="2881" w:type="dxa"/>
          </w:tcPr>
          <w:p w14:paraId="39EB8B99"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7</w:t>
            </w:r>
          </w:p>
        </w:tc>
        <w:tc>
          <w:tcPr>
            <w:tcW w:w="2881" w:type="dxa"/>
          </w:tcPr>
          <w:p w14:paraId="1C5744A0"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4%</w:t>
            </w:r>
          </w:p>
        </w:tc>
      </w:tr>
      <w:tr w:rsidR="003B4888" w:rsidRPr="003B4888" w14:paraId="31B1313C" w14:textId="77777777" w:rsidTr="0085157F">
        <w:tc>
          <w:tcPr>
            <w:cnfStyle w:val="001000000000" w:firstRow="0" w:lastRow="0" w:firstColumn="1" w:lastColumn="0" w:oddVBand="0" w:evenVBand="0" w:oddHBand="0" w:evenHBand="0" w:firstRowFirstColumn="0" w:firstRowLastColumn="0" w:lastRowFirstColumn="0" w:lastRowLastColumn="0"/>
            <w:tcW w:w="2881" w:type="dxa"/>
          </w:tcPr>
          <w:p w14:paraId="5552A64B" w14:textId="77777777" w:rsidR="003B4888" w:rsidRPr="003B4888" w:rsidRDefault="003B4888" w:rsidP="003B4888">
            <w:pPr>
              <w:spacing w:before="120" w:line="312" w:lineRule="auto"/>
              <w:jc w:val="both"/>
              <w:rPr>
                <w:lang w:val="en-US"/>
              </w:rPr>
            </w:pPr>
            <w:r w:rsidRPr="003B4888">
              <w:rPr>
                <w:lang w:val="en-US"/>
              </w:rPr>
              <w:t>No diagnostic workup performed or recommended</w:t>
            </w:r>
          </w:p>
        </w:tc>
        <w:tc>
          <w:tcPr>
            <w:tcW w:w="2881" w:type="dxa"/>
          </w:tcPr>
          <w:p w14:paraId="5EC276D7"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195</w:t>
            </w:r>
          </w:p>
        </w:tc>
        <w:tc>
          <w:tcPr>
            <w:tcW w:w="2881" w:type="dxa"/>
          </w:tcPr>
          <w:p w14:paraId="65561003"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76%</w:t>
            </w:r>
          </w:p>
        </w:tc>
      </w:tr>
      <w:tr w:rsidR="003B4888" w:rsidRPr="003B4888" w14:paraId="5D94AC00" w14:textId="77777777" w:rsidTr="0085157F">
        <w:tc>
          <w:tcPr>
            <w:cnfStyle w:val="001000000000" w:firstRow="0" w:lastRow="0" w:firstColumn="1" w:lastColumn="0" w:oddVBand="0" w:evenVBand="0" w:oddHBand="0" w:evenHBand="0" w:firstRowFirstColumn="0" w:firstRowLastColumn="0" w:lastRowFirstColumn="0" w:lastRowLastColumn="0"/>
            <w:tcW w:w="2881" w:type="dxa"/>
          </w:tcPr>
          <w:p w14:paraId="75BAA515" w14:textId="77777777" w:rsidR="003B4888" w:rsidRPr="003B4888" w:rsidRDefault="003B4888" w:rsidP="003B4888">
            <w:pPr>
              <w:spacing w:before="120" w:line="312" w:lineRule="auto"/>
              <w:jc w:val="both"/>
            </w:pPr>
            <w:proofErr w:type="spellStart"/>
            <w:r w:rsidRPr="003B4888">
              <w:t>Deceased</w:t>
            </w:r>
            <w:proofErr w:type="spellEnd"/>
            <w:r w:rsidRPr="003B4888">
              <w:t xml:space="preserve">/ </w:t>
            </w:r>
            <w:proofErr w:type="spellStart"/>
            <w:r w:rsidRPr="003B4888">
              <w:t>Diagnostic</w:t>
            </w:r>
            <w:proofErr w:type="spellEnd"/>
            <w:r w:rsidRPr="003B4888">
              <w:t xml:space="preserve"> </w:t>
            </w:r>
            <w:proofErr w:type="spellStart"/>
            <w:r w:rsidRPr="003B4888">
              <w:t>measures</w:t>
            </w:r>
            <w:proofErr w:type="spellEnd"/>
            <w:r w:rsidRPr="003B4888">
              <w:t xml:space="preserve"> </w:t>
            </w:r>
            <w:proofErr w:type="spellStart"/>
            <w:r w:rsidRPr="003B4888">
              <w:t>refused</w:t>
            </w:r>
            <w:proofErr w:type="spellEnd"/>
          </w:p>
        </w:tc>
        <w:tc>
          <w:tcPr>
            <w:tcW w:w="2881" w:type="dxa"/>
          </w:tcPr>
          <w:p w14:paraId="145C121D"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18</w:t>
            </w:r>
          </w:p>
        </w:tc>
        <w:tc>
          <w:tcPr>
            <w:tcW w:w="2881" w:type="dxa"/>
          </w:tcPr>
          <w:p w14:paraId="2B2FA333"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7%</w:t>
            </w:r>
          </w:p>
        </w:tc>
      </w:tr>
      <w:tr w:rsidR="003B4888" w:rsidRPr="003B4888" w14:paraId="49EC0951" w14:textId="77777777" w:rsidTr="0085157F">
        <w:tc>
          <w:tcPr>
            <w:cnfStyle w:val="001000000000" w:firstRow="0" w:lastRow="0" w:firstColumn="1" w:lastColumn="0" w:oddVBand="0" w:evenVBand="0" w:oddHBand="0" w:evenHBand="0" w:firstRowFirstColumn="0" w:firstRowLastColumn="0" w:lastRowFirstColumn="0" w:lastRowLastColumn="0"/>
            <w:tcW w:w="2881" w:type="dxa"/>
          </w:tcPr>
          <w:p w14:paraId="2B9758FD" w14:textId="77777777" w:rsidR="003B4888" w:rsidRPr="003B4888" w:rsidRDefault="003B4888" w:rsidP="003B4888">
            <w:pPr>
              <w:spacing w:before="120" w:line="312" w:lineRule="auto"/>
              <w:jc w:val="both"/>
              <w:rPr>
                <w:lang w:val="en-US"/>
              </w:rPr>
            </w:pPr>
            <w:r w:rsidRPr="003B4888">
              <w:rPr>
                <w:lang w:val="en-US"/>
              </w:rPr>
              <w:t>Not enough data in the files</w:t>
            </w:r>
          </w:p>
        </w:tc>
        <w:tc>
          <w:tcPr>
            <w:tcW w:w="2881" w:type="dxa"/>
          </w:tcPr>
          <w:p w14:paraId="683DA558"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2</w:t>
            </w:r>
          </w:p>
        </w:tc>
        <w:tc>
          <w:tcPr>
            <w:tcW w:w="2881" w:type="dxa"/>
          </w:tcPr>
          <w:p w14:paraId="1FFD0D18"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1%</w:t>
            </w:r>
          </w:p>
        </w:tc>
      </w:tr>
    </w:tbl>
    <w:p w14:paraId="7F2E39B8" w14:textId="77777777" w:rsidR="003B4888" w:rsidRPr="003B4888" w:rsidRDefault="003B4888" w:rsidP="003B4888">
      <w:pPr>
        <w:suppressAutoHyphens/>
        <w:spacing w:before="120" w:after="0" w:line="312" w:lineRule="auto"/>
        <w:jc w:val="both"/>
        <w:rPr>
          <w:rFonts w:eastAsia="Times New Roman" w:cs="Times New Roman"/>
          <w:lang w:eastAsia="de-DE"/>
        </w:rPr>
      </w:pPr>
    </w:p>
    <w:p w14:paraId="2B694B1F" w14:textId="77777777" w:rsidR="003B4888" w:rsidRPr="003B4888" w:rsidRDefault="003B4888" w:rsidP="003B4888">
      <w:pPr>
        <w:suppressAutoHyphens/>
        <w:spacing w:before="120" w:after="0" w:line="360" w:lineRule="auto"/>
        <w:jc w:val="both"/>
        <w:rPr>
          <w:rFonts w:cstheme="minorHAnsi"/>
        </w:rPr>
      </w:pPr>
    </w:p>
    <w:p w14:paraId="0173A0BC" w14:textId="77777777" w:rsidR="003B4888" w:rsidRPr="003B4888" w:rsidRDefault="003B4888" w:rsidP="003B4888">
      <w:pPr>
        <w:suppressAutoHyphens/>
        <w:spacing w:before="120" w:after="0" w:line="360" w:lineRule="auto"/>
        <w:jc w:val="both"/>
        <w:rPr>
          <w:rFonts w:cstheme="minorHAnsi"/>
        </w:rPr>
      </w:pPr>
    </w:p>
    <w:p w14:paraId="4BE9EFD0" w14:textId="77777777" w:rsidR="003B4888" w:rsidRPr="003B4888" w:rsidRDefault="003B4888" w:rsidP="003B4888">
      <w:pPr>
        <w:suppressAutoHyphens/>
        <w:spacing w:before="120" w:after="0" w:line="360" w:lineRule="auto"/>
        <w:jc w:val="both"/>
        <w:rPr>
          <w:rFonts w:cstheme="minorHAnsi"/>
        </w:rPr>
      </w:pPr>
    </w:p>
    <w:p w14:paraId="68A1DC26" w14:textId="77777777" w:rsidR="003B4888" w:rsidRPr="003B4888" w:rsidRDefault="003B4888" w:rsidP="003B4888">
      <w:pPr>
        <w:keepNext/>
        <w:suppressAutoHyphens/>
        <w:spacing w:before="120" w:after="360" w:line="312" w:lineRule="auto"/>
        <w:jc w:val="both"/>
        <w:rPr>
          <w:rFonts w:eastAsia="Times New Roman" w:cstheme="minorHAnsi"/>
          <w:b/>
          <w:bCs/>
          <w:lang w:val="en-US" w:eastAsia="de-DE"/>
        </w:rPr>
      </w:pPr>
      <w:r w:rsidRPr="003B4888">
        <w:rPr>
          <w:rFonts w:eastAsia="Times New Roman" w:cstheme="minorHAnsi"/>
          <w:b/>
          <w:bCs/>
          <w:lang w:val="en-US" w:eastAsia="de-DE"/>
        </w:rPr>
        <w:t>Table S2: Therapeutic measures to treat hypercalcemia (</w:t>
      </w:r>
      <w:proofErr w:type="spellStart"/>
      <w:r w:rsidRPr="003B4888">
        <w:rPr>
          <w:rFonts w:eastAsia="Times New Roman" w:cstheme="minorHAnsi"/>
          <w:b/>
          <w:bCs/>
          <w:lang w:val="en-US" w:eastAsia="de-DE"/>
        </w:rPr>
        <w:t>corrcted</w:t>
      </w:r>
      <w:proofErr w:type="spellEnd"/>
      <w:r w:rsidRPr="003B4888">
        <w:rPr>
          <w:rFonts w:eastAsia="Times New Roman" w:cstheme="minorHAnsi"/>
          <w:b/>
          <w:bCs/>
          <w:lang w:val="en-US" w:eastAsia="de-DE"/>
        </w:rPr>
        <w:t xml:space="preserve"> and uncorrected hypercalcemia)</w:t>
      </w:r>
    </w:p>
    <w:tbl>
      <w:tblPr>
        <w:tblStyle w:val="Gitternetztabelle1hell1"/>
        <w:tblW w:w="0" w:type="auto"/>
        <w:tblLook w:val="04A0" w:firstRow="1" w:lastRow="0" w:firstColumn="1" w:lastColumn="0" w:noHBand="0" w:noVBand="1"/>
      </w:tblPr>
      <w:tblGrid>
        <w:gridCol w:w="3510"/>
        <w:gridCol w:w="2362"/>
        <w:gridCol w:w="2847"/>
      </w:tblGrid>
      <w:tr w:rsidR="003B4888" w:rsidRPr="003B4888" w14:paraId="56ED6B56" w14:textId="77777777" w:rsidTr="008515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24877E17" w14:textId="77777777" w:rsidR="003B4888" w:rsidRPr="003B4888" w:rsidRDefault="003B4888" w:rsidP="003B4888">
            <w:pPr>
              <w:spacing w:before="120" w:line="312" w:lineRule="auto"/>
              <w:jc w:val="both"/>
            </w:pPr>
            <w:r w:rsidRPr="003B4888">
              <w:t xml:space="preserve">Therapy </w:t>
            </w:r>
            <w:proofErr w:type="spellStart"/>
            <w:r w:rsidRPr="003B4888">
              <w:t>initiated</w:t>
            </w:r>
            <w:proofErr w:type="spellEnd"/>
            <w:r w:rsidRPr="003B4888">
              <w:t xml:space="preserve"> </w:t>
            </w:r>
            <w:proofErr w:type="spellStart"/>
            <w:r w:rsidRPr="003B4888">
              <w:t>or</w:t>
            </w:r>
            <w:proofErr w:type="spellEnd"/>
            <w:r w:rsidRPr="003B4888">
              <w:t xml:space="preserve"> </w:t>
            </w:r>
            <w:proofErr w:type="spellStart"/>
            <w:r w:rsidRPr="003B4888">
              <w:t>recommended</w:t>
            </w:r>
            <w:proofErr w:type="spellEnd"/>
          </w:p>
        </w:tc>
        <w:tc>
          <w:tcPr>
            <w:tcW w:w="2362" w:type="dxa"/>
          </w:tcPr>
          <w:p w14:paraId="7CFCFB7D" w14:textId="77777777" w:rsidR="003B4888" w:rsidRPr="003B4888" w:rsidRDefault="003B4888" w:rsidP="003B4888">
            <w:pPr>
              <w:spacing w:before="120" w:line="312" w:lineRule="auto"/>
              <w:jc w:val="both"/>
              <w:cnfStyle w:val="100000000000" w:firstRow="1" w:lastRow="0" w:firstColumn="0" w:lastColumn="0" w:oddVBand="0" w:evenVBand="0" w:oddHBand="0" w:evenHBand="0" w:firstRowFirstColumn="0" w:firstRowLastColumn="0" w:lastRowFirstColumn="0" w:lastRowLastColumn="0"/>
            </w:pPr>
            <w:proofErr w:type="spellStart"/>
            <w:r w:rsidRPr="003B4888">
              <w:t>Number</w:t>
            </w:r>
            <w:proofErr w:type="spellEnd"/>
          </w:p>
        </w:tc>
        <w:tc>
          <w:tcPr>
            <w:tcW w:w="2847" w:type="dxa"/>
          </w:tcPr>
          <w:p w14:paraId="1048E106" w14:textId="77777777" w:rsidR="003B4888" w:rsidRPr="003B4888" w:rsidRDefault="003B4888" w:rsidP="003B4888">
            <w:pPr>
              <w:spacing w:before="120" w:line="312" w:lineRule="auto"/>
              <w:jc w:val="both"/>
              <w:cnfStyle w:val="100000000000" w:firstRow="1" w:lastRow="0" w:firstColumn="0" w:lastColumn="0" w:oddVBand="0" w:evenVBand="0" w:oddHBand="0" w:evenHBand="0" w:firstRowFirstColumn="0" w:firstRowLastColumn="0" w:lastRowFirstColumn="0" w:lastRowLastColumn="0"/>
            </w:pPr>
            <w:r w:rsidRPr="003B4888">
              <w:t xml:space="preserve">Relative </w:t>
            </w:r>
            <w:proofErr w:type="spellStart"/>
            <w:r w:rsidRPr="003B4888">
              <w:t>frequency</w:t>
            </w:r>
            <w:proofErr w:type="spellEnd"/>
            <w:r w:rsidRPr="003B4888">
              <w:t xml:space="preserve"> (%)</w:t>
            </w:r>
          </w:p>
        </w:tc>
      </w:tr>
      <w:tr w:rsidR="003B4888" w:rsidRPr="003B4888" w14:paraId="2460B792" w14:textId="77777777" w:rsidTr="0085157F">
        <w:tc>
          <w:tcPr>
            <w:cnfStyle w:val="001000000000" w:firstRow="0" w:lastRow="0" w:firstColumn="1" w:lastColumn="0" w:oddVBand="0" w:evenVBand="0" w:oddHBand="0" w:evenHBand="0" w:firstRowFirstColumn="0" w:firstRowLastColumn="0" w:lastRowFirstColumn="0" w:lastRowLastColumn="0"/>
            <w:tcW w:w="3510" w:type="dxa"/>
          </w:tcPr>
          <w:p w14:paraId="6D3B9902" w14:textId="77777777" w:rsidR="003B4888" w:rsidRPr="003B4888" w:rsidRDefault="003B4888" w:rsidP="003B4888">
            <w:pPr>
              <w:spacing w:before="120" w:line="312" w:lineRule="auto"/>
              <w:jc w:val="both"/>
            </w:pPr>
            <w:r w:rsidRPr="003B4888">
              <w:t xml:space="preserve">Thiazide </w:t>
            </w:r>
            <w:proofErr w:type="spellStart"/>
            <w:r w:rsidRPr="003B4888">
              <w:t>treatment</w:t>
            </w:r>
            <w:proofErr w:type="spellEnd"/>
            <w:r w:rsidRPr="003B4888">
              <w:t xml:space="preserve"> </w:t>
            </w:r>
            <w:proofErr w:type="spellStart"/>
            <w:r w:rsidRPr="003B4888">
              <w:t>terminated</w:t>
            </w:r>
            <w:proofErr w:type="spellEnd"/>
          </w:p>
        </w:tc>
        <w:tc>
          <w:tcPr>
            <w:tcW w:w="2362" w:type="dxa"/>
          </w:tcPr>
          <w:p w14:paraId="2269C89B"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19</w:t>
            </w:r>
          </w:p>
        </w:tc>
        <w:tc>
          <w:tcPr>
            <w:tcW w:w="2847" w:type="dxa"/>
          </w:tcPr>
          <w:p w14:paraId="4F41A4EB"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7%</w:t>
            </w:r>
          </w:p>
        </w:tc>
      </w:tr>
      <w:tr w:rsidR="003B4888" w:rsidRPr="003B4888" w14:paraId="5F620730" w14:textId="77777777" w:rsidTr="0085157F">
        <w:tc>
          <w:tcPr>
            <w:cnfStyle w:val="001000000000" w:firstRow="0" w:lastRow="0" w:firstColumn="1" w:lastColumn="0" w:oddVBand="0" w:evenVBand="0" w:oddHBand="0" w:evenHBand="0" w:firstRowFirstColumn="0" w:firstRowLastColumn="0" w:lastRowFirstColumn="0" w:lastRowLastColumn="0"/>
            <w:tcW w:w="3510" w:type="dxa"/>
          </w:tcPr>
          <w:p w14:paraId="2D6F1A9B" w14:textId="77777777" w:rsidR="003B4888" w:rsidRPr="003B4888" w:rsidRDefault="003B4888" w:rsidP="003B4888">
            <w:pPr>
              <w:spacing w:before="120" w:line="312" w:lineRule="auto"/>
              <w:jc w:val="both"/>
              <w:rPr>
                <w:lang w:val="en-US"/>
              </w:rPr>
            </w:pPr>
            <w:r w:rsidRPr="003B4888">
              <w:rPr>
                <w:lang w:val="en-US"/>
              </w:rPr>
              <w:t>Sodium-rich diet to increase calcium excretion</w:t>
            </w:r>
          </w:p>
        </w:tc>
        <w:tc>
          <w:tcPr>
            <w:tcW w:w="2362" w:type="dxa"/>
          </w:tcPr>
          <w:p w14:paraId="1A5C797D"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18</w:t>
            </w:r>
          </w:p>
        </w:tc>
        <w:tc>
          <w:tcPr>
            <w:tcW w:w="2847" w:type="dxa"/>
          </w:tcPr>
          <w:p w14:paraId="68AD6755"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7%</w:t>
            </w:r>
          </w:p>
        </w:tc>
      </w:tr>
      <w:tr w:rsidR="003B4888" w:rsidRPr="003B4888" w14:paraId="24E627DB" w14:textId="77777777" w:rsidTr="0085157F">
        <w:tc>
          <w:tcPr>
            <w:cnfStyle w:val="001000000000" w:firstRow="0" w:lastRow="0" w:firstColumn="1" w:lastColumn="0" w:oddVBand="0" w:evenVBand="0" w:oddHBand="0" w:evenHBand="0" w:firstRowFirstColumn="0" w:firstRowLastColumn="0" w:lastRowFirstColumn="0" w:lastRowLastColumn="0"/>
            <w:tcW w:w="3510" w:type="dxa"/>
          </w:tcPr>
          <w:p w14:paraId="4EBA9813" w14:textId="77777777" w:rsidR="003B4888" w:rsidRPr="003B4888" w:rsidRDefault="003B4888" w:rsidP="003B4888">
            <w:pPr>
              <w:spacing w:before="120" w:line="312" w:lineRule="auto"/>
              <w:jc w:val="both"/>
            </w:pPr>
            <w:proofErr w:type="spellStart"/>
            <w:r w:rsidRPr="003B4888">
              <w:t>Increase</w:t>
            </w:r>
            <w:proofErr w:type="spellEnd"/>
            <w:r w:rsidRPr="003B4888">
              <w:t xml:space="preserve"> </w:t>
            </w:r>
            <w:proofErr w:type="spellStart"/>
            <w:r w:rsidRPr="003B4888">
              <w:t>of</w:t>
            </w:r>
            <w:proofErr w:type="spellEnd"/>
            <w:r w:rsidRPr="003B4888">
              <w:t xml:space="preserve"> fluid </w:t>
            </w:r>
            <w:proofErr w:type="spellStart"/>
            <w:r w:rsidRPr="003B4888">
              <w:t>intake</w:t>
            </w:r>
            <w:proofErr w:type="spellEnd"/>
          </w:p>
        </w:tc>
        <w:tc>
          <w:tcPr>
            <w:tcW w:w="2362" w:type="dxa"/>
          </w:tcPr>
          <w:p w14:paraId="6768F05C"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43</w:t>
            </w:r>
          </w:p>
        </w:tc>
        <w:tc>
          <w:tcPr>
            <w:tcW w:w="2847" w:type="dxa"/>
          </w:tcPr>
          <w:p w14:paraId="3FD9E2FF"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17%</w:t>
            </w:r>
          </w:p>
        </w:tc>
      </w:tr>
      <w:tr w:rsidR="003B4888" w:rsidRPr="003B4888" w14:paraId="6F96A062" w14:textId="77777777" w:rsidTr="0085157F">
        <w:tc>
          <w:tcPr>
            <w:cnfStyle w:val="001000000000" w:firstRow="0" w:lastRow="0" w:firstColumn="1" w:lastColumn="0" w:oddVBand="0" w:evenVBand="0" w:oddHBand="0" w:evenHBand="0" w:firstRowFirstColumn="0" w:firstRowLastColumn="0" w:lastRowFirstColumn="0" w:lastRowLastColumn="0"/>
            <w:tcW w:w="3510" w:type="dxa"/>
          </w:tcPr>
          <w:p w14:paraId="2C93C085" w14:textId="77777777" w:rsidR="003B4888" w:rsidRPr="003B4888" w:rsidRDefault="003B4888" w:rsidP="003B4888">
            <w:pPr>
              <w:spacing w:before="120" w:line="312" w:lineRule="auto"/>
              <w:jc w:val="both"/>
            </w:pPr>
            <w:r w:rsidRPr="003B4888">
              <w:t xml:space="preserve">Bisphosphonate (oral </w:t>
            </w:r>
            <w:proofErr w:type="spellStart"/>
            <w:r w:rsidRPr="003B4888">
              <w:t>or</w:t>
            </w:r>
            <w:proofErr w:type="spellEnd"/>
            <w:r w:rsidRPr="003B4888">
              <w:t xml:space="preserve"> </w:t>
            </w:r>
            <w:proofErr w:type="spellStart"/>
            <w:r w:rsidRPr="003B4888">
              <w:t>intravenous</w:t>
            </w:r>
            <w:proofErr w:type="spellEnd"/>
            <w:r w:rsidRPr="003B4888">
              <w:t>)</w:t>
            </w:r>
          </w:p>
        </w:tc>
        <w:tc>
          <w:tcPr>
            <w:tcW w:w="2362" w:type="dxa"/>
          </w:tcPr>
          <w:p w14:paraId="3B4D7E7E"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30</w:t>
            </w:r>
          </w:p>
        </w:tc>
        <w:tc>
          <w:tcPr>
            <w:tcW w:w="2847" w:type="dxa"/>
          </w:tcPr>
          <w:p w14:paraId="26FA68E3"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12%</w:t>
            </w:r>
          </w:p>
        </w:tc>
      </w:tr>
      <w:tr w:rsidR="003B4888" w:rsidRPr="003B4888" w14:paraId="7A9F7594" w14:textId="77777777" w:rsidTr="0085157F">
        <w:tc>
          <w:tcPr>
            <w:cnfStyle w:val="001000000000" w:firstRow="0" w:lastRow="0" w:firstColumn="1" w:lastColumn="0" w:oddVBand="0" w:evenVBand="0" w:oddHBand="0" w:evenHBand="0" w:firstRowFirstColumn="0" w:firstRowLastColumn="0" w:lastRowFirstColumn="0" w:lastRowLastColumn="0"/>
            <w:tcW w:w="3510" w:type="dxa"/>
          </w:tcPr>
          <w:p w14:paraId="0093BA3B" w14:textId="77777777" w:rsidR="003B4888" w:rsidRPr="003B4888" w:rsidRDefault="003B4888" w:rsidP="003B4888">
            <w:pPr>
              <w:spacing w:before="120" w:line="312" w:lineRule="auto"/>
              <w:jc w:val="both"/>
            </w:pPr>
            <w:proofErr w:type="spellStart"/>
            <w:r w:rsidRPr="003B4888">
              <w:t>Denusomab</w:t>
            </w:r>
            <w:proofErr w:type="spellEnd"/>
          </w:p>
        </w:tc>
        <w:tc>
          <w:tcPr>
            <w:tcW w:w="2362" w:type="dxa"/>
          </w:tcPr>
          <w:p w14:paraId="3E5C08D4"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3</w:t>
            </w:r>
          </w:p>
        </w:tc>
        <w:tc>
          <w:tcPr>
            <w:tcW w:w="2847" w:type="dxa"/>
          </w:tcPr>
          <w:p w14:paraId="6BCB8AF9"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1%</w:t>
            </w:r>
          </w:p>
        </w:tc>
      </w:tr>
      <w:tr w:rsidR="003B4888" w:rsidRPr="003B4888" w14:paraId="5CA2C382" w14:textId="77777777" w:rsidTr="0085157F">
        <w:tc>
          <w:tcPr>
            <w:cnfStyle w:val="001000000000" w:firstRow="0" w:lastRow="0" w:firstColumn="1" w:lastColumn="0" w:oddVBand="0" w:evenVBand="0" w:oddHBand="0" w:evenHBand="0" w:firstRowFirstColumn="0" w:firstRowLastColumn="0" w:lastRowFirstColumn="0" w:lastRowLastColumn="0"/>
            <w:tcW w:w="3510" w:type="dxa"/>
          </w:tcPr>
          <w:p w14:paraId="526EAA2C" w14:textId="77777777" w:rsidR="003B4888" w:rsidRPr="003B4888" w:rsidRDefault="003B4888" w:rsidP="003B4888">
            <w:pPr>
              <w:spacing w:before="120" w:line="312" w:lineRule="auto"/>
              <w:jc w:val="both"/>
            </w:pPr>
            <w:proofErr w:type="spellStart"/>
            <w:r w:rsidRPr="003B4888">
              <w:t>Cinacalcet</w:t>
            </w:r>
            <w:proofErr w:type="spellEnd"/>
          </w:p>
        </w:tc>
        <w:tc>
          <w:tcPr>
            <w:tcW w:w="2362" w:type="dxa"/>
          </w:tcPr>
          <w:p w14:paraId="7A833A1D"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3</w:t>
            </w:r>
          </w:p>
        </w:tc>
        <w:tc>
          <w:tcPr>
            <w:tcW w:w="2847" w:type="dxa"/>
          </w:tcPr>
          <w:p w14:paraId="17596C77"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1%</w:t>
            </w:r>
          </w:p>
        </w:tc>
      </w:tr>
      <w:tr w:rsidR="003B4888" w:rsidRPr="003B4888" w14:paraId="3D71236F" w14:textId="77777777" w:rsidTr="0085157F">
        <w:tc>
          <w:tcPr>
            <w:cnfStyle w:val="001000000000" w:firstRow="0" w:lastRow="0" w:firstColumn="1" w:lastColumn="0" w:oddVBand="0" w:evenVBand="0" w:oddHBand="0" w:evenHBand="0" w:firstRowFirstColumn="0" w:firstRowLastColumn="0" w:lastRowFirstColumn="0" w:lastRowLastColumn="0"/>
            <w:tcW w:w="3510" w:type="dxa"/>
          </w:tcPr>
          <w:p w14:paraId="6B33277E" w14:textId="77777777" w:rsidR="003B4888" w:rsidRPr="003B4888" w:rsidRDefault="003B4888" w:rsidP="003B4888">
            <w:pPr>
              <w:spacing w:before="120" w:line="312" w:lineRule="auto"/>
              <w:jc w:val="both"/>
            </w:pPr>
            <w:r w:rsidRPr="003B4888">
              <w:lastRenderedPageBreak/>
              <w:t xml:space="preserve">Adrenal </w:t>
            </w:r>
            <w:proofErr w:type="spellStart"/>
            <w:r w:rsidRPr="003B4888">
              <w:t>gland</w:t>
            </w:r>
            <w:proofErr w:type="spellEnd"/>
            <w:r w:rsidRPr="003B4888">
              <w:t xml:space="preserve"> </w:t>
            </w:r>
            <w:proofErr w:type="spellStart"/>
            <w:r w:rsidRPr="003B4888">
              <w:t>surgery</w:t>
            </w:r>
            <w:proofErr w:type="spellEnd"/>
          </w:p>
        </w:tc>
        <w:tc>
          <w:tcPr>
            <w:tcW w:w="2362" w:type="dxa"/>
          </w:tcPr>
          <w:p w14:paraId="247F01BD"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0</w:t>
            </w:r>
          </w:p>
        </w:tc>
        <w:tc>
          <w:tcPr>
            <w:tcW w:w="2847" w:type="dxa"/>
          </w:tcPr>
          <w:p w14:paraId="377277F8"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0%</w:t>
            </w:r>
          </w:p>
        </w:tc>
      </w:tr>
      <w:tr w:rsidR="003B4888" w:rsidRPr="003B4888" w14:paraId="16E61866" w14:textId="77777777" w:rsidTr="0085157F">
        <w:tc>
          <w:tcPr>
            <w:cnfStyle w:val="001000000000" w:firstRow="0" w:lastRow="0" w:firstColumn="1" w:lastColumn="0" w:oddVBand="0" w:evenVBand="0" w:oddHBand="0" w:evenHBand="0" w:firstRowFirstColumn="0" w:firstRowLastColumn="0" w:lastRowFirstColumn="0" w:lastRowLastColumn="0"/>
            <w:tcW w:w="3510" w:type="dxa"/>
          </w:tcPr>
          <w:p w14:paraId="386937F6" w14:textId="77777777" w:rsidR="003B4888" w:rsidRPr="003B4888" w:rsidRDefault="003B4888" w:rsidP="003B4888">
            <w:pPr>
              <w:spacing w:before="120" w:line="312" w:lineRule="auto"/>
              <w:jc w:val="both"/>
            </w:pPr>
            <w:r w:rsidRPr="003B4888">
              <w:t xml:space="preserve">Calcium </w:t>
            </w:r>
            <w:proofErr w:type="spellStart"/>
            <w:r w:rsidRPr="003B4888">
              <w:t>substitution</w:t>
            </w:r>
            <w:proofErr w:type="spellEnd"/>
            <w:r w:rsidRPr="003B4888">
              <w:t xml:space="preserve"> </w:t>
            </w:r>
            <w:proofErr w:type="spellStart"/>
            <w:r w:rsidRPr="003B4888">
              <w:t>terminated</w:t>
            </w:r>
            <w:proofErr w:type="spellEnd"/>
          </w:p>
        </w:tc>
        <w:tc>
          <w:tcPr>
            <w:tcW w:w="2362" w:type="dxa"/>
          </w:tcPr>
          <w:p w14:paraId="37949BA7"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11</w:t>
            </w:r>
          </w:p>
        </w:tc>
        <w:tc>
          <w:tcPr>
            <w:tcW w:w="2847" w:type="dxa"/>
          </w:tcPr>
          <w:p w14:paraId="5B2433DA"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4%</w:t>
            </w:r>
          </w:p>
        </w:tc>
      </w:tr>
      <w:tr w:rsidR="003B4888" w:rsidRPr="003B4888" w14:paraId="044690EF" w14:textId="77777777" w:rsidTr="0085157F">
        <w:tc>
          <w:tcPr>
            <w:cnfStyle w:val="001000000000" w:firstRow="0" w:lastRow="0" w:firstColumn="1" w:lastColumn="0" w:oddVBand="0" w:evenVBand="0" w:oddHBand="0" w:evenHBand="0" w:firstRowFirstColumn="0" w:firstRowLastColumn="0" w:lastRowFirstColumn="0" w:lastRowLastColumn="0"/>
            <w:tcW w:w="3510" w:type="dxa"/>
          </w:tcPr>
          <w:p w14:paraId="1442D19B" w14:textId="77777777" w:rsidR="003B4888" w:rsidRPr="003B4888" w:rsidRDefault="003B4888" w:rsidP="003B4888">
            <w:pPr>
              <w:spacing w:before="120" w:line="312" w:lineRule="auto"/>
              <w:jc w:val="both"/>
              <w:rPr>
                <w:lang w:val="en-US"/>
              </w:rPr>
            </w:pPr>
            <w:r w:rsidRPr="003B4888">
              <w:rPr>
                <w:lang w:val="en-US"/>
              </w:rPr>
              <w:t>Corticosteroids for tumor-induced hypercalcemia</w:t>
            </w:r>
          </w:p>
        </w:tc>
        <w:tc>
          <w:tcPr>
            <w:tcW w:w="2362" w:type="dxa"/>
          </w:tcPr>
          <w:p w14:paraId="626FE4E6"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3</w:t>
            </w:r>
          </w:p>
        </w:tc>
        <w:tc>
          <w:tcPr>
            <w:tcW w:w="2847" w:type="dxa"/>
          </w:tcPr>
          <w:p w14:paraId="79AD313B"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1%</w:t>
            </w:r>
          </w:p>
        </w:tc>
      </w:tr>
      <w:tr w:rsidR="003B4888" w:rsidRPr="003B4888" w14:paraId="68E10AB9" w14:textId="77777777" w:rsidTr="0085157F">
        <w:tc>
          <w:tcPr>
            <w:cnfStyle w:val="001000000000" w:firstRow="0" w:lastRow="0" w:firstColumn="1" w:lastColumn="0" w:oddVBand="0" w:evenVBand="0" w:oddHBand="0" w:evenHBand="0" w:firstRowFirstColumn="0" w:firstRowLastColumn="0" w:lastRowFirstColumn="0" w:lastRowLastColumn="0"/>
            <w:tcW w:w="3510" w:type="dxa"/>
          </w:tcPr>
          <w:p w14:paraId="2232D4E7" w14:textId="77777777" w:rsidR="003B4888" w:rsidRPr="003B4888" w:rsidRDefault="003B4888" w:rsidP="003B4888">
            <w:pPr>
              <w:spacing w:before="120" w:line="312" w:lineRule="auto"/>
              <w:jc w:val="both"/>
            </w:pPr>
            <w:r w:rsidRPr="003B4888">
              <w:t xml:space="preserve">Protein </w:t>
            </w:r>
            <w:proofErr w:type="spellStart"/>
            <w:r w:rsidRPr="003B4888">
              <w:t>substitution</w:t>
            </w:r>
            <w:proofErr w:type="spellEnd"/>
          </w:p>
        </w:tc>
        <w:tc>
          <w:tcPr>
            <w:tcW w:w="2362" w:type="dxa"/>
          </w:tcPr>
          <w:p w14:paraId="131E5E9D"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45</w:t>
            </w:r>
          </w:p>
        </w:tc>
        <w:tc>
          <w:tcPr>
            <w:tcW w:w="2847" w:type="dxa"/>
          </w:tcPr>
          <w:p w14:paraId="0F206576"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18%</w:t>
            </w:r>
          </w:p>
        </w:tc>
      </w:tr>
      <w:tr w:rsidR="003B4888" w:rsidRPr="003B4888" w14:paraId="2B9CC22F" w14:textId="77777777" w:rsidTr="0085157F">
        <w:tc>
          <w:tcPr>
            <w:cnfStyle w:val="001000000000" w:firstRow="0" w:lastRow="0" w:firstColumn="1" w:lastColumn="0" w:oddVBand="0" w:evenVBand="0" w:oddHBand="0" w:evenHBand="0" w:firstRowFirstColumn="0" w:firstRowLastColumn="0" w:lastRowFirstColumn="0" w:lastRowLastColumn="0"/>
            <w:tcW w:w="3510" w:type="dxa"/>
          </w:tcPr>
          <w:p w14:paraId="1C655784" w14:textId="77777777" w:rsidR="003B4888" w:rsidRPr="003B4888" w:rsidRDefault="003B4888" w:rsidP="003B4888">
            <w:pPr>
              <w:spacing w:before="120" w:line="312" w:lineRule="auto"/>
              <w:jc w:val="both"/>
              <w:rPr>
                <w:lang w:val="en-US"/>
              </w:rPr>
            </w:pPr>
            <w:r w:rsidRPr="003B4888">
              <w:rPr>
                <w:lang w:val="en-US"/>
              </w:rPr>
              <w:t>Vitamin D started/ Dose adjusted</w:t>
            </w:r>
          </w:p>
        </w:tc>
        <w:tc>
          <w:tcPr>
            <w:tcW w:w="2362" w:type="dxa"/>
          </w:tcPr>
          <w:p w14:paraId="76DB238A"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139</w:t>
            </w:r>
          </w:p>
        </w:tc>
        <w:tc>
          <w:tcPr>
            <w:tcW w:w="2847" w:type="dxa"/>
          </w:tcPr>
          <w:p w14:paraId="4FEF5500"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54%</w:t>
            </w:r>
          </w:p>
        </w:tc>
      </w:tr>
      <w:tr w:rsidR="003B4888" w:rsidRPr="003B4888" w14:paraId="4267CB63" w14:textId="77777777" w:rsidTr="0085157F">
        <w:tc>
          <w:tcPr>
            <w:cnfStyle w:val="001000000000" w:firstRow="0" w:lastRow="0" w:firstColumn="1" w:lastColumn="0" w:oddVBand="0" w:evenVBand="0" w:oddHBand="0" w:evenHBand="0" w:firstRowFirstColumn="0" w:firstRowLastColumn="0" w:lastRowFirstColumn="0" w:lastRowLastColumn="0"/>
            <w:tcW w:w="3510" w:type="dxa"/>
          </w:tcPr>
          <w:p w14:paraId="37D24F1B" w14:textId="77777777" w:rsidR="003B4888" w:rsidRPr="003B4888" w:rsidRDefault="003B4888" w:rsidP="003B4888">
            <w:pPr>
              <w:spacing w:before="120" w:line="312" w:lineRule="auto"/>
              <w:jc w:val="both"/>
            </w:pPr>
            <w:r w:rsidRPr="003B4888">
              <w:t xml:space="preserve">Corticosteroids </w:t>
            </w:r>
            <w:proofErr w:type="spellStart"/>
            <w:r w:rsidRPr="003B4888">
              <w:t>terminated</w:t>
            </w:r>
            <w:proofErr w:type="spellEnd"/>
          </w:p>
        </w:tc>
        <w:tc>
          <w:tcPr>
            <w:tcW w:w="2362" w:type="dxa"/>
          </w:tcPr>
          <w:p w14:paraId="1A3183F8"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2</w:t>
            </w:r>
          </w:p>
        </w:tc>
        <w:tc>
          <w:tcPr>
            <w:tcW w:w="2847" w:type="dxa"/>
          </w:tcPr>
          <w:p w14:paraId="78A08DAB"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1%</w:t>
            </w:r>
          </w:p>
        </w:tc>
      </w:tr>
      <w:tr w:rsidR="003B4888" w:rsidRPr="003B4888" w14:paraId="6DDCF607" w14:textId="77777777" w:rsidTr="0085157F">
        <w:tc>
          <w:tcPr>
            <w:cnfStyle w:val="001000000000" w:firstRow="0" w:lastRow="0" w:firstColumn="1" w:lastColumn="0" w:oddVBand="0" w:evenVBand="0" w:oddHBand="0" w:evenHBand="0" w:firstRowFirstColumn="0" w:firstRowLastColumn="0" w:lastRowFirstColumn="0" w:lastRowLastColumn="0"/>
            <w:tcW w:w="3510" w:type="dxa"/>
          </w:tcPr>
          <w:p w14:paraId="22F26EF5" w14:textId="77777777" w:rsidR="003B4888" w:rsidRPr="003B4888" w:rsidRDefault="003B4888" w:rsidP="003B4888">
            <w:pPr>
              <w:spacing w:before="120" w:line="312" w:lineRule="auto"/>
              <w:jc w:val="both"/>
            </w:pPr>
            <w:proofErr w:type="spellStart"/>
            <w:r w:rsidRPr="003B4888">
              <w:t>No</w:t>
            </w:r>
            <w:proofErr w:type="spellEnd"/>
            <w:r w:rsidRPr="003B4888">
              <w:t xml:space="preserve"> </w:t>
            </w:r>
            <w:proofErr w:type="spellStart"/>
            <w:r w:rsidRPr="003B4888">
              <w:t>therapy</w:t>
            </w:r>
            <w:proofErr w:type="spellEnd"/>
          </w:p>
        </w:tc>
        <w:tc>
          <w:tcPr>
            <w:tcW w:w="2362" w:type="dxa"/>
          </w:tcPr>
          <w:p w14:paraId="49976640"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50</w:t>
            </w:r>
          </w:p>
        </w:tc>
        <w:tc>
          <w:tcPr>
            <w:tcW w:w="2847" w:type="dxa"/>
          </w:tcPr>
          <w:p w14:paraId="503A7666"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19%</w:t>
            </w:r>
          </w:p>
        </w:tc>
      </w:tr>
      <w:tr w:rsidR="003B4888" w:rsidRPr="003B4888" w14:paraId="716A9A0A" w14:textId="77777777" w:rsidTr="0085157F">
        <w:tc>
          <w:tcPr>
            <w:cnfStyle w:val="001000000000" w:firstRow="0" w:lastRow="0" w:firstColumn="1" w:lastColumn="0" w:oddVBand="0" w:evenVBand="0" w:oddHBand="0" w:evenHBand="0" w:firstRowFirstColumn="0" w:firstRowLastColumn="0" w:lastRowFirstColumn="0" w:lastRowLastColumn="0"/>
            <w:tcW w:w="3510" w:type="dxa"/>
          </w:tcPr>
          <w:p w14:paraId="50D7559D" w14:textId="77777777" w:rsidR="003B4888" w:rsidRPr="003B4888" w:rsidRDefault="003B4888" w:rsidP="003B4888">
            <w:pPr>
              <w:spacing w:before="120" w:line="312" w:lineRule="auto"/>
              <w:jc w:val="both"/>
            </w:pPr>
            <w:r w:rsidRPr="003B4888">
              <w:t xml:space="preserve">Not </w:t>
            </w:r>
            <w:proofErr w:type="spellStart"/>
            <w:r w:rsidRPr="003B4888">
              <w:t>assessable</w:t>
            </w:r>
            <w:proofErr w:type="spellEnd"/>
            <w:r w:rsidRPr="003B4888">
              <w:t xml:space="preserve">/ </w:t>
            </w:r>
            <w:proofErr w:type="spellStart"/>
            <w:r w:rsidRPr="003B4888">
              <w:t>deceased</w:t>
            </w:r>
            <w:proofErr w:type="spellEnd"/>
          </w:p>
        </w:tc>
        <w:tc>
          <w:tcPr>
            <w:tcW w:w="2362" w:type="dxa"/>
          </w:tcPr>
          <w:p w14:paraId="6FFC579A"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12</w:t>
            </w:r>
          </w:p>
        </w:tc>
        <w:tc>
          <w:tcPr>
            <w:tcW w:w="2847" w:type="dxa"/>
          </w:tcPr>
          <w:p w14:paraId="3EB99A8B" w14:textId="77777777" w:rsidR="003B4888" w:rsidRPr="003B4888" w:rsidRDefault="003B4888" w:rsidP="003B4888">
            <w:pPr>
              <w:spacing w:before="120" w:line="312" w:lineRule="auto"/>
              <w:jc w:val="both"/>
              <w:cnfStyle w:val="000000000000" w:firstRow="0" w:lastRow="0" w:firstColumn="0" w:lastColumn="0" w:oddVBand="0" w:evenVBand="0" w:oddHBand="0" w:evenHBand="0" w:firstRowFirstColumn="0" w:firstRowLastColumn="0" w:lastRowFirstColumn="0" w:lastRowLastColumn="0"/>
            </w:pPr>
            <w:r w:rsidRPr="003B4888">
              <w:t>5%</w:t>
            </w:r>
          </w:p>
        </w:tc>
      </w:tr>
    </w:tbl>
    <w:p w14:paraId="21A45FC8" w14:textId="77777777" w:rsidR="003B4888" w:rsidRPr="003B4888" w:rsidRDefault="003B4888" w:rsidP="003B4888">
      <w:pPr>
        <w:suppressAutoHyphens/>
        <w:spacing w:before="120" w:after="0" w:line="312" w:lineRule="auto"/>
        <w:jc w:val="both"/>
        <w:rPr>
          <w:rFonts w:eastAsia="Times New Roman" w:cs="Times New Roman"/>
          <w:sz w:val="24"/>
          <w:szCs w:val="20"/>
          <w:lang w:eastAsia="de-DE"/>
        </w:rPr>
      </w:pPr>
    </w:p>
    <w:p w14:paraId="39FB2FBB" w14:textId="77777777" w:rsidR="003B4888" w:rsidRPr="003B4888" w:rsidRDefault="003B4888" w:rsidP="003B4888">
      <w:pPr>
        <w:jc w:val="both"/>
        <w:rPr>
          <w:rFonts w:cstheme="minorHAnsi"/>
          <w:lang w:val="en-US"/>
        </w:rPr>
      </w:pPr>
    </w:p>
    <w:p w14:paraId="7462FBFC" w14:textId="77777777" w:rsidR="00190642" w:rsidRDefault="00190642"/>
    <w:sectPr w:rsidR="00190642">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BF899" w14:textId="77777777" w:rsidR="00960984" w:rsidRDefault="00960984">
      <w:pPr>
        <w:spacing w:after="0" w:line="240" w:lineRule="auto"/>
      </w:pPr>
      <w:r>
        <w:separator/>
      </w:r>
    </w:p>
  </w:endnote>
  <w:endnote w:type="continuationSeparator" w:id="0">
    <w:p w14:paraId="3CE66326" w14:textId="77777777" w:rsidR="00960984" w:rsidRDefault="00960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9461219"/>
    </w:sdtPr>
    <w:sdtContent>
      <w:p w14:paraId="24FB45D1" w14:textId="77777777" w:rsidR="003B51B7" w:rsidRDefault="003B4888">
        <w:pPr>
          <w:pStyle w:val="Fuzeile"/>
          <w:jc w:val="right"/>
        </w:pPr>
        <w:r>
          <w:fldChar w:fldCharType="begin"/>
        </w:r>
        <w:r>
          <w:instrText>PAGE   \* MERGEFORMAT</w:instrText>
        </w:r>
        <w:r>
          <w:fldChar w:fldCharType="separate"/>
        </w:r>
        <w:r>
          <w:t>2</w:t>
        </w:r>
        <w:r>
          <w:fldChar w:fldCharType="end"/>
        </w:r>
      </w:p>
    </w:sdtContent>
  </w:sdt>
  <w:p w14:paraId="56B223BD" w14:textId="77777777" w:rsidR="003B51B7" w:rsidRDefault="003B51B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152D1" w14:textId="77777777" w:rsidR="00960984" w:rsidRDefault="00960984">
      <w:pPr>
        <w:spacing w:after="0" w:line="240" w:lineRule="auto"/>
      </w:pPr>
      <w:r>
        <w:separator/>
      </w:r>
    </w:p>
  </w:footnote>
  <w:footnote w:type="continuationSeparator" w:id="0">
    <w:p w14:paraId="19A7E62F" w14:textId="77777777" w:rsidR="00960984" w:rsidRDefault="009609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888"/>
    <w:rsid w:val="000B6A9A"/>
    <w:rsid w:val="00184FFE"/>
    <w:rsid w:val="00190642"/>
    <w:rsid w:val="003B4888"/>
    <w:rsid w:val="003B51B7"/>
    <w:rsid w:val="00402F03"/>
    <w:rsid w:val="00494388"/>
    <w:rsid w:val="004A76B5"/>
    <w:rsid w:val="004C2985"/>
    <w:rsid w:val="00520500"/>
    <w:rsid w:val="006B7482"/>
    <w:rsid w:val="007076EF"/>
    <w:rsid w:val="007677A9"/>
    <w:rsid w:val="0088696E"/>
    <w:rsid w:val="00960984"/>
    <w:rsid w:val="009958D0"/>
    <w:rsid w:val="00CB5BB9"/>
    <w:rsid w:val="00CD149D"/>
    <w:rsid w:val="00D42C0E"/>
    <w:rsid w:val="00DF7DA5"/>
    <w:rsid w:val="00ED75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1C978"/>
  <w15:chartTrackingRefBased/>
  <w15:docId w15:val="{AA6F0FA5-3E6B-400F-B393-70D3AB216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semiHidden/>
    <w:unhideWhenUsed/>
    <w:rsid w:val="003B4888"/>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3B4888"/>
  </w:style>
  <w:style w:type="table" w:customStyle="1" w:styleId="Gitternetztabelle1hell1">
    <w:name w:val="Gitternetztabelle 1 hell1"/>
    <w:basedOn w:val="NormaleTabelle"/>
    <w:uiPriority w:val="46"/>
    <w:qFormat/>
    <w:rsid w:val="003B4888"/>
    <w:pPr>
      <w:suppressAutoHyphens/>
      <w:spacing w:after="0" w:line="240" w:lineRule="auto"/>
    </w:pPr>
    <w:rPr>
      <w:rFonts w:ascii="Times New Roman" w:eastAsia="Times New Roman" w:hAnsi="Times New Roman" w:cs="Times New Roman"/>
      <w:sz w:val="20"/>
      <w:szCs w:val="20"/>
      <w:lang w:eastAsia="de-DE"/>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berarbeitung">
    <w:name w:val="Revision"/>
    <w:hidden/>
    <w:uiPriority w:val="99"/>
    <w:semiHidden/>
    <w:rsid w:val="00CB5B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e.wikipedia.org/wiki/Selektiver_Estrogenrezeptormodulator" TargetMode="Externa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733D54D48312343B250141AD60E42EA" ma:contentTypeVersion="13" ma:contentTypeDescription="Ein neues Dokument erstellen." ma:contentTypeScope="" ma:versionID="9f8cf47552308e4ed35f863e1e1794d4">
  <xsd:schema xmlns:xsd="http://www.w3.org/2001/XMLSchema" xmlns:xs="http://www.w3.org/2001/XMLSchema" xmlns:p="http://schemas.microsoft.com/office/2006/metadata/properties" xmlns:ns2="6fda7565-9723-4d47-8f37-db120daa01b8" xmlns:ns3="bd2a10cf-e067-4f9c-87ec-f8ebada5459f" targetNamespace="http://schemas.microsoft.com/office/2006/metadata/properties" ma:root="true" ma:fieldsID="e6f5f12c292a2bfeb8be60121e96436a" ns2:_="" ns3:_="">
    <xsd:import namespace="6fda7565-9723-4d47-8f37-db120daa01b8"/>
    <xsd:import namespace="bd2a10cf-e067-4f9c-87ec-f8ebada545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a7565-9723-4d47-8f37-db120daa0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2a10cf-e067-4f9c-87ec-f8ebada5459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4f9c5ac-e38b-4001-aaed-b18c4088ec75}" ma:internalName="TaxCatchAll" ma:showField="CatchAllData" ma:web="bd2a10cf-e067-4f9c-87ec-f8ebada545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d2a10cf-e067-4f9c-87ec-f8ebada5459f" xsi:nil="true"/>
    <lcf76f155ced4ddcb4097134ff3c332f xmlns="6fda7565-9723-4d47-8f37-db120daa01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52262A-EEE4-471F-B15F-71D98C2F555E}"/>
</file>

<file path=customXml/itemProps2.xml><?xml version="1.0" encoding="utf-8"?>
<ds:datastoreItem xmlns:ds="http://schemas.openxmlformats.org/officeDocument/2006/customXml" ds:itemID="{2A3C6844-DD1B-438D-934D-4E175B9980FC}"/>
</file>

<file path=customXml/itemProps3.xml><?xml version="1.0" encoding="utf-8"?>
<ds:datastoreItem xmlns:ds="http://schemas.openxmlformats.org/officeDocument/2006/customXml" ds:itemID="{CBCB287D-ABC5-42AB-BA52-42B2BE9A3E3A}"/>
</file>

<file path=docProps/app.xml><?xml version="1.0" encoding="utf-8"?>
<Properties xmlns="http://schemas.openxmlformats.org/officeDocument/2006/extended-properties" xmlns:vt="http://schemas.openxmlformats.org/officeDocument/2006/docPropsVTypes">
  <Template>Normal</Template>
  <TotalTime>0</TotalTime>
  <Pages>4</Pages>
  <Words>926</Words>
  <Characters>5605</Characters>
  <Application>Microsoft Office Word</Application>
  <DocSecurity>0</DocSecurity>
  <Lines>100</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Nau</dc:creator>
  <cp:keywords/>
  <dc:description/>
  <cp:lastModifiedBy>Roland</cp:lastModifiedBy>
  <cp:revision>2</cp:revision>
  <dcterms:created xsi:type="dcterms:W3CDTF">2025-12-14T22:26:00Z</dcterms:created>
  <dcterms:modified xsi:type="dcterms:W3CDTF">2025-12-14T22:26:00Z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0x0101007733D54D48312343B250141AD60E42EA</vt:lpwstr>
  </property>
</Properties>
</file>