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425B61" w14:textId="0E829A43" w:rsidR="002F7A78" w:rsidRDefault="002F7A78" w:rsidP="002F7A78">
      <w:pPr>
        <w:suppressAutoHyphens/>
        <w:spacing w:after="120"/>
        <w:jc w:val="both"/>
        <w:rPr>
          <w:b/>
          <w:bCs/>
          <w:sz w:val="20"/>
          <w:szCs w:val="20"/>
        </w:rPr>
      </w:pPr>
      <w:r>
        <w:rPr>
          <w:b/>
          <w:bCs/>
          <w:sz w:val="20"/>
          <w:szCs w:val="20"/>
        </w:rPr>
        <w:t xml:space="preserve">Data </w:t>
      </w:r>
      <w:proofErr w:type="spellStart"/>
      <w:r>
        <w:rPr>
          <w:b/>
          <w:bCs/>
          <w:sz w:val="20"/>
          <w:szCs w:val="20"/>
        </w:rPr>
        <w:t>Preparation</w:t>
      </w:r>
      <w:proofErr w:type="spellEnd"/>
    </w:p>
    <w:p w14:paraId="343CE369" w14:textId="652981B0" w:rsidR="002F7A78" w:rsidRDefault="002F7A78" w:rsidP="002F7A78">
      <w:pPr>
        <w:suppressAutoHyphens/>
        <w:spacing w:after="120"/>
        <w:jc w:val="both"/>
        <w:rPr>
          <w:bCs/>
          <w:sz w:val="20"/>
          <w:szCs w:val="20"/>
        </w:rPr>
      </w:pPr>
      <w:r w:rsidRPr="00C73A71">
        <w:rPr>
          <w:bCs/>
          <w:sz w:val="20"/>
          <w:szCs w:val="20"/>
        </w:rPr>
        <w:t>Für die vorliegende Analyse wurde die ursprüngliche Zielvariable durch Aggregieren der Pflegegrade in ein binäres Klassifikationsproblem transformiert: Erstgutachten ohne empfohlenen Pflegegrad erh</w:t>
      </w:r>
      <w:r>
        <w:rPr>
          <w:bCs/>
          <w:sz w:val="20"/>
          <w:szCs w:val="20"/>
        </w:rPr>
        <w:t>al</w:t>
      </w:r>
      <w:r w:rsidRPr="00C73A71">
        <w:rPr>
          <w:bCs/>
          <w:sz w:val="20"/>
          <w:szCs w:val="20"/>
        </w:rPr>
        <w:t>ten die Klasse 0, während erfolgreiche Begutachtungen – unabhängig vom empfohlenen Pflegegrad (1–5) – die Klasse 1 erh</w:t>
      </w:r>
      <w:r>
        <w:rPr>
          <w:bCs/>
          <w:sz w:val="20"/>
          <w:szCs w:val="20"/>
        </w:rPr>
        <w:t>a</w:t>
      </w:r>
      <w:r w:rsidRPr="00C73A71">
        <w:rPr>
          <w:bCs/>
          <w:sz w:val="20"/>
          <w:szCs w:val="20"/>
        </w:rPr>
        <w:t>lten.</w:t>
      </w:r>
    </w:p>
    <w:p w14:paraId="04612FCE" w14:textId="7D348F52" w:rsidR="002F7A78" w:rsidRDefault="002F7A78" w:rsidP="002F7A78">
      <w:pPr>
        <w:suppressAutoHyphens/>
        <w:spacing w:after="120"/>
        <w:jc w:val="both"/>
        <w:rPr>
          <w:bCs/>
          <w:sz w:val="20"/>
          <w:szCs w:val="20"/>
        </w:rPr>
      </w:pPr>
      <w:r w:rsidRPr="00C73A71">
        <w:rPr>
          <w:bCs/>
          <w:sz w:val="20"/>
          <w:szCs w:val="20"/>
        </w:rPr>
        <w:t xml:space="preserve">Zunächst </w:t>
      </w:r>
      <w:r>
        <w:rPr>
          <w:bCs/>
          <w:sz w:val="20"/>
          <w:szCs w:val="20"/>
        </w:rPr>
        <w:t>wird</w:t>
      </w:r>
      <w:r w:rsidRPr="00C73A71">
        <w:rPr>
          <w:bCs/>
          <w:sz w:val="20"/>
          <w:szCs w:val="20"/>
        </w:rPr>
        <w:t xml:space="preserve"> der Datensatz mittels Min-Max-Skalierung normalisiert und anschließend in Trainings- und Testdaten unterteilt. Der für die Evaluation vorgesehene Testdatensatz </w:t>
      </w:r>
      <w:r>
        <w:rPr>
          <w:bCs/>
          <w:sz w:val="20"/>
          <w:szCs w:val="20"/>
        </w:rPr>
        <w:t>wird</w:t>
      </w:r>
      <w:r w:rsidRPr="00C73A71">
        <w:rPr>
          <w:bCs/>
          <w:sz w:val="20"/>
          <w:szCs w:val="20"/>
        </w:rPr>
        <w:t xml:space="preserve"> randomisiert in 6.000 Begutachtungen der Klasse 0 und 6.000 Begutachtungen der Klasse 1. Im Trainingsdatensatz </w:t>
      </w:r>
      <w:r>
        <w:rPr>
          <w:bCs/>
          <w:sz w:val="20"/>
          <w:szCs w:val="20"/>
        </w:rPr>
        <w:t>verbleibt</w:t>
      </w:r>
      <w:r w:rsidRPr="00C73A71">
        <w:rPr>
          <w:bCs/>
          <w:sz w:val="20"/>
          <w:szCs w:val="20"/>
        </w:rPr>
        <w:t xml:space="preserve"> somit ein grundlegendes Klassenungleichgewicht mit 20.985 </w:t>
      </w:r>
      <w:r w:rsidR="009A34BE">
        <w:rPr>
          <w:bCs/>
          <w:sz w:val="20"/>
          <w:szCs w:val="20"/>
        </w:rPr>
        <w:t>Erstgutachten ohne Feststellung eines Pflegegrades</w:t>
      </w:r>
      <w:r w:rsidR="009A34BE" w:rsidRPr="00C73A71">
        <w:rPr>
          <w:bCs/>
          <w:sz w:val="20"/>
          <w:szCs w:val="20"/>
        </w:rPr>
        <w:t xml:space="preserve"> </w:t>
      </w:r>
      <w:r w:rsidRPr="00C73A71">
        <w:rPr>
          <w:bCs/>
          <w:sz w:val="20"/>
          <w:szCs w:val="20"/>
        </w:rPr>
        <w:t>und 89.459 Erstgutachten</w:t>
      </w:r>
      <w:r w:rsidR="009A34BE">
        <w:rPr>
          <w:bCs/>
          <w:sz w:val="20"/>
          <w:szCs w:val="20"/>
        </w:rPr>
        <w:t xml:space="preserve"> mit Feststellung eines Pflegegrades</w:t>
      </w:r>
      <w:r w:rsidRPr="00C73A71">
        <w:rPr>
          <w:bCs/>
          <w:sz w:val="20"/>
          <w:szCs w:val="20"/>
        </w:rPr>
        <w:t xml:space="preserve">. Um einem verzerrten Modelltraining aufgrund der Überrepräsentation der Mehrheitsklasse entgegenzuwirken, </w:t>
      </w:r>
      <w:r>
        <w:rPr>
          <w:bCs/>
          <w:sz w:val="20"/>
          <w:szCs w:val="20"/>
        </w:rPr>
        <w:t>wird</w:t>
      </w:r>
      <w:r w:rsidRPr="00C73A71">
        <w:rPr>
          <w:bCs/>
          <w:sz w:val="20"/>
          <w:szCs w:val="20"/>
        </w:rPr>
        <w:t xml:space="preserve"> die SMOTE-Methode (</w:t>
      </w:r>
      <w:proofErr w:type="spellStart"/>
      <w:r w:rsidRPr="00C73A71">
        <w:rPr>
          <w:bCs/>
          <w:sz w:val="20"/>
          <w:szCs w:val="20"/>
        </w:rPr>
        <w:t>Synthetic</w:t>
      </w:r>
      <w:proofErr w:type="spellEnd"/>
      <w:r w:rsidRPr="00C73A71">
        <w:rPr>
          <w:bCs/>
          <w:sz w:val="20"/>
          <w:szCs w:val="20"/>
        </w:rPr>
        <w:t xml:space="preserve"> </w:t>
      </w:r>
      <w:proofErr w:type="spellStart"/>
      <w:r w:rsidRPr="00C73A71">
        <w:rPr>
          <w:bCs/>
          <w:sz w:val="20"/>
          <w:szCs w:val="20"/>
        </w:rPr>
        <w:t>Minority</w:t>
      </w:r>
      <w:proofErr w:type="spellEnd"/>
      <w:r w:rsidRPr="00C73A71">
        <w:rPr>
          <w:bCs/>
          <w:sz w:val="20"/>
          <w:szCs w:val="20"/>
        </w:rPr>
        <w:t xml:space="preserve"> </w:t>
      </w:r>
      <w:proofErr w:type="spellStart"/>
      <w:r w:rsidRPr="00C73A71">
        <w:rPr>
          <w:bCs/>
          <w:sz w:val="20"/>
          <w:szCs w:val="20"/>
        </w:rPr>
        <w:t>Oversampling</w:t>
      </w:r>
      <w:proofErr w:type="spellEnd"/>
      <w:r w:rsidRPr="00C73A71">
        <w:rPr>
          <w:bCs/>
          <w:sz w:val="20"/>
          <w:szCs w:val="20"/>
        </w:rPr>
        <w:t xml:space="preserve"> </w:t>
      </w:r>
      <w:proofErr w:type="spellStart"/>
      <w:r w:rsidRPr="00C73A71">
        <w:rPr>
          <w:bCs/>
          <w:sz w:val="20"/>
          <w:szCs w:val="20"/>
        </w:rPr>
        <w:t>Technique</w:t>
      </w:r>
      <w:proofErr w:type="spellEnd"/>
      <w:r w:rsidRPr="00C73A71">
        <w:rPr>
          <w:bCs/>
          <w:sz w:val="20"/>
          <w:szCs w:val="20"/>
        </w:rPr>
        <w:t>) eingesetzt</w:t>
      </w:r>
      <w:r>
        <w:rPr>
          <w:bCs/>
          <w:sz w:val="20"/>
          <w:szCs w:val="20"/>
        </w:rPr>
        <w:t xml:space="preserve"> </w:t>
      </w:r>
      <w:r w:rsidRPr="00C73A71">
        <w:rPr>
          <w:bCs/>
          <w:sz w:val="20"/>
          <w:szCs w:val="20"/>
        </w:rPr>
        <w:t>[1]. Durch die Generierung synthetischer Instanzen der Minderheitsklasse</w:t>
      </w:r>
      <w:r>
        <w:rPr>
          <w:bCs/>
          <w:sz w:val="20"/>
          <w:szCs w:val="20"/>
        </w:rPr>
        <w:t xml:space="preserve"> und der anschließenden Anwendung des Random </w:t>
      </w:r>
      <w:proofErr w:type="spellStart"/>
      <w:r>
        <w:rPr>
          <w:bCs/>
          <w:sz w:val="20"/>
          <w:szCs w:val="20"/>
        </w:rPr>
        <w:t>Undersampler</w:t>
      </w:r>
      <w:proofErr w:type="spellEnd"/>
      <w:r w:rsidRPr="00C73A71">
        <w:rPr>
          <w:bCs/>
          <w:sz w:val="20"/>
          <w:szCs w:val="20"/>
        </w:rPr>
        <w:t xml:space="preserve"> erfolgte eine gezielte Ausbalancierung der Klassenverteilung im Trainingsdatensatz [</w:t>
      </w:r>
      <w:r w:rsidR="00BE4E1B">
        <w:rPr>
          <w:bCs/>
          <w:sz w:val="20"/>
          <w:szCs w:val="20"/>
        </w:rPr>
        <w:t>2</w:t>
      </w:r>
      <w:r w:rsidRPr="00C73A71">
        <w:rPr>
          <w:bCs/>
          <w:sz w:val="20"/>
          <w:szCs w:val="20"/>
        </w:rPr>
        <w:t xml:space="preserve">]. </w:t>
      </w:r>
      <w:r>
        <w:rPr>
          <w:bCs/>
          <w:sz w:val="20"/>
          <w:szCs w:val="20"/>
        </w:rPr>
        <w:t>Dies führt zu einem</w:t>
      </w:r>
      <w:r w:rsidRPr="00C73A71">
        <w:rPr>
          <w:bCs/>
          <w:sz w:val="20"/>
          <w:szCs w:val="20"/>
        </w:rPr>
        <w:t xml:space="preserve"> ausbalancierten Trainingsdatensatz </w:t>
      </w:r>
      <w:r>
        <w:rPr>
          <w:bCs/>
          <w:sz w:val="20"/>
          <w:szCs w:val="20"/>
        </w:rPr>
        <w:t xml:space="preserve">von </w:t>
      </w:r>
      <w:r w:rsidRPr="00C73A71">
        <w:rPr>
          <w:bCs/>
          <w:sz w:val="20"/>
          <w:szCs w:val="20"/>
        </w:rPr>
        <w:t xml:space="preserve">63.898 </w:t>
      </w:r>
      <w:r w:rsidR="009A34BE">
        <w:rPr>
          <w:bCs/>
          <w:sz w:val="20"/>
          <w:szCs w:val="20"/>
        </w:rPr>
        <w:t>Erstgutachten mit Feststellung eines Pflegegrades</w:t>
      </w:r>
      <w:r w:rsidR="009A34BE" w:rsidRPr="00C73A71">
        <w:rPr>
          <w:bCs/>
          <w:sz w:val="20"/>
          <w:szCs w:val="20"/>
        </w:rPr>
        <w:t xml:space="preserve"> </w:t>
      </w:r>
      <w:r w:rsidRPr="00C73A71">
        <w:rPr>
          <w:bCs/>
          <w:sz w:val="20"/>
          <w:szCs w:val="20"/>
        </w:rPr>
        <w:t>und 44.729 Erst</w:t>
      </w:r>
      <w:r>
        <w:rPr>
          <w:bCs/>
          <w:sz w:val="20"/>
          <w:szCs w:val="20"/>
        </w:rPr>
        <w:t>gutachten</w:t>
      </w:r>
      <w:r w:rsidR="009A34BE">
        <w:rPr>
          <w:bCs/>
          <w:sz w:val="20"/>
          <w:szCs w:val="20"/>
        </w:rPr>
        <w:t xml:space="preserve"> ohne Feststellung eines Pflegegrades</w:t>
      </w:r>
      <w:r w:rsidRPr="00C73A71">
        <w:rPr>
          <w:bCs/>
          <w:sz w:val="20"/>
          <w:szCs w:val="20"/>
        </w:rPr>
        <w:t>.</w:t>
      </w:r>
      <w:r w:rsidR="00F416B8">
        <w:rPr>
          <w:bCs/>
          <w:sz w:val="20"/>
          <w:szCs w:val="20"/>
        </w:rPr>
        <w:t xml:space="preserve"> </w:t>
      </w:r>
    </w:p>
    <w:p w14:paraId="7A45A544" w14:textId="403968D0" w:rsidR="002F7A78" w:rsidRPr="003C09A2" w:rsidRDefault="002F7A78" w:rsidP="002F7A78">
      <w:pPr>
        <w:suppressAutoHyphens/>
        <w:spacing w:after="120"/>
        <w:jc w:val="both"/>
        <w:rPr>
          <w:b/>
          <w:bCs/>
          <w:sz w:val="20"/>
          <w:szCs w:val="20"/>
        </w:rPr>
      </w:pPr>
      <w:r w:rsidRPr="00C73A71">
        <w:rPr>
          <w:bCs/>
          <w:sz w:val="20"/>
          <w:szCs w:val="20"/>
        </w:rPr>
        <w:t xml:space="preserve">Im separierten Trainingsdatensatz wird die Feature </w:t>
      </w:r>
      <w:proofErr w:type="spellStart"/>
      <w:r w:rsidRPr="00C73A71">
        <w:rPr>
          <w:bCs/>
          <w:sz w:val="20"/>
          <w:szCs w:val="20"/>
        </w:rPr>
        <w:t>Importance</w:t>
      </w:r>
      <w:proofErr w:type="spellEnd"/>
      <w:r w:rsidRPr="00C73A71">
        <w:rPr>
          <w:bCs/>
          <w:sz w:val="20"/>
          <w:szCs w:val="20"/>
        </w:rPr>
        <w:t xml:space="preserve"> (FI) ermittelt. Hierzu wird die Mutual Information [</w:t>
      </w:r>
      <w:r w:rsidR="00BE4E1B">
        <w:rPr>
          <w:bCs/>
          <w:sz w:val="20"/>
          <w:szCs w:val="20"/>
        </w:rPr>
        <w:t>3</w:t>
      </w:r>
      <w:r w:rsidRPr="00C73A71">
        <w:rPr>
          <w:bCs/>
          <w:sz w:val="20"/>
          <w:szCs w:val="20"/>
        </w:rPr>
        <w:t>] – ein modellunabhängiges Filterverfahren – eingesetzt, um die Relevanz der Inputvariablen hinsichtlich der binären Zielvariablen zu bestimmen und grafisch in einem Liniendiagramm darzustellen. Diese Visualisierung ermöglicht die Identifikation jener Merkmale, die einen relevanten Informationsgehalt bezüglich der Zielvariablen aufweisen. Anschließend werden die Merkmale mit dem höchsten Informationsgehalt extrahiert und auf wechselseitige Korrelationen geprüft, um Multikollinearitäten auszuschließen. Hochkorrelierte Variablen können redundante Informationen einbringen und dadurch zusätzliches Datenrauschen verursachen, was wiederum die Modellperformance beeinträchtigen kann.</w:t>
      </w:r>
    </w:p>
    <w:p w14:paraId="34D4B2AC" w14:textId="058F0E1D" w:rsidR="00AE6CF2" w:rsidRPr="008F5EC7" w:rsidRDefault="008F5EC7" w:rsidP="008F5EC7">
      <w:pPr>
        <w:suppressAutoHyphens/>
        <w:spacing w:after="0"/>
        <w:jc w:val="both"/>
        <w:rPr>
          <w:bCs/>
          <w:sz w:val="20"/>
          <w:szCs w:val="20"/>
        </w:rPr>
      </w:pPr>
      <w:r w:rsidRPr="00C73A71">
        <w:rPr>
          <w:bCs/>
          <w:sz w:val="20"/>
          <w:szCs w:val="20"/>
        </w:rPr>
        <w:t>Zur Verbesserung der Interpretierbarkeit und Aussagekraft der Modelle</w:t>
      </w:r>
      <w:r>
        <w:rPr>
          <w:bCs/>
          <w:sz w:val="20"/>
          <w:szCs w:val="20"/>
        </w:rPr>
        <w:t xml:space="preserve"> des maschinellen Lernens</w:t>
      </w:r>
      <w:r w:rsidRPr="00C73A71">
        <w:rPr>
          <w:bCs/>
          <w:sz w:val="20"/>
          <w:szCs w:val="20"/>
        </w:rPr>
        <w:t xml:space="preserve"> wurden die von den Algorithmen generierten Vorhersagewahrscheinlichkeiten kalibriert, um die Übereinstimmung zwischen prognostizierten Wahrscheinlichkeiten und tatsächlichen Klassenzugehörigkeiten zu optimieren</w:t>
      </w:r>
      <w:r>
        <w:rPr>
          <w:bCs/>
          <w:sz w:val="20"/>
          <w:szCs w:val="20"/>
        </w:rPr>
        <w:t xml:space="preserve"> [</w:t>
      </w:r>
      <w:r w:rsidR="00E87BAD">
        <w:rPr>
          <w:bCs/>
          <w:sz w:val="20"/>
          <w:szCs w:val="20"/>
        </w:rPr>
        <w:t>4</w:t>
      </w:r>
      <w:r>
        <w:rPr>
          <w:bCs/>
          <w:sz w:val="20"/>
          <w:szCs w:val="20"/>
        </w:rPr>
        <w:t>]</w:t>
      </w:r>
      <w:r w:rsidRPr="00C73A71">
        <w:rPr>
          <w:bCs/>
          <w:sz w:val="20"/>
          <w:szCs w:val="20"/>
        </w:rPr>
        <w:t>.</w:t>
      </w:r>
      <w:r>
        <w:rPr>
          <w:bCs/>
          <w:sz w:val="20"/>
          <w:szCs w:val="20"/>
        </w:rPr>
        <w:t xml:space="preserve"> </w:t>
      </w:r>
      <w:r w:rsidRPr="00C73A71">
        <w:rPr>
          <w:sz w:val="20"/>
          <w:szCs w:val="20"/>
        </w:rPr>
        <w:t>Alle Modelle werden zunächst unter Verwendung ihrer Standardeinstellungen trainiert und anschließend anhand des zuvor separierten Testdatensatzes evaluiert.</w:t>
      </w:r>
      <w:r w:rsidR="00C15269">
        <w:rPr>
          <w:sz w:val="20"/>
          <w:szCs w:val="20"/>
        </w:rPr>
        <w:t xml:space="preserve"> </w:t>
      </w:r>
      <w:r w:rsidR="00697679" w:rsidRPr="00697679">
        <w:rPr>
          <w:sz w:val="20"/>
          <w:szCs w:val="20"/>
        </w:rPr>
        <w:t>Zur Sicherung methodischer Strenge wurde auf</w:t>
      </w:r>
      <w:r w:rsidR="00C51C6A">
        <w:rPr>
          <w:sz w:val="20"/>
          <w:szCs w:val="20"/>
        </w:rPr>
        <w:t xml:space="preserve"> eine</w:t>
      </w:r>
      <w:r w:rsidR="00697679" w:rsidRPr="00697679">
        <w:rPr>
          <w:sz w:val="20"/>
          <w:szCs w:val="20"/>
        </w:rPr>
        <w:t xml:space="preserve"> Hyperparameteroptimierung verzichtet, da </w:t>
      </w:r>
      <w:r w:rsidR="00C51C6A">
        <w:rPr>
          <w:sz w:val="20"/>
          <w:szCs w:val="20"/>
        </w:rPr>
        <w:t xml:space="preserve">ein </w:t>
      </w:r>
      <w:r w:rsidR="00697679" w:rsidRPr="00697679">
        <w:rPr>
          <w:sz w:val="20"/>
          <w:szCs w:val="20"/>
        </w:rPr>
        <w:t>exploratives Vorgehen</w:t>
      </w:r>
      <w:r w:rsidR="00C51C6A">
        <w:rPr>
          <w:sz w:val="20"/>
          <w:szCs w:val="20"/>
        </w:rPr>
        <w:t xml:space="preserve"> zur Definition des Parameterraumes </w:t>
      </w:r>
      <w:r w:rsidR="00C51C6A" w:rsidRPr="00697679">
        <w:rPr>
          <w:sz w:val="20"/>
          <w:szCs w:val="20"/>
        </w:rPr>
        <w:t>das</w:t>
      </w:r>
      <w:r w:rsidR="00697679" w:rsidRPr="00697679">
        <w:rPr>
          <w:sz w:val="20"/>
          <w:szCs w:val="20"/>
        </w:rPr>
        <w:t xml:space="preserve"> </w:t>
      </w:r>
      <w:proofErr w:type="spellStart"/>
      <w:r w:rsidR="00697679" w:rsidRPr="00697679">
        <w:rPr>
          <w:sz w:val="20"/>
          <w:szCs w:val="20"/>
        </w:rPr>
        <w:t>Overfitting</w:t>
      </w:r>
      <w:proofErr w:type="spellEnd"/>
      <w:r w:rsidR="00697679" w:rsidRPr="00697679">
        <w:rPr>
          <w:sz w:val="20"/>
          <w:szCs w:val="20"/>
        </w:rPr>
        <w:t>-Risiko erhöht</w:t>
      </w:r>
      <w:r w:rsidR="00C51C6A">
        <w:rPr>
          <w:sz w:val="20"/>
          <w:szCs w:val="20"/>
        </w:rPr>
        <w:t>.</w:t>
      </w:r>
      <w:r w:rsidR="00697679" w:rsidRPr="00697679">
        <w:rPr>
          <w:sz w:val="20"/>
          <w:szCs w:val="20"/>
        </w:rPr>
        <w:t xml:space="preserve"> </w:t>
      </w:r>
      <w:r w:rsidR="00C51C6A">
        <w:rPr>
          <w:sz w:val="20"/>
          <w:szCs w:val="20"/>
        </w:rPr>
        <w:t>D</w:t>
      </w:r>
      <w:r w:rsidR="00697679" w:rsidRPr="00697679">
        <w:rPr>
          <w:sz w:val="20"/>
          <w:szCs w:val="20"/>
        </w:rPr>
        <w:t xml:space="preserve">ie </w:t>
      </w:r>
      <w:r w:rsidR="00C51C6A">
        <w:rPr>
          <w:sz w:val="20"/>
          <w:szCs w:val="20"/>
        </w:rPr>
        <w:t>Algorithmen</w:t>
      </w:r>
      <w:r w:rsidR="00697679" w:rsidRPr="00697679">
        <w:rPr>
          <w:sz w:val="20"/>
          <w:szCs w:val="20"/>
        </w:rPr>
        <w:t xml:space="preserve"> werden daher mit</w:t>
      </w:r>
      <w:r w:rsidR="00C51C6A">
        <w:rPr>
          <w:sz w:val="20"/>
          <w:szCs w:val="20"/>
        </w:rPr>
        <w:t xml:space="preserve"> ihren</w:t>
      </w:r>
      <w:r w:rsidR="00697679" w:rsidRPr="00697679">
        <w:rPr>
          <w:sz w:val="20"/>
          <w:szCs w:val="20"/>
        </w:rPr>
        <w:t xml:space="preserve"> Standardeinstellungen trainiert und evaluiert.</w:t>
      </w:r>
    </w:p>
    <w:p w14:paraId="796C900F" w14:textId="54DF7653" w:rsidR="008F5EC7" w:rsidRDefault="008F5EC7" w:rsidP="00AE6CF2">
      <w:pPr>
        <w:suppressAutoHyphens/>
        <w:spacing w:after="0"/>
        <w:jc w:val="both"/>
        <w:rPr>
          <w:sz w:val="20"/>
          <w:szCs w:val="20"/>
        </w:rPr>
      </w:pPr>
    </w:p>
    <w:p w14:paraId="051B8A74" w14:textId="70D46837" w:rsidR="00AE6CF2" w:rsidRDefault="00AE6CF2" w:rsidP="00AE6CF2">
      <w:pPr>
        <w:suppressAutoHyphens/>
        <w:spacing w:after="0"/>
        <w:jc w:val="both"/>
        <w:rPr>
          <w:b/>
          <w:bCs/>
          <w:sz w:val="20"/>
          <w:szCs w:val="20"/>
        </w:rPr>
      </w:pPr>
      <w:r w:rsidRPr="00AE6CF2">
        <w:rPr>
          <w:b/>
          <w:bCs/>
          <w:sz w:val="20"/>
          <w:szCs w:val="20"/>
        </w:rPr>
        <w:t>Limitation</w:t>
      </w:r>
    </w:p>
    <w:p w14:paraId="79CDA35D" w14:textId="77777777" w:rsidR="00AE6CF2" w:rsidRPr="00AE6CF2" w:rsidRDefault="00AE6CF2" w:rsidP="00AE6CF2">
      <w:pPr>
        <w:suppressAutoHyphens/>
        <w:spacing w:after="0"/>
        <w:jc w:val="both"/>
        <w:rPr>
          <w:b/>
          <w:bCs/>
          <w:sz w:val="20"/>
          <w:szCs w:val="20"/>
        </w:rPr>
      </w:pPr>
    </w:p>
    <w:p w14:paraId="0DDEF78A" w14:textId="7EBF88A8" w:rsidR="00E87BAD" w:rsidRDefault="00E87BAD" w:rsidP="00E87BAD">
      <w:pPr>
        <w:suppressAutoHyphens/>
        <w:spacing w:after="0"/>
        <w:jc w:val="both"/>
        <w:rPr>
          <w:sz w:val="20"/>
          <w:szCs w:val="20"/>
        </w:rPr>
      </w:pPr>
      <w:r w:rsidRPr="00E87BAD">
        <w:rPr>
          <w:sz w:val="20"/>
          <w:szCs w:val="20"/>
        </w:rPr>
        <w:t>Durch die Behandlung der Klassenungleichheit mithilfe der SMOTE-Methode werden synthetische Daten generiert, welche möglicherweise nicht vollständig den realen Gegebenheiten entsprechen. Dadurch könnten irreführende Muster entstehen</w:t>
      </w:r>
      <w:r w:rsidR="00F416B8">
        <w:rPr>
          <w:sz w:val="20"/>
          <w:szCs w:val="20"/>
        </w:rPr>
        <w:t xml:space="preserve"> und ein </w:t>
      </w:r>
      <w:proofErr w:type="spellStart"/>
      <w:r w:rsidR="00F416B8">
        <w:rPr>
          <w:sz w:val="20"/>
          <w:szCs w:val="20"/>
        </w:rPr>
        <w:t>Overfitting</w:t>
      </w:r>
      <w:proofErr w:type="spellEnd"/>
      <w:r w:rsidR="00F416B8">
        <w:rPr>
          <w:sz w:val="20"/>
          <w:szCs w:val="20"/>
        </w:rPr>
        <w:t xml:space="preserve"> begünstigt werden</w:t>
      </w:r>
      <w:r w:rsidRPr="00E87BAD">
        <w:rPr>
          <w:sz w:val="20"/>
          <w:szCs w:val="20"/>
        </w:rPr>
        <w:t xml:space="preserve">, </w:t>
      </w:r>
      <w:r w:rsidR="00F416B8" w:rsidRPr="00F416B8">
        <w:rPr>
          <w:sz w:val="20"/>
          <w:szCs w:val="20"/>
        </w:rPr>
        <w:t>bei dem das Modell zu stark an die künstlich erzeugten Nachbar</w:t>
      </w:r>
      <w:r w:rsidR="00F416B8">
        <w:rPr>
          <w:sz w:val="20"/>
          <w:szCs w:val="20"/>
        </w:rPr>
        <w:t>n</w:t>
      </w:r>
      <w:r w:rsidR="00F416B8" w:rsidRPr="00F416B8">
        <w:rPr>
          <w:sz w:val="20"/>
          <w:szCs w:val="20"/>
        </w:rPr>
        <w:t xml:space="preserve"> angepasst ist und außerhalb der Trainingsdaten an Leistung verliert</w:t>
      </w:r>
      <w:r w:rsidRPr="00E87BAD">
        <w:rPr>
          <w:sz w:val="20"/>
          <w:szCs w:val="20"/>
        </w:rPr>
        <w:t xml:space="preserve"> [1</w:t>
      </w:r>
      <w:r>
        <w:rPr>
          <w:sz w:val="20"/>
          <w:szCs w:val="20"/>
        </w:rPr>
        <w:t>, 2</w:t>
      </w:r>
      <w:r w:rsidRPr="00E87BAD">
        <w:rPr>
          <w:sz w:val="20"/>
          <w:szCs w:val="20"/>
        </w:rPr>
        <w:t>]. Zukünftige Untersuchungen mit Folgedatensätzen könnten Aufschluss darüber geben, ob die Modellprognosen langfristig robust sind.</w:t>
      </w:r>
    </w:p>
    <w:p w14:paraId="1E88DB03" w14:textId="77777777" w:rsidR="00E87BAD" w:rsidRPr="00E87BAD" w:rsidRDefault="00E87BAD" w:rsidP="00E87BAD">
      <w:pPr>
        <w:suppressAutoHyphens/>
        <w:spacing w:after="0"/>
        <w:jc w:val="both"/>
        <w:rPr>
          <w:sz w:val="20"/>
          <w:szCs w:val="20"/>
        </w:rPr>
      </w:pPr>
    </w:p>
    <w:p w14:paraId="7C75A346" w14:textId="127B62E3" w:rsidR="00E87BAD" w:rsidRDefault="00E87BAD" w:rsidP="00E87BAD">
      <w:pPr>
        <w:suppressAutoHyphens/>
        <w:spacing w:after="0"/>
        <w:jc w:val="both"/>
        <w:rPr>
          <w:sz w:val="20"/>
          <w:szCs w:val="20"/>
        </w:rPr>
      </w:pPr>
      <w:r w:rsidRPr="00C73A71">
        <w:rPr>
          <w:sz w:val="20"/>
          <w:szCs w:val="20"/>
        </w:rPr>
        <w:t xml:space="preserve">Die Anwendung des Random </w:t>
      </w:r>
      <w:proofErr w:type="spellStart"/>
      <w:r w:rsidRPr="00C73A71">
        <w:rPr>
          <w:sz w:val="20"/>
          <w:szCs w:val="20"/>
        </w:rPr>
        <w:t>Undersampling</w:t>
      </w:r>
      <w:proofErr w:type="spellEnd"/>
      <w:r w:rsidRPr="00C73A71">
        <w:rPr>
          <w:sz w:val="20"/>
          <w:szCs w:val="20"/>
        </w:rPr>
        <w:t xml:space="preserve"> führt zu einer Reduktion realer Daten</w:t>
      </w:r>
      <w:r>
        <w:rPr>
          <w:sz w:val="20"/>
          <w:szCs w:val="20"/>
        </w:rPr>
        <w:t>sätze</w:t>
      </w:r>
      <w:r w:rsidRPr="00C73A71">
        <w:rPr>
          <w:sz w:val="20"/>
          <w:szCs w:val="20"/>
        </w:rPr>
        <w:t xml:space="preserve"> und somit potenziell zum Verlust relevanter Informationen. Dies könnte die Fähigkeit des Modells beeinträchtigen, essenzielle Muster vollständig zu erfassen und präzise Prognosen zu erstellen [1</w:t>
      </w:r>
      <w:r>
        <w:rPr>
          <w:sz w:val="20"/>
          <w:szCs w:val="20"/>
        </w:rPr>
        <w:t>, 2</w:t>
      </w:r>
      <w:r w:rsidRPr="00C73A71">
        <w:rPr>
          <w:sz w:val="20"/>
          <w:szCs w:val="20"/>
        </w:rPr>
        <w:t>].</w:t>
      </w:r>
    </w:p>
    <w:p w14:paraId="228D49ED" w14:textId="2159E111" w:rsidR="00C36136" w:rsidRDefault="00C36136" w:rsidP="00E87BAD">
      <w:pPr>
        <w:suppressAutoHyphens/>
        <w:spacing w:after="0"/>
        <w:jc w:val="both"/>
        <w:rPr>
          <w:sz w:val="20"/>
          <w:szCs w:val="20"/>
        </w:rPr>
      </w:pPr>
    </w:p>
    <w:p w14:paraId="101C0619" w14:textId="09E35407" w:rsidR="00C36136" w:rsidRDefault="00C36136" w:rsidP="00E87BAD">
      <w:pPr>
        <w:suppressAutoHyphens/>
        <w:spacing w:after="0"/>
        <w:jc w:val="both"/>
        <w:rPr>
          <w:sz w:val="20"/>
          <w:szCs w:val="20"/>
        </w:rPr>
      </w:pPr>
      <w:r w:rsidRPr="00C36136">
        <w:rPr>
          <w:sz w:val="20"/>
          <w:szCs w:val="20"/>
        </w:rPr>
        <w:t>Die Modellierung basiert auf Erstbegutachtungen eines definierten Jahres und unterliegt damit potenziellen zeitlichen Verzerrungen.</w:t>
      </w:r>
      <w:r>
        <w:rPr>
          <w:sz w:val="20"/>
          <w:szCs w:val="20"/>
        </w:rPr>
        <w:t xml:space="preserve"> </w:t>
      </w:r>
      <w:r w:rsidR="001C6207">
        <w:rPr>
          <w:sz w:val="20"/>
          <w:szCs w:val="20"/>
        </w:rPr>
        <w:t xml:space="preserve">Gesellschaftlich relevante Ereignisse wie eine Pandemie, </w:t>
      </w:r>
      <w:r w:rsidRPr="00C36136">
        <w:rPr>
          <w:sz w:val="20"/>
          <w:szCs w:val="20"/>
        </w:rPr>
        <w:t xml:space="preserve">Veränderungen in Versorgungsstrukturen oder Begutachtungsleitlinien können zu Daten- bzw. Konzeptdrift führen und die </w:t>
      </w:r>
      <w:r w:rsidR="001C6207">
        <w:rPr>
          <w:sz w:val="20"/>
          <w:szCs w:val="20"/>
        </w:rPr>
        <w:t>Leistungsfähigkeit von Prognosen spürbar beeinflussen</w:t>
      </w:r>
      <w:r w:rsidRPr="00C36136">
        <w:rPr>
          <w:sz w:val="20"/>
          <w:szCs w:val="20"/>
        </w:rPr>
        <w:t>.</w:t>
      </w:r>
      <w:r w:rsidR="001C6207">
        <w:rPr>
          <w:sz w:val="20"/>
          <w:szCs w:val="20"/>
        </w:rPr>
        <w:t xml:space="preserve"> </w:t>
      </w:r>
      <w:r w:rsidR="001C6207" w:rsidRPr="001C6207">
        <w:rPr>
          <w:sz w:val="20"/>
          <w:szCs w:val="20"/>
        </w:rPr>
        <w:t>Empirische Befunde zeigen, dass sich die Leistungsfähigkeit prädiktiver Modelle im Zuge der COVID-19-Pandemie messbar verschlechterte, was die Notwendigkeit zeitlicher Validierung und fortlaufenden Monitorings unterstreicht</w:t>
      </w:r>
      <w:r w:rsidR="001C6207">
        <w:rPr>
          <w:sz w:val="20"/>
          <w:szCs w:val="20"/>
        </w:rPr>
        <w:t xml:space="preserve"> [5]</w:t>
      </w:r>
    </w:p>
    <w:p w14:paraId="711B339B" w14:textId="47F30FD2" w:rsidR="00814A2A" w:rsidRDefault="00814A2A" w:rsidP="00E87BAD">
      <w:pPr>
        <w:suppressAutoHyphens/>
        <w:spacing w:after="0"/>
        <w:jc w:val="both"/>
        <w:rPr>
          <w:sz w:val="20"/>
          <w:szCs w:val="20"/>
        </w:rPr>
      </w:pPr>
    </w:p>
    <w:p w14:paraId="52B2BB29" w14:textId="24BEA90D" w:rsidR="00814A2A" w:rsidRDefault="00A675ED" w:rsidP="00E87BAD">
      <w:pPr>
        <w:suppressAutoHyphens/>
        <w:spacing w:after="0"/>
        <w:jc w:val="both"/>
        <w:rPr>
          <w:sz w:val="20"/>
          <w:szCs w:val="20"/>
        </w:rPr>
      </w:pPr>
      <w:r w:rsidRPr="00A675ED">
        <w:rPr>
          <w:sz w:val="20"/>
          <w:szCs w:val="20"/>
        </w:rPr>
        <w:lastRenderedPageBreak/>
        <w:t xml:space="preserve">Die Datenerhebung im Begutachtungsverfahren umfasst </w:t>
      </w:r>
      <w:r>
        <w:rPr>
          <w:sz w:val="20"/>
          <w:szCs w:val="20"/>
        </w:rPr>
        <w:t>vorwiegend</w:t>
      </w:r>
      <w:r w:rsidRPr="00A675ED">
        <w:rPr>
          <w:sz w:val="20"/>
          <w:szCs w:val="20"/>
        </w:rPr>
        <w:t xml:space="preserve"> Variablen</w:t>
      </w:r>
      <w:r>
        <w:rPr>
          <w:sz w:val="20"/>
          <w:szCs w:val="20"/>
        </w:rPr>
        <w:t>,</w:t>
      </w:r>
      <w:r w:rsidRPr="00A675ED">
        <w:rPr>
          <w:sz w:val="20"/>
          <w:szCs w:val="20"/>
        </w:rPr>
        <w:t xml:space="preserve"> die im Rahmen sozialer Interaktion entstehen. </w:t>
      </w:r>
      <w:r w:rsidR="00A148D5">
        <w:rPr>
          <w:sz w:val="20"/>
          <w:szCs w:val="20"/>
        </w:rPr>
        <w:t>A</w:t>
      </w:r>
      <w:r w:rsidRPr="00A675ED">
        <w:rPr>
          <w:sz w:val="20"/>
          <w:szCs w:val="20"/>
        </w:rPr>
        <w:t>us systemischer Perspektive betont, werden Wahrnehmung und Bewertung in solchen Interaktionssituationen durch Rollenerwartungen, Werthaltungen und Interaktionskompetenzen der Beteiligten mitgeprägt</w:t>
      </w:r>
      <w:r w:rsidR="00A148D5">
        <w:rPr>
          <w:sz w:val="20"/>
          <w:szCs w:val="20"/>
        </w:rPr>
        <w:t>.</w:t>
      </w:r>
      <w:r w:rsidRPr="00A675ED">
        <w:rPr>
          <w:sz w:val="20"/>
          <w:szCs w:val="20"/>
        </w:rPr>
        <w:t xml:space="preserve"> </w:t>
      </w:r>
      <w:r w:rsidR="00A148D5">
        <w:rPr>
          <w:sz w:val="20"/>
          <w:szCs w:val="20"/>
        </w:rPr>
        <w:t>H</w:t>
      </w:r>
      <w:r w:rsidRPr="00A675ED">
        <w:rPr>
          <w:sz w:val="20"/>
          <w:szCs w:val="20"/>
        </w:rPr>
        <w:t xml:space="preserve">inzu kommen potenziell persönliche Beziehungen und Sympathien zwischen </w:t>
      </w:r>
      <w:r w:rsidR="004C24F0">
        <w:rPr>
          <w:sz w:val="20"/>
          <w:szCs w:val="20"/>
        </w:rPr>
        <w:t>g</w:t>
      </w:r>
      <w:r w:rsidRPr="00A675ED">
        <w:rPr>
          <w:sz w:val="20"/>
          <w:szCs w:val="20"/>
        </w:rPr>
        <w:t>utachte</w:t>
      </w:r>
      <w:r w:rsidR="004C24F0">
        <w:rPr>
          <w:sz w:val="20"/>
          <w:szCs w:val="20"/>
        </w:rPr>
        <w:t xml:space="preserve">nden </w:t>
      </w:r>
      <w:r w:rsidRPr="00A675ED">
        <w:rPr>
          <w:sz w:val="20"/>
          <w:szCs w:val="20"/>
        </w:rPr>
        <w:t xml:space="preserve">und </w:t>
      </w:r>
      <w:r w:rsidR="004C24F0">
        <w:rPr>
          <w:sz w:val="20"/>
          <w:szCs w:val="20"/>
        </w:rPr>
        <w:t>a</w:t>
      </w:r>
      <w:r w:rsidRPr="00A675ED">
        <w:rPr>
          <w:sz w:val="20"/>
          <w:szCs w:val="20"/>
        </w:rPr>
        <w:t>ntragstellenden</w:t>
      </w:r>
      <w:r w:rsidR="004C24F0">
        <w:rPr>
          <w:sz w:val="20"/>
          <w:szCs w:val="20"/>
        </w:rPr>
        <w:t xml:space="preserve"> Personen</w:t>
      </w:r>
      <w:r w:rsidRPr="00A675ED">
        <w:rPr>
          <w:sz w:val="20"/>
          <w:szCs w:val="20"/>
        </w:rPr>
        <w:t xml:space="preserve">. Vor diesem Hintergrund ist die Erhebung kein neutraler Anwendungsvorgang „wissenschaftlicher Methodik“, sondern Teil eines sozialrechtlich geregelten Begutachtungsaktes, dessen Ergebnisse analytisch </w:t>
      </w:r>
      <w:r>
        <w:rPr>
          <w:sz w:val="20"/>
          <w:szCs w:val="20"/>
        </w:rPr>
        <w:t>ge</w:t>
      </w:r>
      <w:r w:rsidRPr="00A675ED">
        <w:rPr>
          <w:sz w:val="20"/>
          <w:szCs w:val="20"/>
        </w:rPr>
        <w:t>nutz</w:t>
      </w:r>
      <w:r>
        <w:rPr>
          <w:sz w:val="20"/>
          <w:szCs w:val="20"/>
        </w:rPr>
        <w:t>t</w:t>
      </w:r>
      <w:r w:rsidRPr="00A675ED">
        <w:rPr>
          <w:sz w:val="20"/>
          <w:szCs w:val="20"/>
        </w:rPr>
        <w:t xml:space="preserve"> und dessen kontextabhängige Deutung in der Interpretation berücksichtigen</w:t>
      </w:r>
      <w:r>
        <w:rPr>
          <w:sz w:val="20"/>
          <w:szCs w:val="20"/>
        </w:rPr>
        <w:t xml:space="preserve"> werden sollte</w:t>
      </w:r>
      <w:r w:rsidR="00A148D5">
        <w:rPr>
          <w:sz w:val="20"/>
          <w:szCs w:val="20"/>
        </w:rPr>
        <w:t xml:space="preserve"> [6]</w:t>
      </w:r>
      <w:r w:rsidRPr="00A675ED">
        <w:rPr>
          <w:sz w:val="20"/>
          <w:szCs w:val="20"/>
        </w:rPr>
        <w:t>.</w:t>
      </w:r>
    </w:p>
    <w:p w14:paraId="08920949" w14:textId="657AEA1E" w:rsidR="00A675ED" w:rsidRDefault="00A675ED" w:rsidP="00E87BAD">
      <w:pPr>
        <w:suppressAutoHyphens/>
        <w:spacing w:after="0"/>
        <w:jc w:val="both"/>
        <w:rPr>
          <w:sz w:val="20"/>
          <w:szCs w:val="20"/>
        </w:rPr>
      </w:pPr>
    </w:p>
    <w:p w14:paraId="37746E5F" w14:textId="41681D2E" w:rsidR="00A675ED" w:rsidRDefault="008F68D4" w:rsidP="00E87BAD">
      <w:pPr>
        <w:suppressAutoHyphens/>
        <w:spacing w:after="0"/>
        <w:jc w:val="both"/>
        <w:rPr>
          <w:sz w:val="20"/>
          <w:szCs w:val="20"/>
        </w:rPr>
      </w:pPr>
      <w:r w:rsidRPr="008F68D4">
        <w:rPr>
          <w:sz w:val="20"/>
          <w:szCs w:val="20"/>
        </w:rPr>
        <w:t>Auch die Regionalität kann die Prognoseleistung der Modelle beeinflussen. Der Datensatz umfasst ausschließlich</w:t>
      </w:r>
      <w:r>
        <w:rPr>
          <w:sz w:val="20"/>
          <w:szCs w:val="20"/>
        </w:rPr>
        <w:t xml:space="preserve"> Daten der Erstgutachten aus</w:t>
      </w:r>
      <w:r w:rsidRPr="008F68D4">
        <w:rPr>
          <w:sz w:val="20"/>
          <w:szCs w:val="20"/>
        </w:rPr>
        <w:t xml:space="preserve"> Bayern und repräsentiert damit einen spezifischen demografischen, strukturellen und versorgungspolitischen Kontext. Eine Übertragbarkeit auf andere Bundesländer ist nicht gesichert, da Unterschiede in Prävalenzen, Versorgungsdichte und regionalspezifischen Unterstützungsangeboten</w:t>
      </w:r>
      <w:r>
        <w:rPr>
          <w:sz w:val="20"/>
          <w:szCs w:val="20"/>
        </w:rPr>
        <w:t xml:space="preserve"> im Bereich der privaten pflegerischen Pflege</w:t>
      </w:r>
      <w:r w:rsidRPr="008F68D4">
        <w:rPr>
          <w:sz w:val="20"/>
          <w:szCs w:val="20"/>
        </w:rPr>
        <w:t xml:space="preserve"> die Verteilungen der Eingangsvariablen sowie die Beziehung zwischen Merkmalen und Outcome verändern können . Solche Verschiebungen können die </w:t>
      </w:r>
      <w:r>
        <w:rPr>
          <w:sz w:val="20"/>
          <w:szCs w:val="20"/>
        </w:rPr>
        <w:t>Trennfähigkeit</w:t>
      </w:r>
      <w:r w:rsidRPr="008F68D4">
        <w:rPr>
          <w:sz w:val="20"/>
          <w:szCs w:val="20"/>
        </w:rPr>
        <w:t xml:space="preserve"> </w:t>
      </w:r>
      <w:r>
        <w:rPr>
          <w:sz w:val="20"/>
          <w:szCs w:val="20"/>
        </w:rPr>
        <w:t>und damit die Leistungsfähigkeit</w:t>
      </w:r>
      <w:r w:rsidRPr="008F68D4">
        <w:rPr>
          <w:sz w:val="20"/>
          <w:szCs w:val="20"/>
        </w:rPr>
        <w:t xml:space="preserve"> der Modelle mindern. Externe Validierungen mit Daten aus weiteren Bundesländern sind daher angezeigt, um die Transportierbarkeit </w:t>
      </w:r>
      <w:r>
        <w:rPr>
          <w:sz w:val="20"/>
          <w:szCs w:val="20"/>
        </w:rPr>
        <w:t>solcher Pr</w:t>
      </w:r>
      <w:r w:rsidR="004C24F0">
        <w:rPr>
          <w:sz w:val="20"/>
          <w:szCs w:val="20"/>
        </w:rPr>
        <w:t>o</w:t>
      </w:r>
      <w:r>
        <w:rPr>
          <w:sz w:val="20"/>
          <w:szCs w:val="20"/>
        </w:rPr>
        <w:t>gnosemodelle zu analysieren</w:t>
      </w:r>
      <w:bookmarkStart w:id="0" w:name="_GoBack"/>
      <w:bookmarkEnd w:id="0"/>
      <w:r w:rsidR="00A148D5">
        <w:rPr>
          <w:sz w:val="20"/>
          <w:szCs w:val="20"/>
        </w:rPr>
        <w:t xml:space="preserve"> [7]</w:t>
      </w:r>
      <w:r w:rsidRPr="008F68D4">
        <w:rPr>
          <w:sz w:val="20"/>
          <w:szCs w:val="20"/>
        </w:rPr>
        <w:t>.</w:t>
      </w:r>
    </w:p>
    <w:p w14:paraId="1B7FB8BD" w14:textId="77777777" w:rsidR="00E87BAD" w:rsidRDefault="00E87BAD" w:rsidP="00AE6CF2">
      <w:pPr>
        <w:suppressAutoHyphens/>
        <w:spacing w:after="0"/>
        <w:jc w:val="both"/>
        <w:rPr>
          <w:sz w:val="20"/>
          <w:szCs w:val="20"/>
        </w:rPr>
      </w:pPr>
    </w:p>
    <w:p w14:paraId="0A3D270E" w14:textId="2C46FC04" w:rsidR="00A47068" w:rsidRPr="007724B8" w:rsidRDefault="00EF620B" w:rsidP="00EF620B">
      <w:pPr>
        <w:suppressAutoHyphens/>
        <w:spacing w:after="0"/>
        <w:jc w:val="both"/>
        <w:rPr>
          <w:b/>
          <w:bCs/>
          <w:sz w:val="20"/>
          <w:szCs w:val="20"/>
          <w:lang w:val="en-US"/>
        </w:rPr>
      </w:pPr>
      <w:r w:rsidRPr="007724B8">
        <w:rPr>
          <w:b/>
          <w:bCs/>
          <w:sz w:val="20"/>
          <w:szCs w:val="20"/>
          <w:lang w:val="en-US"/>
        </w:rPr>
        <w:t>Literatur</w:t>
      </w:r>
    </w:p>
    <w:p w14:paraId="3A3EE571" w14:textId="77777777" w:rsidR="00EF620B" w:rsidRPr="007724B8" w:rsidRDefault="00EF620B" w:rsidP="00EF620B">
      <w:pPr>
        <w:suppressAutoHyphens/>
        <w:spacing w:after="0"/>
        <w:jc w:val="both"/>
        <w:rPr>
          <w:b/>
          <w:bCs/>
          <w:sz w:val="20"/>
          <w:szCs w:val="20"/>
          <w:lang w:val="en-US"/>
        </w:rPr>
      </w:pPr>
    </w:p>
    <w:p w14:paraId="32FF38AB" w14:textId="4FB8AACB" w:rsidR="002F7A78" w:rsidRPr="009A5985" w:rsidRDefault="00BE4E1B" w:rsidP="002F7A78">
      <w:pPr>
        <w:rPr>
          <w:rFonts w:ascii="Segoe UI" w:hAnsi="Segoe UI" w:cs="Segoe UI"/>
          <w:sz w:val="18"/>
          <w:szCs w:val="18"/>
          <w:lang w:val="en-US"/>
        </w:rPr>
      </w:pPr>
      <w:r>
        <w:rPr>
          <w:rFonts w:ascii="Segoe UI" w:hAnsi="Segoe UI" w:cs="Segoe UI"/>
          <w:sz w:val="18"/>
          <w:szCs w:val="18"/>
          <w:lang w:val="en-US"/>
        </w:rPr>
        <w:t>1.</w:t>
      </w:r>
      <w:r w:rsidR="002F7A78" w:rsidRPr="002F7A78">
        <w:rPr>
          <w:lang w:val="en-US"/>
        </w:rPr>
        <w:t xml:space="preserve"> </w:t>
      </w:r>
      <w:r w:rsidR="002F7A78" w:rsidRPr="002F7A78">
        <w:rPr>
          <w:rFonts w:ascii="Segoe UI" w:hAnsi="Segoe UI" w:cs="Segoe UI"/>
          <w:sz w:val="18"/>
          <w:szCs w:val="18"/>
          <w:lang w:val="en-US"/>
        </w:rPr>
        <w:t xml:space="preserve">Chawla NV, Bowyer KW, Hall LO et al. </w:t>
      </w:r>
      <w:r w:rsidR="002F7A78" w:rsidRPr="00BD5C58">
        <w:rPr>
          <w:rFonts w:ascii="Segoe UI" w:hAnsi="Segoe UI" w:cs="Segoe UI"/>
          <w:sz w:val="18"/>
          <w:szCs w:val="18"/>
          <w:lang w:val="en-US"/>
        </w:rPr>
        <w:t xml:space="preserve">(2002) SMOTE: Synthetic Minority Over-sampling Technique. </w:t>
      </w:r>
      <w:proofErr w:type="spellStart"/>
      <w:r w:rsidR="002F7A78" w:rsidRPr="00BD5C58">
        <w:rPr>
          <w:rFonts w:ascii="Segoe UI" w:hAnsi="Segoe UI" w:cs="Segoe UI"/>
          <w:sz w:val="18"/>
          <w:szCs w:val="18"/>
          <w:lang w:val="en-US"/>
        </w:rPr>
        <w:t>jair</w:t>
      </w:r>
      <w:proofErr w:type="spellEnd"/>
      <w:r w:rsidR="002F7A78" w:rsidRPr="00BD5C58">
        <w:rPr>
          <w:rFonts w:ascii="Segoe UI" w:hAnsi="Segoe UI" w:cs="Segoe UI"/>
          <w:sz w:val="18"/>
          <w:szCs w:val="18"/>
          <w:lang w:val="en-US"/>
        </w:rPr>
        <w:t xml:space="preserve"> 16:321–357. </w:t>
      </w:r>
      <w:hyperlink r:id="rId6" w:history="1">
        <w:r w:rsidR="002F7A78" w:rsidRPr="00BD5C58">
          <w:rPr>
            <w:rStyle w:val="Hyperlink"/>
            <w:rFonts w:ascii="Segoe UI" w:hAnsi="Segoe UI" w:cs="Segoe UI"/>
            <w:sz w:val="18"/>
            <w:szCs w:val="18"/>
            <w:lang w:val="en-US"/>
          </w:rPr>
          <w:t>https://doi.org/10.1613/jair.953</w:t>
        </w:r>
      </w:hyperlink>
      <w:r w:rsidR="002F7A78" w:rsidRPr="00BD5C58">
        <w:rPr>
          <w:rFonts w:ascii="Segoe UI" w:hAnsi="Segoe UI" w:cs="Segoe UI"/>
          <w:sz w:val="18"/>
          <w:szCs w:val="18"/>
          <w:lang w:val="en-US"/>
        </w:rPr>
        <w:t>.</w:t>
      </w:r>
    </w:p>
    <w:p w14:paraId="042DB797" w14:textId="23FD01E6" w:rsidR="002F7A78" w:rsidRPr="009A5985" w:rsidRDefault="00BE4E1B" w:rsidP="002F7A78">
      <w:pPr>
        <w:rPr>
          <w:rFonts w:ascii="Segoe UI" w:hAnsi="Segoe UI" w:cs="Segoe UI"/>
          <w:sz w:val="18"/>
          <w:szCs w:val="18"/>
          <w:lang w:val="en-US"/>
        </w:rPr>
      </w:pPr>
      <w:r>
        <w:rPr>
          <w:rFonts w:ascii="Segoe UI" w:hAnsi="Segoe UI" w:cs="Segoe UI"/>
          <w:sz w:val="18"/>
          <w:szCs w:val="18"/>
          <w:lang w:val="en-US"/>
        </w:rPr>
        <w:t>2</w:t>
      </w:r>
      <w:r w:rsidR="002F7A78">
        <w:rPr>
          <w:rFonts w:ascii="Segoe UI" w:hAnsi="Segoe UI" w:cs="Segoe UI"/>
          <w:sz w:val="18"/>
          <w:szCs w:val="18"/>
          <w:lang w:val="en-US"/>
        </w:rPr>
        <w:t xml:space="preserve">. </w:t>
      </w:r>
      <w:r w:rsidR="002F7A78" w:rsidRPr="00BD5C58">
        <w:rPr>
          <w:rFonts w:ascii="Segoe UI" w:hAnsi="Segoe UI" w:cs="Segoe UI"/>
          <w:sz w:val="18"/>
          <w:szCs w:val="18"/>
          <w:lang w:val="en-US"/>
        </w:rPr>
        <w:t xml:space="preserve">Yin Q, Ye X, Huang B et al. (2023) Stroke Risk Prediction: Comparing Different Sampling Algorithms. IJACSA 14. </w:t>
      </w:r>
      <w:hyperlink r:id="rId7" w:history="1">
        <w:r w:rsidR="002F7A78" w:rsidRPr="00BD5C58">
          <w:rPr>
            <w:rStyle w:val="Hyperlink"/>
            <w:rFonts w:ascii="Segoe UI" w:hAnsi="Segoe UI" w:cs="Segoe UI"/>
            <w:sz w:val="18"/>
            <w:szCs w:val="18"/>
            <w:lang w:val="en-US"/>
          </w:rPr>
          <w:t>https://doi.org/10.14569/ijacsa.2023.01406115</w:t>
        </w:r>
      </w:hyperlink>
      <w:r w:rsidR="002F7A78" w:rsidRPr="00BD5C58">
        <w:rPr>
          <w:rFonts w:ascii="Segoe UI" w:hAnsi="Segoe UI" w:cs="Segoe UI"/>
          <w:sz w:val="18"/>
          <w:szCs w:val="18"/>
          <w:lang w:val="en-US"/>
        </w:rPr>
        <w:t>.</w:t>
      </w:r>
    </w:p>
    <w:p w14:paraId="45896B82" w14:textId="3E6A484A" w:rsidR="002F7A78" w:rsidRDefault="00BE4E1B" w:rsidP="002F7A78">
      <w:pPr>
        <w:rPr>
          <w:rFonts w:ascii="Segoe UI" w:hAnsi="Segoe UI" w:cs="Segoe UI"/>
          <w:sz w:val="18"/>
          <w:szCs w:val="18"/>
          <w:lang w:val="en-US"/>
        </w:rPr>
      </w:pPr>
      <w:r>
        <w:rPr>
          <w:rFonts w:ascii="Segoe UI" w:hAnsi="Segoe UI" w:cs="Segoe UI"/>
          <w:sz w:val="18"/>
          <w:szCs w:val="18"/>
          <w:lang w:val="en-US"/>
        </w:rPr>
        <w:t>3</w:t>
      </w:r>
      <w:r w:rsidR="002F7A78">
        <w:rPr>
          <w:rFonts w:ascii="Segoe UI" w:hAnsi="Segoe UI" w:cs="Segoe UI"/>
          <w:sz w:val="18"/>
          <w:szCs w:val="18"/>
          <w:lang w:val="en-US"/>
        </w:rPr>
        <w:t xml:space="preserve">. </w:t>
      </w:r>
      <w:proofErr w:type="spellStart"/>
      <w:r w:rsidR="002F7A78" w:rsidRPr="00BD5C58">
        <w:rPr>
          <w:rFonts w:ascii="Segoe UI" w:hAnsi="Segoe UI" w:cs="Segoe UI"/>
          <w:sz w:val="18"/>
          <w:szCs w:val="18"/>
          <w:lang w:val="en-US"/>
        </w:rPr>
        <w:t>Mohtasham</w:t>
      </w:r>
      <w:proofErr w:type="spellEnd"/>
      <w:r w:rsidR="002F7A78" w:rsidRPr="00BD5C58">
        <w:rPr>
          <w:rFonts w:ascii="Segoe UI" w:hAnsi="Segoe UI" w:cs="Segoe UI"/>
          <w:sz w:val="18"/>
          <w:szCs w:val="18"/>
          <w:lang w:val="en-US"/>
        </w:rPr>
        <w:t xml:space="preserve"> F, </w:t>
      </w:r>
      <w:proofErr w:type="spellStart"/>
      <w:r w:rsidR="002F7A78" w:rsidRPr="00BD5C58">
        <w:rPr>
          <w:rFonts w:ascii="Segoe UI" w:hAnsi="Segoe UI" w:cs="Segoe UI"/>
          <w:sz w:val="18"/>
          <w:szCs w:val="18"/>
          <w:lang w:val="en-US"/>
        </w:rPr>
        <w:t>Pourhoseingholi</w:t>
      </w:r>
      <w:proofErr w:type="spellEnd"/>
      <w:r w:rsidR="002F7A78" w:rsidRPr="00BD5C58">
        <w:rPr>
          <w:rFonts w:ascii="Segoe UI" w:hAnsi="Segoe UI" w:cs="Segoe UI"/>
          <w:sz w:val="18"/>
          <w:szCs w:val="18"/>
          <w:lang w:val="en-US"/>
        </w:rPr>
        <w:t xml:space="preserve"> M, Hashemi Nazari SS et al. (2024) Comparative analysis of feature selection techniques for COVID-19 dataset. Scientific Reports 14:18627. </w:t>
      </w:r>
      <w:hyperlink r:id="rId8" w:history="1">
        <w:r w:rsidR="002F7A78" w:rsidRPr="00BD5C58">
          <w:rPr>
            <w:rStyle w:val="Hyperlink"/>
            <w:rFonts w:ascii="Segoe UI" w:hAnsi="Segoe UI" w:cs="Segoe UI"/>
            <w:sz w:val="18"/>
            <w:szCs w:val="18"/>
            <w:lang w:val="en-US"/>
          </w:rPr>
          <w:t>https://doi.org/10.1038/s41598-024-69209-6</w:t>
        </w:r>
      </w:hyperlink>
      <w:r w:rsidR="002F7A78" w:rsidRPr="00BD5C58">
        <w:rPr>
          <w:rFonts w:ascii="Segoe UI" w:hAnsi="Segoe UI" w:cs="Segoe UI"/>
          <w:sz w:val="18"/>
          <w:szCs w:val="18"/>
          <w:lang w:val="en-US"/>
        </w:rPr>
        <w:t>.</w:t>
      </w:r>
    </w:p>
    <w:p w14:paraId="00B5898D" w14:textId="368736D4" w:rsidR="008F5EC7" w:rsidRDefault="00E87BAD" w:rsidP="008F5EC7">
      <w:pPr>
        <w:rPr>
          <w:rFonts w:ascii="Segoe UI" w:hAnsi="Segoe UI" w:cs="Segoe UI"/>
          <w:sz w:val="18"/>
          <w:szCs w:val="18"/>
          <w:lang w:val="en-US"/>
        </w:rPr>
      </w:pPr>
      <w:r>
        <w:rPr>
          <w:rFonts w:ascii="Segoe UI" w:hAnsi="Segoe UI" w:cs="Segoe UI"/>
          <w:sz w:val="18"/>
          <w:szCs w:val="18"/>
          <w:lang w:val="en-US"/>
        </w:rPr>
        <w:t>4</w:t>
      </w:r>
      <w:r w:rsidR="008F5EC7">
        <w:rPr>
          <w:rFonts w:ascii="Segoe UI" w:hAnsi="Segoe UI" w:cs="Segoe UI"/>
          <w:sz w:val="18"/>
          <w:szCs w:val="18"/>
          <w:lang w:val="en-US"/>
        </w:rPr>
        <w:t>.</w:t>
      </w:r>
      <w:r w:rsidR="008F5EC7" w:rsidRPr="0075491E">
        <w:rPr>
          <w:rFonts w:ascii="Segoe UI" w:hAnsi="Segoe UI" w:cs="Segoe UI"/>
          <w:sz w:val="18"/>
          <w:szCs w:val="18"/>
          <w:lang w:val="en-US"/>
        </w:rPr>
        <w:t xml:space="preserve"> </w:t>
      </w:r>
      <w:r w:rsidR="008F5EC7" w:rsidRPr="007E5F22">
        <w:rPr>
          <w:rFonts w:ascii="Segoe UI" w:hAnsi="Segoe UI" w:cs="Segoe UI"/>
          <w:sz w:val="18"/>
          <w:szCs w:val="18"/>
          <w:lang w:val="en-US"/>
        </w:rPr>
        <w:t xml:space="preserve">van </w:t>
      </w:r>
      <w:proofErr w:type="spellStart"/>
      <w:r w:rsidR="008F5EC7" w:rsidRPr="007E5F22">
        <w:rPr>
          <w:rFonts w:ascii="Segoe UI" w:hAnsi="Segoe UI" w:cs="Segoe UI"/>
          <w:sz w:val="18"/>
          <w:szCs w:val="18"/>
          <w:lang w:val="en-US"/>
        </w:rPr>
        <w:t>Calster</w:t>
      </w:r>
      <w:proofErr w:type="spellEnd"/>
      <w:r w:rsidR="008F5EC7" w:rsidRPr="007E5F22">
        <w:rPr>
          <w:rFonts w:ascii="Segoe UI" w:hAnsi="Segoe UI" w:cs="Segoe UI"/>
          <w:sz w:val="18"/>
          <w:szCs w:val="18"/>
          <w:lang w:val="en-US"/>
        </w:rPr>
        <w:t xml:space="preserve"> B, </w:t>
      </w:r>
      <w:proofErr w:type="spellStart"/>
      <w:r w:rsidR="008F5EC7" w:rsidRPr="007E5F22">
        <w:rPr>
          <w:rFonts w:ascii="Segoe UI" w:hAnsi="Segoe UI" w:cs="Segoe UI"/>
          <w:sz w:val="18"/>
          <w:szCs w:val="18"/>
          <w:lang w:val="en-US"/>
        </w:rPr>
        <w:t>McLernon</w:t>
      </w:r>
      <w:proofErr w:type="spellEnd"/>
      <w:r w:rsidR="008F5EC7" w:rsidRPr="007E5F22">
        <w:rPr>
          <w:rFonts w:ascii="Segoe UI" w:hAnsi="Segoe UI" w:cs="Segoe UI"/>
          <w:sz w:val="18"/>
          <w:szCs w:val="18"/>
          <w:lang w:val="en-US"/>
        </w:rPr>
        <w:t xml:space="preserve"> DJ, van </w:t>
      </w:r>
      <w:proofErr w:type="spellStart"/>
      <w:r w:rsidR="008F5EC7" w:rsidRPr="007E5F22">
        <w:rPr>
          <w:rFonts w:ascii="Segoe UI" w:hAnsi="Segoe UI" w:cs="Segoe UI"/>
          <w:sz w:val="18"/>
          <w:szCs w:val="18"/>
          <w:lang w:val="en-US"/>
        </w:rPr>
        <w:t>Smeden</w:t>
      </w:r>
      <w:proofErr w:type="spellEnd"/>
      <w:r w:rsidR="008F5EC7" w:rsidRPr="007E5F22">
        <w:rPr>
          <w:rFonts w:ascii="Segoe UI" w:hAnsi="Segoe UI" w:cs="Segoe UI"/>
          <w:sz w:val="18"/>
          <w:szCs w:val="18"/>
          <w:lang w:val="en-US"/>
        </w:rPr>
        <w:t xml:space="preserve"> M et al. (2019) Calibration: the Achilles heel of predictive analytics. BMC Med 17:230. </w:t>
      </w:r>
      <w:hyperlink r:id="rId9" w:history="1">
        <w:r w:rsidR="008F5EC7" w:rsidRPr="007E5F22">
          <w:rPr>
            <w:rStyle w:val="Hyperlink"/>
            <w:rFonts w:ascii="Segoe UI" w:hAnsi="Segoe UI" w:cs="Segoe UI"/>
            <w:sz w:val="18"/>
            <w:szCs w:val="18"/>
            <w:lang w:val="en-US"/>
          </w:rPr>
          <w:t>https://doi.org/10.1186/s12916-019-1466-7</w:t>
        </w:r>
      </w:hyperlink>
      <w:r w:rsidR="008F5EC7" w:rsidRPr="007E5F22">
        <w:rPr>
          <w:rFonts w:ascii="Segoe UI" w:hAnsi="Segoe UI" w:cs="Segoe UI"/>
          <w:sz w:val="18"/>
          <w:szCs w:val="18"/>
          <w:lang w:val="en-US"/>
        </w:rPr>
        <w:t>.</w:t>
      </w:r>
    </w:p>
    <w:p w14:paraId="7C4F3642" w14:textId="03168866" w:rsidR="00C36136" w:rsidRPr="009A5985" w:rsidRDefault="00C36136" w:rsidP="008F5EC7">
      <w:pPr>
        <w:rPr>
          <w:b/>
          <w:bCs/>
          <w:lang w:val="en-US"/>
        </w:rPr>
      </w:pPr>
      <w:r>
        <w:rPr>
          <w:rFonts w:ascii="Segoe UI" w:hAnsi="Segoe UI" w:cs="Segoe UI"/>
          <w:sz w:val="18"/>
          <w:szCs w:val="18"/>
          <w:lang w:val="en-US"/>
        </w:rPr>
        <w:t>5</w:t>
      </w:r>
      <w:r w:rsidRPr="00C36136">
        <w:rPr>
          <w:rFonts w:ascii="Segoe UI" w:hAnsi="Segoe UI" w:cs="Segoe UI"/>
          <w:sz w:val="18"/>
          <w:szCs w:val="18"/>
          <w:lang w:val="en-US"/>
        </w:rPr>
        <w:t xml:space="preserve">. </w:t>
      </w:r>
      <w:proofErr w:type="spellStart"/>
      <w:r w:rsidRPr="00C36136">
        <w:rPr>
          <w:rFonts w:ascii="Segoe UI" w:hAnsi="Segoe UI" w:cs="Segoe UI"/>
          <w:sz w:val="18"/>
          <w:szCs w:val="18"/>
          <w:lang w:val="en-US"/>
        </w:rPr>
        <w:t>Kagerbauer</w:t>
      </w:r>
      <w:proofErr w:type="spellEnd"/>
      <w:r w:rsidRPr="00C36136">
        <w:rPr>
          <w:rFonts w:ascii="Segoe UI" w:hAnsi="Segoe UI" w:cs="Segoe UI"/>
          <w:sz w:val="18"/>
          <w:szCs w:val="18"/>
          <w:lang w:val="en-US"/>
        </w:rPr>
        <w:t xml:space="preserve"> SM, Ulm B, </w:t>
      </w:r>
      <w:proofErr w:type="spellStart"/>
      <w:r w:rsidRPr="00C36136">
        <w:rPr>
          <w:rFonts w:ascii="Segoe UI" w:hAnsi="Segoe UI" w:cs="Segoe UI"/>
          <w:sz w:val="18"/>
          <w:szCs w:val="18"/>
          <w:lang w:val="en-US"/>
        </w:rPr>
        <w:t>Podtschaske</w:t>
      </w:r>
      <w:proofErr w:type="spellEnd"/>
      <w:r w:rsidRPr="00C36136">
        <w:rPr>
          <w:rFonts w:ascii="Segoe UI" w:hAnsi="Segoe UI" w:cs="Segoe UI"/>
          <w:sz w:val="18"/>
          <w:szCs w:val="18"/>
          <w:lang w:val="en-US"/>
        </w:rPr>
        <w:t xml:space="preserve"> AH et al. (2024) Susceptibility of </w:t>
      </w:r>
      <w:proofErr w:type="spellStart"/>
      <w:r w:rsidRPr="00C36136">
        <w:rPr>
          <w:rFonts w:ascii="Segoe UI" w:hAnsi="Segoe UI" w:cs="Segoe UI"/>
          <w:sz w:val="18"/>
          <w:szCs w:val="18"/>
          <w:lang w:val="en-US"/>
        </w:rPr>
        <w:t>AutoML</w:t>
      </w:r>
      <w:proofErr w:type="spellEnd"/>
      <w:r w:rsidRPr="00C36136">
        <w:rPr>
          <w:rFonts w:ascii="Segoe UI" w:hAnsi="Segoe UI" w:cs="Segoe UI"/>
          <w:sz w:val="18"/>
          <w:szCs w:val="18"/>
          <w:lang w:val="en-US"/>
        </w:rPr>
        <w:t xml:space="preserve"> mortality prediction algorithms to model drift caused by the COVID pandemic. BMC Med Inform </w:t>
      </w:r>
      <w:proofErr w:type="spellStart"/>
      <w:r w:rsidRPr="00C36136">
        <w:rPr>
          <w:rFonts w:ascii="Segoe UI" w:hAnsi="Segoe UI" w:cs="Segoe UI"/>
          <w:sz w:val="18"/>
          <w:szCs w:val="18"/>
          <w:lang w:val="en-US"/>
        </w:rPr>
        <w:t>Decis</w:t>
      </w:r>
      <w:proofErr w:type="spellEnd"/>
      <w:r w:rsidRPr="00C36136">
        <w:rPr>
          <w:rFonts w:ascii="Segoe UI" w:hAnsi="Segoe UI" w:cs="Segoe UI"/>
          <w:sz w:val="18"/>
          <w:szCs w:val="18"/>
          <w:lang w:val="en-US"/>
        </w:rPr>
        <w:t xml:space="preserve"> </w:t>
      </w:r>
      <w:proofErr w:type="spellStart"/>
      <w:r w:rsidRPr="00C36136">
        <w:rPr>
          <w:rFonts w:ascii="Segoe UI" w:hAnsi="Segoe UI" w:cs="Segoe UI"/>
          <w:sz w:val="18"/>
          <w:szCs w:val="18"/>
          <w:lang w:val="en-US"/>
        </w:rPr>
        <w:t>Mak</w:t>
      </w:r>
      <w:proofErr w:type="spellEnd"/>
      <w:r w:rsidRPr="00C36136">
        <w:rPr>
          <w:rFonts w:ascii="Segoe UI" w:hAnsi="Segoe UI" w:cs="Segoe UI"/>
          <w:sz w:val="18"/>
          <w:szCs w:val="18"/>
          <w:lang w:val="en-US"/>
        </w:rPr>
        <w:t xml:space="preserve"> 24:34.</w:t>
      </w:r>
      <w:r w:rsidRPr="00C36136">
        <w:rPr>
          <w:b/>
          <w:bCs/>
          <w:lang w:val="en-US"/>
        </w:rPr>
        <w:t xml:space="preserve"> </w:t>
      </w:r>
      <w:hyperlink r:id="rId10" w:history="1">
        <w:r w:rsidRPr="00C36136">
          <w:rPr>
            <w:rStyle w:val="Hyperlink"/>
            <w:rFonts w:ascii="Segoe UI" w:hAnsi="Segoe UI" w:cs="Segoe UI"/>
            <w:sz w:val="18"/>
            <w:szCs w:val="18"/>
          </w:rPr>
          <w:t>https://doi.org/10.1186/s12911-024-02428-z.</w:t>
        </w:r>
      </w:hyperlink>
    </w:p>
    <w:p w14:paraId="5A56120C" w14:textId="4E864770" w:rsidR="002F7A78" w:rsidRDefault="007D689E">
      <w:pPr>
        <w:rPr>
          <w:rFonts w:ascii="Segoe UI" w:hAnsi="Segoe UI" w:cs="Segoe UI"/>
          <w:sz w:val="18"/>
          <w:szCs w:val="18"/>
          <w:lang w:val="en-US"/>
        </w:rPr>
      </w:pPr>
      <w:r>
        <w:rPr>
          <w:rFonts w:ascii="Segoe UI" w:hAnsi="Segoe UI" w:cs="Segoe UI"/>
          <w:sz w:val="18"/>
          <w:szCs w:val="18"/>
          <w:lang w:val="en-US"/>
        </w:rPr>
        <w:t xml:space="preserve">6. </w:t>
      </w:r>
      <w:r w:rsidR="00A148D5" w:rsidRPr="007D689E">
        <w:rPr>
          <w:rFonts w:ascii="Segoe UI" w:hAnsi="Segoe UI" w:cs="Segoe UI"/>
          <w:sz w:val="18"/>
          <w:szCs w:val="18"/>
          <w:lang w:val="en-US"/>
        </w:rPr>
        <w:t>Simon M (2004) Die Begutachtung im Rahmen der sozialen Pflegeversicherung. Journal of Public Health 12:218–228.</w:t>
      </w:r>
      <w:r w:rsidR="00A148D5" w:rsidRPr="00A148D5">
        <w:t xml:space="preserve"> </w:t>
      </w:r>
      <w:hyperlink r:id="rId11" w:history="1">
        <w:r w:rsidR="00A148D5" w:rsidRPr="007D689E">
          <w:rPr>
            <w:rStyle w:val="Hyperlink"/>
            <w:rFonts w:ascii="Segoe UI" w:hAnsi="Segoe UI" w:cs="Segoe UI"/>
            <w:sz w:val="18"/>
            <w:szCs w:val="18"/>
            <w:lang w:val="en-US"/>
          </w:rPr>
          <w:t>https://doi.org/10.1007/s10389-004-0037-2</w:t>
        </w:r>
      </w:hyperlink>
      <w:r w:rsidR="00A148D5" w:rsidRPr="007D689E">
        <w:rPr>
          <w:rFonts w:ascii="Segoe UI" w:hAnsi="Segoe UI" w:cs="Segoe UI"/>
          <w:sz w:val="18"/>
          <w:szCs w:val="18"/>
          <w:lang w:val="en-US"/>
        </w:rPr>
        <w:t>.</w:t>
      </w:r>
    </w:p>
    <w:p w14:paraId="73912E58" w14:textId="609ADD01" w:rsidR="007D689E" w:rsidRPr="007D689E" w:rsidRDefault="007D689E">
      <w:pPr>
        <w:rPr>
          <w:rFonts w:ascii="Segoe UI" w:hAnsi="Segoe UI" w:cs="Segoe UI"/>
          <w:sz w:val="18"/>
          <w:szCs w:val="18"/>
          <w:lang w:val="en-US"/>
        </w:rPr>
      </w:pPr>
      <w:r w:rsidRPr="007D689E">
        <w:rPr>
          <w:rFonts w:ascii="Segoe UI" w:hAnsi="Segoe UI" w:cs="Segoe UI"/>
          <w:sz w:val="18"/>
          <w:szCs w:val="18"/>
          <w:lang w:val="en-US"/>
        </w:rPr>
        <w:t xml:space="preserve">7. </w:t>
      </w:r>
      <w:proofErr w:type="spellStart"/>
      <w:r w:rsidRPr="007D689E">
        <w:rPr>
          <w:rFonts w:ascii="Segoe UI" w:hAnsi="Segoe UI" w:cs="Segoe UI"/>
          <w:sz w:val="18"/>
          <w:szCs w:val="18"/>
          <w:lang w:val="en-US"/>
        </w:rPr>
        <w:t>Hond</w:t>
      </w:r>
      <w:proofErr w:type="spellEnd"/>
      <w:r w:rsidRPr="007D689E">
        <w:rPr>
          <w:rFonts w:ascii="Segoe UI" w:hAnsi="Segoe UI" w:cs="Segoe UI"/>
          <w:sz w:val="18"/>
          <w:szCs w:val="18"/>
          <w:lang w:val="en-US"/>
        </w:rPr>
        <w:t xml:space="preserve"> AAH de, Shah VB, Kant IMJ et al. (2023) Perspectives on validation of clinical predictive algorithms. NPJ digital medicine 6:86. </w:t>
      </w:r>
      <w:hyperlink r:id="rId12" w:history="1">
        <w:r w:rsidRPr="007D689E">
          <w:rPr>
            <w:rStyle w:val="Hyperlink"/>
            <w:rFonts w:ascii="Segoe UI" w:hAnsi="Segoe UI" w:cs="Segoe UI"/>
            <w:sz w:val="18"/>
            <w:szCs w:val="18"/>
            <w:lang w:val="en-US"/>
          </w:rPr>
          <w:t>https://doi.org/10.1038/s41746-023-00832-9</w:t>
        </w:r>
      </w:hyperlink>
      <w:r w:rsidRPr="007D689E">
        <w:rPr>
          <w:rFonts w:ascii="Segoe UI" w:hAnsi="Segoe UI" w:cs="Segoe UI"/>
          <w:sz w:val="18"/>
          <w:szCs w:val="18"/>
          <w:lang w:val="en-US"/>
        </w:rPr>
        <w:t>.</w:t>
      </w:r>
    </w:p>
    <w:sectPr w:rsidR="007D689E" w:rsidRPr="007D68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BB5790"/>
    <w:multiLevelType w:val="hybridMultilevel"/>
    <w:tmpl w:val="36526A92"/>
    <w:lvl w:ilvl="0" w:tplc="2E0021F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84B"/>
    <w:rsid w:val="000F684B"/>
    <w:rsid w:val="00194E7D"/>
    <w:rsid w:val="001C6207"/>
    <w:rsid w:val="002F7A78"/>
    <w:rsid w:val="004C24F0"/>
    <w:rsid w:val="00697679"/>
    <w:rsid w:val="007724B8"/>
    <w:rsid w:val="007B09DB"/>
    <w:rsid w:val="007D689E"/>
    <w:rsid w:val="0081090D"/>
    <w:rsid w:val="00814A2A"/>
    <w:rsid w:val="00852AF7"/>
    <w:rsid w:val="008F5EC7"/>
    <w:rsid w:val="008F68D4"/>
    <w:rsid w:val="009A34BE"/>
    <w:rsid w:val="00A148D5"/>
    <w:rsid w:val="00A47068"/>
    <w:rsid w:val="00A675ED"/>
    <w:rsid w:val="00AE6CF2"/>
    <w:rsid w:val="00BE4E1B"/>
    <w:rsid w:val="00C15269"/>
    <w:rsid w:val="00C36136"/>
    <w:rsid w:val="00C51C6A"/>
    <w:rsid w:val="00CD56BD"/>
    <w:rsid w:val="00E87BAD"/>
    <w:rsid w:val="00EF620B"/>
    <w:rsid w:val="00F416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06FEF"/>
  <w15:chartTrackingRefBased/>
  <w15:docId w15:val="{1B3D2892-7799-459A-A64B-A7674ACB1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2F7A7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2F7A78"/>
    <w:rPr>
      <w:color w:val="0563C1" w:themeColor="hyperlink"/>
      <w:u w:val="single"/>
    </w:rPr>
  </w:style>
  <w:style w:type="paragraph" w:styleId="Listenabsatz">
    <w:name w:val="List Paragraph"/>
    <w:basedOn w:val="Standard"/>
    <w:uiPriority w:val="34"/>
    <w:qFormat/>
    <w:rsid w:val="00AE6CF2"/>
    <w:pPr>
      <w:ind w:left="720"/>
      <w:contextualSpacing/>
    </w:pPr>
  </w:style>
  <w:style w:type="character" w:styleId="Kommentarzeichen">
    <w:name w:val="annotation reference"/>
    <w:basedOn w:val="Absatz-Standardschriftart"/>
    <w:uiPriority w:val="99"/>
    <w:semiHidden/>
    <w:unhideWhenUsed/>
    <w:rsid w:val="00F416B8"/>
    <w:rPr>
      <w:sz w:val="16"/>
      <w:szCs w:val="16"/>
    </w:rPr>
  </w:style>
  <w:style w:type="paragraph" w:styleId="Kommentartext">
    <w:name w:val="annotation text"/>
    <w:basedOn w:val="Standard"/>
    <w:link w:val="KommentartextZchn"/>
    <w:uiPriority w:val="99"/>
    <w:semiHidden/>
    <w:unhideWhenUsed/>
    <w:rsid w:val="00F416B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F416B8"/>
    <w:rPr>
      <w:sz w:val="20"/>
      <w:szCs w:val="20"/>
    </w:rPr>
  </w:style>
  <w:style w:type="paragraph" w:styleId="Kommentarthema">
    <w:name w:val="annotation subject"/>
    <w:basedOn w:val="Kommentartext"/>
    <w:next w:val="Kommentartext"/>
    <w:link w:val="KommentarthemaZchn"/>
    <w:uiPriority w:val="99"/>
    <w:semiHidden/>
    <w:unhideWhenUsed/>
    <w:rsid w:val="00F416B8"/>
    <w:rPr>
      <w:b/>
      <w:bCs/>
    </w:rPr>
  </w:style>
  <w:style w:type="character" w:customStyle="1" w:styleId="KommentarthemaZchn">
    <w:name w:val="Kommentarthema Zchn"/>
    <w:basedOn w:val="KommentartextZchn"/>
    <w:link w:val="Kommentarthema"/>
    <w:uiPriority w:val="99"/>
    <w:semiHidden/>
    <w:rsid w:val="00F416B8"/>
    <w:rPr>
      <w:b/>
      <w:bCs/>
      <w:sz w:val="20"/>
      <w:szCs w:val="20"/>
    </w:rPr>
  </w:style>
  <w:style w:type="paragraph" w:styleId="Sprechblasentext">
    <w:name w:val="Balloon Text"/>
    <w:basedOn w:val="Standard"/>
    <w:link w:val="SprechblasentextZchn"/>
    <w:uiPriority w:val="99"/>
    <w:semiHidden/>
    <w:unhideWhenUsed/>
    <w:rsid w:val="00F416B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416B8"/>
    <w:rPr>
      <w:rFonts w:ascii="Segoe UI" w:hAnsi="Segoe UI" w:cs="Segoe UI"/>
      <w:sz w:val="18"/>
      <w:szCs w:val="18"/>
    </w:rPr>
  </w:style>
  <w:style w:type="character" w:styleId="NichtaufgelsteErwhnung">
    <w:name w:val="Unresolved Mention"/>
    <w:basedOn w:val="Absatz-Standardschriftart"/>
    <w:uiPriority w:val="99"/>
    <w:semiHidden/>
    <w:unhideWhenUsed/>
    <w:rsid w:val="00C36136"/>
    <w:rPr>
      <w:color w:val="605E5C"/>
      <w:shd w:val="clear" w:color="auto" w:fill="E1DFDD"/>
    </w:rPr>
  </w:style>
  <w:style w:type="character" w:styleId="BesuchterLink">
    <w:name w:val="FollowedHyperlink"/>
    <w:basedOn w:val="Absatz-Standardschriftart"/>
    <w:uiPriority w:val="99"/>
    <w:semiHidden/>
    <w:unhideWhenUsed/>
    <w:rsid w:val="00C3613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38/s41598-024-69209-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oi.org/10.14569/ijacsa.2023.01406115" TargetMode="External"/><Relationship Id="rId12" Type="http://schemas.openxmlformats.org/officeDocument/2006/relationships/hyperlink" Target="https://doi.org/10.1038/s41746-023-00832-9" TargetMode="Externa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hyperlink" Target="https://doi.org/10.1613/jair.953" TargetMode="External"/><Relationship Id="rId11" Type="http://schemas.openxmlformats.org/officeDocument/2006/relationships/hyperlink" Target="https://doi.org/10.1007/s10389-004-0037-2"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s://doi.org/10.1186/s12911-024-02428-z." TargetMode="External"/><Relationship Id="rId4" Type="http://schemas.openxmlformats.org/officeDocument/2006/relationships/settings" Target="settings.xml"/><Relationship Id="rId9" Type="http://schemas.openxmlformats.org/officeDocument/2006/relationships/hyperlink" Target="https://doi.org/10.1186/s12916-019-1466-7"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7733D54D48312343B250141AD60E42EA" ma:contentTypeVersion="13" ma:contentTypeDescription="Ein neues Dokument erstellen." ma:contentTypeScope="" ma:versionID="b4171f8ffd675f1edaed8637ce9e8978">
  <xsd:schema xmlns:xsd="http://www.w3.org/2001/XMLSchema" xmlns:xs="http://www.w3.org/2001/XMLSchema" xmlns:p="http://schemas.microsoft.com/office/2006/metadata/properties" xmlns:ns2="6fda7565-9723-4d47-8f37-db120daa01b8" xmlns:ns3="bd2a10cf-e067-4f9c-87ec-f8ebada5459f" targetNamespace="http://schemas.microsoft.com/office/2006/metadata/properties" ma:root="true" ma:fieldsID="b006ec80e8856368565e068d649fadd4" ns2:_="" ns3:_="">
    <xsd:import namespace="6fda7565-9723-4d47-8f37-db120daa01b8"/>
    <xsd:import namespace="bd2a10cf-e067-4f9c-87ec-f8ebada545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a7565-9723-4d47-8f37-db120daa01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2a10cf-e067-4f9c-87ec-f8ebada5459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4f9c5ac-e38b-4001-aaed-b18c4088ec75}" ma:internalName="TaxCatchAll" ma:showField="CatchAllData" ma:web="bd2a10cf-e067-4f9c-87ec-f8ebada545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d2a10cf-e067-4f9c-87ec-f8ebada5459f" xsi:nil="true"/>
    <lcf76f155ced4ddcb4097134ff3c332f xmlns="6fda7565-9723-4d47-8f37-db120daa01b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A5B7467-DB43-434B-823A-FFBCDBCBC5B5}">
  <ds:schemaRefs>
    <ds:schemaRef ds:uri="http://schemas.openxmlformats.org/officeDocument/2006/bibliography"/>
  </ds:schemaRefs>
</ds:datastoreItem>
</file>

<file path=customXml/itemProps2.xml><?xml version="1.0" encoding="utf-8"?>
<ds:datastoreItem xmlns:ds="http://schemas.openxmlformats.org/officeDocument/2006/customXml" ds:itemID="{7668A675-A811-4BB8-B761-77591A4D747F}"/>
</file>

<file path=customXml/itemProps3.xml><?xml version="1.0" encoding="utf-8"?>
<ds:datastoreItem xmlns:ds="http://schemas.openxmlformats.org/officeDocument/2006/customXml" ds:itemID="{1FD0960E-F125-46EC-A67C-E2B16F8F20BD}"/>
</file>

<file path=customXml/itemProps4.xml><?xml version="1.0" encoding="utf-8"?>
<ds:datastoreItem xmlns:ds="http://schemas.openxmlformats.org/officeDocument/2006/customXml" ds:itemID="{43FBB80F-70E2-46ED-AD99-B4EFB26A74CA}"/>
</file>

<file path=docProps/app.xml><?xml version="1.0" encoding="utf-8"?>
<Properties xmlns="http://schemas.openxmlformats.org/officeDocument/2006/extended-properties" xmlns:vt="http://schemas.openxmlformats.org/officeDocument/2006/docPropsVTypes">
  <Template>Normal</Template>
  <TotalTime>0</TotalTime>
  <Pages>2</Pages>
  <Words>1042</Words>
  <Characters>6568</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Bayerisches Forschungszentrum Pflege Digital</Company>
  <LinksUpToDate>false</LinksUpToDate>
  <CharactersWithSpaces>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karlalea</dc:creator>
  <cp:keywords/>
  <dc:description/>
  <cp:lastModifiedBy>karlalea</cp:lastModifiedBy>
  <cp:revision>14</cp:revision>
  <dcterms:created xsi:type="dcterms:W3CDTF">2025-05-20T06:28:00Z</dcterms:created>
  <dcterms:modified xsi:type="dcterms:W3CDTF">2025-10-13T08:21:00Z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0x0101007733D54D48312343B250141AD60E42EA</vt:lpwstr>
  </property>
</Properties>
</file>