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11F" w:rsidRDefault="007A5C22" w:rsidP="007A5C22">
      <w:pPr>
        <w:rPr>
          <w:rFonts w:ascii="Times New Roman" w:hAnsi="Times New Roman" w:cs="Times New Roman"/>
          <w:b/>
          <w:sz w:val="28"/>
          <w:szCs w:val="28"/>
        </w:rPr>
      </w:pPr>
      <w:r w:rsidRPr="0095011F">
        <w:rPr>
          <w:rFonts w:ascii="Times New Roman" w:hAnsi="Times New Roman" w:cs="Times New Roman"/>
          <w:b/>
          <w:sz w:val="28"/>
          <w:szCs w:val="28"/>
        </w:rPr>
        <w:t>Supplementary material</w:t>
      </w:r>
      <w:r w:rsidR="0095011F" w:rsidRPr="0095011F">
        <w:rPr>
          <w:rFonts w:ascii="Times New Roman" w:hAnsi="Times New Roman" w:cs="Times New Roman"/>
          <w:b/>
          <w:sz w:val="28"/>
          <w:szCs w:val="28"/>
        </w:rPr>
        <w:t xml:space="preserve"> </w:t>
      </w:r>
    </w:p>
    <w:p w:rsidR="0095011F" w:rsidRPr="0095011F" w:rsidRDefault="0095011F" w:rsidP="007A5C22">
      <w:pPr>
        <w:rPr>
          <w:rFonts w:ascii="Times New Roman" w:hAnsi="Times New Roman" w:cs="Times New Roman"/>
          <w:b/>
          <w:sz w:val="28"/>
          <w:szCs w:val="28"/>
        </w:rPr>
      </w:pPr>
    </w:p>
    <w:p w:rsidR="0095011F" w:rsidRPr="0095011F" w:rsidRDefault="008B2B8D" w:rsidP="0095011F">
      <w:pPr>
        <w:spacing w:line="480" w:lineRule="auto"/>
        <w:rPr>
          <w:rFonts w:ascii="Times New Roman" w:hAnsi="Times New Roman" w:cs="Times New Roman"/>
          <w:b/>
          <w:sz w:val="26"/>
          <w:szCs w:val="26"/>
        </w:rPr>
      </w:pPr>
      <w:r w:rsidRPr="009E5C14">
        <w:rPr>
          <w:rFonts w:ascii="Times New Roman" w:hAnsi="Times New Roman" w:cs="Times New Roman"/>
          <w:b/>
          <w:sz w:val="26"/>
          <w:szCs w:val="26"/>
        </w:rPr>
        <w:t>Personalized absolute benefit of statin treatment for primary or secondary prevention of vascular disease in individual elderly patients</w:t>
      </w:r>
      <w:r>
        <w:rPr>
          <w:rFonts w:ascii="Times New Roman" w:hAnsi="Times New Roman" w:cs="Times New Roman"/>
          <w:b/>
          <w:sz w:val="26"/>
          <w:szCs w:val="26"/>
        </w:rPr>
        <w:br/>
      </w:r>
      <w:r>
        <w:rPr>
          <w:rFonts w:ascii="Times New Roman" w:hAnsi="Times New Roman" w:cs="Times New Roman"/>
          <w:b/>
          <w:sz w:val="26"/>
          <w:szCs w:val="26"/>
        </w:rPr>
        <w:br/>
      </w:r>
      <w:r w:rsidRPr="008B2B8D">
        <w:rPr>
          <w:rFonts w:ascii="Times New Roman" w:hAnsi="Times New Roman" w:cs="Times New Roman"/>
          <w:b/>
        </w:rPr>
        <w:t>Clinical Research in Cardiology</w:t>
      </w:r>
    </w:p>
    <w:p w:rsidR="0095011F" w:rsidRDefault="0095011F" w:rsidP="0095011F">
      <w:pPr>
        <w:spacing w:line="480" w:lineRule="auto"/>
        <w:rPr>
          <w:rFonts w:ascii="Times New Roman" w:hAnsi="Times New Roman" w:cs="Times New Roman"/>
        </w:rPr>
      </w:pPr>
      <w:proofErr w:type="spellStart"/>
      <w:r w:rsidRPr="0095011F">
        <w:rPr>
          <w:rFonts w:ascii="Times New Roman" w:hAnsi="Times New Roman" w:cs="Times New Roman"/>
          <w:lang w:val="en-GB"/>
        </w:rPr>
        <w:t>Manon</w:t>
      </w:r>
      <w:proofErr w:type="spellEnd"/>
      <w:r w:rsidRPr="0095011F">
        <w:rPr>
          <w:rFonts w:ascii="Times New Roman" w:hAnsi="Times New Roman" w:cs="Times New Roman"/>
        </w:rPr>
        <w:t xml:space="preserve"> C. Stam-Slob; Frank L.J. Visseren</w:t>
      </w:r>
      <w:r w:rsidR="008B2B8D">
        <w:rPr>
          <w:rFonts w:ascii="Times New Roman" w:hAnsi="Times New Roman" w:cs="Times New Roman"/>
        </w:rPr>
        <w:t>*</w:t>
      </w:r>
      <w:r w:rsidRPr="0095011F">
        <w:rPr>
          <w:rFonts w:ascii="Times New Roman" w:hAnsi="Times New Roman" w:cs="Times New Roman"/>
        </w:rPr>
        <w:t xml:space="preserve">; J. </w:t>
      </w:r>
      <w:proofErr w:type="spellStart"/>
      <w:r w:rsidRPr="0095011F">
        <w:rPr>
          <w:rFonts w:ascii="Times New Roman" w:hAnsi="Times New Roman" w:cs="Times New Roman"/>
        </w:rPr>
        <w:t>Wouter</w:t>
      </w:r>
      <w:proofErr w:type="spellEnd"/>
      <w:r w:rsidRPr="0095011F">
        <w:rPr>
          <w:rFonts w:ascii="Times New Roman" w:hAnsi="Times New Roman" w:cs="Times New Roman"/>
        </w:rPr>
        <w:t xml:space="preserve"> </w:t>
      </w:r>
      <w:proofErr w:type="spellStart"/>
      <w:r w:rsidRPr="0095011F">
        <w:rPr>
          <w:rFonts w:ascii="Times New Roman" w:hAnsi="Times New Roman" w:cs="Times New Roman"/>
        </w:rPr>
        <w:t>Jukema</w:t>
      </w:r>
      <w:proofErr w:type="spellEnd"/>
      <w:r w:rsidRPr="0095011F">
        <w:rPr>
          <w:rFonts w:ascii="Times New Roman" w:hAnsi="Times New Roman" w:cs="Times New Roman"/>
        </w:rPr>
        <w:t xml:space="preserve">; Yolanda van der </w:t>
      </w:r>
      <w:proofErr w:type="spellStart"/>
      <w:r w:rsidRPr="0095011F">
        <w:rPr>
          <w:rFonts w:ascii="Times New Roman" w:hAnsi="Times New Roman" w:cs="Times New Roman"/>
        </w:rPr>
        <w:t>Graaf</w:t>
      </w:r>
      <w:proofErr w:type="spellEnd"/>
      <w:r w:rsidRPr="0095011F">
        <w:rPr>
          <w:rFonts w:ascii="Times New Roman" w:hAnsi="Times New Roman" w:cs="Times New Roman"/>
        </w:rPr>
        <w:t xml:space="preserve">; Neil R. </w:t>
      </w:r>
      <w:proofErr w:type="spellStart"/>
      <w:r w:rsidRPr="0095011F">
        <w:rPr>
          <w:rFonts w:ascii="Times New Roman" w:hAnsi="Times New Roman" w:cs="Times New Roman"/>
        </w:rPr>
        <w:t>Poulter</w:t>
      </w:r>
      <w:proofErr w:type="spellEnd"/>
      <w:r w:rsidRPr="0095011F">
        <w:rPr>
          <w:rFonts w:ascii="Times New Roman" w:hAnsi="Times New Roman" w:cs="Times New Roman"/>
        </w:rPr>
        <w:t xml:space="preserve">; Ajay Gupta, Naveed </w:t>
      </w:r>
      <w:proofErr w:type="spellStart"/>
      <w:r w:rsidRPr="0095011F">
        <w:rPr>
          <w:rFonts w:ascii="Times New Roman" w:hAnsi="Times New Roman" w:cs="Times New Roman"/>
        </w:rPr>
        <w:t>Sattar</w:t>
      </w:r>
      <w:proofErr w:type="spellEnd"/>
      <w:r w:rsidRPr="0095011F">
        <w:rPr>
          <w:rFonts w:ascii="Times New Roman" w:hAnsi="Times New Roman" w:cs="Times New Roman"/>
        </w:rPr>
        <w:t xml:space="preserve">; Peter W. Macfarlane, Patricia M. Kearney; Anton J.M. de </w:t>
      </w:r>
      <w:proofErr w:type="spellStart"/>
      <w:r w:rsidRPr="0095011F">
        <w:rPr>
          <w:rFonts w:ascii="Times New Roman" w:hAnsi="Times New Roman" w:cs="Times New Roman"/>
        </w:rPr>
        <w:t>Craen</w:t>
      </w:r>
      <w:proofErr w:type="spellEnd"/>
      <w:r w:rsidRPr="0095011F">
        <w:rPr>
          <w:rFonts w:ascii="Times New Roman" w:hAnsi="Times New Roman" w:cs="Times New Roman"/>
        </w:rPr>
        <w:t xml:space="preserve">; Stella </w:t>
      </w:r>
      <w:proofErr w:type="spellStart"/>
      <w:r w:rsidRPr="0095011F">
        <w:rPr>
          <w:rFonts w:ascii="Times New Roman" w:hAnsi="Times New Roman" w:cs="Times New Roman"/>
        </w:rPr>
        <w:t>Trompet</w:t>
      </w:r>
      <w:proofErr w:type="spellEnd"/>
      <w:r w:rsidR="008B2B8D">
        <w:rPr>
          <w:rFonts w:ascii="Times New Roman" w:hAnsi="Times New Roman" w:cs="Times New Roman"/>
        </w:rPr>
        <w:br/>
      </w:r>
      <w:r w:rsidR="008B2B8D" w:rsidRPr="009E5C14">
        <w:rPr>
          <w:rFonts w:ascii="Times New Roman" w:hAnsi="Times New Roman" w:cs="Times New Roman"/>
          <w:sz w:val="20"/>
          <w:szCs w:val="20"/>
        </w:rPr>
        <w:t xml:space="preserve">* Corresponding author. </w:t>
      </w:r>
      <w:r w:rsidR="008B2B8D" w:rsidRPr="007E6179">
        <w:rPr>
          <w:rFonts w:ascii="Times New Roman" w:hAnsi="Times New Roman" w:cs="Times New Roman"/>
          <w:sz w:val="20"/>
          <w:szCs w:val="20"/>
          <w:lang w:val="en-GB"/>
        </w:rPr>
        <w:t xml:space="preserve">University Medical </w:t>
      </w:r>
      <w:proofErr w:type="spellStart"/>
      <w:r w:rsidR="008B2B8D" w:rsidRPr="007E6179">
        <w:rPr>
          <w:rFonts w:ascii="Times New Roman" w:hAnsi="Times New Roman" w:cs="Times New Roman"/>
          <w:sz w:val="20"/>
          <w:szCs w:val="20"/>
          <w:lang w:val="en-GB"/>
        </w:rPr>
        <w:t>Center</w:t>
      </w:r>
      <w:proofErr w:type="spellEnd"/>
      <w:r w:rsidR="008B2B8D" w:rsidRPr="007E6179">
        <w:rPr>
          <w:rFonts w:ascii="Times New Roman" w:hAnsi="Times New Roman" w:cs="Times New Roman"/>
          <w:sz w:val="20"/>
          <w:szCs w:val="20"/>
          <w:lang w:val="en-GB"/>
        </w:rPr>
        <w:t xml:space="preserve"> Utrecht, Utrecht, the Netherlands.</w:t>
      </w:r>
      <w:r w:rsidR="008B2B8D" w:rsidRPr="009E5C14">
        <w:rPr>
          <w:rFonts w:ascii="Times New Roman" w:hAnsi="Times New Roman" w:cs="Times New Roman"/>
          <w:sz w:val="20"/>
          <w:szCs w:val="20"/>
        </w:rPr>
        <w:t xml:space="preserve"> </w:t>
      </w:r>
      <w:r w:rsidR="008B2B8D" w:rsidRPr="009E5C14">
        <w:rPr>
          <w:rFonts w:ascii="Times New Roman" w:hAnsi="Times New Roman" w:cs="Times New Roman"/>
          <w:sz w:val="20"/>
          <w:szCs w:val="20"/>
        </w:rPr>
        <w:br/>
        <w:t xml:space="preserve">E-mail address: </w:t>
      </w:r>
      <w:hyperlink r:id="rId7" w:history="1">
        <w:r w:rsidR="008B2B8D" w:rsidRPr="009E5C14">
          <w:rPr>
            <w:rStyle w:val="Hyperlink"/>
            <w:rFonts w:ascii="Times New Roman" w:hAnsi="Times New Roman" w:cs="Times New Roman"/>
            <w:sz w:val="20"/>
            <w:szCs w:val="20"/>
          </w:rPr>
          <w:t>f.l.j.visseren@umcutrecht.nl</w:t>
        </w:r>
      </w:hyperlink>
      <w:r w:rsidR="008B2B8D">
        <w:rPr>
          <w:rFonts w:ascii="Times New Roman" w:hAnsi="Times New Roman" w:cs="Times New Roman"/>
          <w:sz w:val="20"/>
          <w:szCs w:val="20"/>
        </w:rPr>
        <w:br/>
      </w:r>
      <w:r>
        <w:rPr>
          <w:rFonts w:ascii="Times New Roman" w:hAnsi="Times New Roman" w:cs="Times New Roman"/>
        </w:rPr>
        <w:br/>
      </w:r>
    </w:p>
    <w:p w:rsidR="0095011F" w:rsidRPr="0095011F" w:rsidRDefault="0095011F" w:rsidP="0095011F">
      <w:pPr>
        <w:spacing w:line="480" w:lineRule="auto"/>
        <w:rPr>
          <w:rFonts w:ascii="Times New Roman" w:hAnsi="Times New Roman" w:cs="Times New Roman"/>
          <w:b/>
        </w:rPr>
      </w:pPr>
      <w:r w:rsidRPr="0095011F">
        <w:rPr>
          <w:rFonts w:ascii="Times New Roman" w:hAnsi="Times New Roman" w:cs="Times New Roman"/>
          <w:b/>
        </w:rPr>
        <w:t>Content</w:t>
      </w:r>
    </w:p>
    <w:p w:rsidR="0095011F" w:rsidRPr="0095011F" w:rsidRDefault="0095011F" w:rsidP="0095011F">
      <w:pPr>
        <w:spacing w:line="480" w:lineRule="auto"/>
        <w:rPr>
          <w:rFonts w:ascii="Times New Roman" w:hAnsi="Times New Roman" w:cs="Times New Roman"/>
        </w:rPr>
      </w:pPr>
      <w:r w:rsidRPr="0095011F">
        <w:rPr>
          <w:rFonts w:ascii="Times New Roman" w:hAnsi="Times New Roman" w:cs="Times New Roman"/>
        </w:rPr>
        <w:t xml:space="preserve">Table </w:t>
      </w:r>
      <w:r w:rsidR="00986EB6">
        <w:rPr>
          <w:rFonts w:ascii="Times New Roman" w:hAnsi="Times New Roman" w:cs="Times New Roman"/>
        </w:rPr>
        <w:t>S</w:t>
      </w:r>
      <w:r w:rsidRPr="0095011F">
        <w:rPr>
          <w:rFonts w:ascii="Times New Roman" w:hAnsi="Times New Roman" w:cs="Times New Roman"/>
        </w:rPr>
        <w:t xml:space="preserve">1 (Model formula) </w:t>
      </w:r>
      <w:r>
        <w:rPr>
          <w:rFonts w:ascii="Times New Roman" w:hAnsi="Times New Roman" w:cs="Times New Roman"/>
        </w:rPr>
        <w:tab/>
      </w:r>
      <w:r w:rsidR="00986EB6">
        <w:rPr>
          <w:rFonts w:ascii="Times New Roman" w:hAnsi="Times New Roman" w:cs="Times New Roman"/>
        </w:rPr>
        <w:tab/>
      </w:r>
      <w:r w:rsidR="00986EB6">
        <w:rPr>
          <w:rFonts w:ascii="Times New Roman" w:hAnsi="Times New Roman" w:cs="Times New Roman"/>
        </w:rPr>
        <w:tab/>
      </w:r>
      <w:r w:rsidRPr="0095011F">
        <w:rPr>
          <w:rFonts w:ascii="Times New Roman" w:hAnsi="Times New Roman" w:cs="Times New Roman"/>
        </w:rPr>
        <w:t>– page 2</w:t>
      </w:r>
      <w:r w:rsidRPr="0095011F">
        <w:rPr>
          <w:rFonts w:ascii="Times New Roman" w:hAnsi="Times New Roman" w:cs="Times New Roman"/>
        </w:rPr>
        <w:br/>
        <w:t xml:space="preserve">Methods and calculation example Net Benefit </w:t>
      </w:r>
      <w:r>
        <w:rPr>
          <w:rFonts w:ascii="Times New Roman" w:hAnsi="Times New Roman" w:cs="Times New Roman"/>
        </w:rPr>
        <w:tab/>
      </w:r>
      <w:r w:rsidRPr="0095011F">
        <w:rPr>
          <w:rFonts w:ascii="Times New Roman" w:hAnsi="Times New Roman" w:cs="Times New Roman"/>
        </w:rPr>
        <w:t>– page 3</w:t>
      </w:r>
      <w:r w:rsidRPr="0095011F">
        <w:rPr>
          <w:rFonts w:ascii="Times New Roman" w:hAnsi="Times New Roman" w:cs="Times New Roman"/>
        </w:rPr>
        <w:br/>
        <w:t>Fig</w:t>
      </w:r>
      <w:r w:rsidR="008B2B8D">
        <w:rPr>
          <w:rFonts w:ascii="Times New Roman" w:hAnsi="Times New Roman" w:cs="Times New Roman"/>
        </w:rPr>
        <w:t>.</w:t>
      </w:r>
      <w:r w:rsidRPr="0095011F">
        <w:rPr>
          <w:rFonts w:ascii="Times New Roman" w:hAnsi="Times New Roman" w:cs="Times New Roman"/>
        </w:rPr>
        <w:t xml:space="preserve"> </w:t>
      </w:r>
      <w:r w:rsidR="00986EB6">
        <w:rPr>
          <w:rFonts w:ascii="Times New Roman" w:hAnsi="Times New Roman" w:cs="Times New Roman"/>
        </w:rPr>
        <w:t>S</w:t>
      </w:r>
      <w:r w:rsidRPr="0095011F">
        <w:rPr>
          <w:rFonts w:ascii="Times New Roman" w:hAnsi="Times New Roman" w:cs="Times New Roman"/>
        </w:rPr>
        <w:t>1 (Net benefit)</w:t>
      </w:r>
      <w:r w:rsidR="00986EB6">
        <w:rPr>
          <w:rFonts w:ascii="Times New Roman" w:hAnsi="Times New Roman" w:cs="Times New Roman"/>
        </w:rPr>
        <w:tab/>
      </w:r>
      <w:r w:rsidR="00986EB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5011F">
        <w:rPr>
          <w:rFonts w:ascii="Times New Roman" w:hAnsi="Times New Roman" w:cs="Times New Roman"/>
        </w:rPr>
        <w:t>– page 4</w:t>
      </w:r>
      <w:r w:rsidRPr="0095011F">
        <w:rPr>
          <w:rFonts w:ascii="Times New Roman" w:hAnsi="Times New Roman" w:cs="Times New Roman"/>
        </w:rPr>
        <w:br/>
        <w:t xml:space="preserve">Table </w:t>
      </w:r>
      <w:r w:rsidR="00986EB6">
        <w:rPr>
          <w:rFonts w:ascii="Times New Roman" w:hAnsi="Times New Roman" w:cs="Times New Roman"/>
        </w:rPr>
        <w:t>S</w:t>
      </w:r>
      <w:r w:rsidRPr="0095011F">
        <w:rPr>
          <w:rFonts w:ascii="Times New Roman" w:hAnsi="Times New Roman" w:cs="Times New Roman"/>
        </w:rPr>
        <w:t>2 (Net benefit)</w:t>
      </w:r>
      <w:r w:rsidR="00986EB6">
        <w:rPr>
          <w:rFonts w:ascii="Times New Roman" w:hAnsi="Times New Roman" w:cs="Times New Roman"/>
        </w:rPr>
        <w:tab/>
      </w:r>
      <w:r w:rsidR="00986EB6">
        <w:rPr>
          <w:rFonts w:ascii="Times New Roman" w:hAnsi="Times New Roman" w:cs="Times New Roman"/>
        </w:rPr>
        <w:tab/>
      </w:r>
      <w:r w:rsidRPr="0095011F">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3C4706">
        <w:rPr>
          <w:rFonts w:ascii="Times New Roman" w:hAnsi="Times New Roman" w:cs="Times New Roman"/>
        </w:rPr>
        <w:t>– page 4</w:t>
      </w:r>
    </w:p>
    <w:p w:rsidR="0095011F" w:rsidRDefault="0095011F" w:rsidP="007A5C22">
      <w:pPr>
        <w:rPr>
          <w:rFonts w:ascii="Times New Roman" w:hAnsi="Times New Roman" w:cs="Times New Roman"/>
          <w:b/>
        </w:rPr>
      </w:pPr>
    </w:p>
    <w:p w:rsidR="009323BA" w:rsidRPr="0095011F" w:rsidRDefault="0095011F" w:rsidP="007A5C22">
      <w:pPr>
        <w:rPr>
          <w:rFonts w:ascii="Times New Roman" w:hAnsi="Times New Roman" w:cs="Times New Roman"/>
          <w:b/>
        </w:rPr>
      </w:pPr>
      <w:r>
        <w:rPr>
          <w:rFonts w:ascii="Times New Roman" w:hAnsi="Times New Roman" w:cs="Times New Roman"/>
          <w:b/>
        </w:rPr>
        <w:br w:type="page"/>
      </w:r>
      <w:r w:rsidR="00986EB6">
        <w:rPr>
          <w:rFonts w:ascii="Times New Roman" w:hAnsi="Times New Roman" w:cs="Times New Roman"/>
          <w:b/>
        </w:rPr>
        <w:lastRenderedPageBreak/>
        <w:t>Table</w:t>
      </w:r>
      <w:r w:rsidRPr="0095011F">
        <w:rPr>
          <w:rFonts w:ascii="Times New Roman" w:hAnsi="Times New Roman" w:cs="Times New Roman"/>
          <w:b/>
        </w:rPr>
        <w:t xml:space="preserve"> </w:t>
      </w:r>
      <w:r w:rsidR="00986EB6">
        <w:rPr>
          <w:rFonts w:ascii="Times New Roman" w:hAnsi="Times New Roman" w:cs="Times New Roman"/>
          <w:b/>
        </w:rPr>
        <w:t>S</w:t>
      </w:r>
      <w:r w:rsidR="009323BA" w:rsidRPr="0095011F">
        <w:rPr>
          <w:rFonts w:ascii="Times New Roman" w:hAnsi="Times New Roman" w:cs="Times New Roman"/>
          <w:b/>
        </w:rPr>
        <w:t xml:space="preserve">1. Estimation of MACE risk and treatment effect of statin for individual elderly patients </w:t>
      </w:r>
    </w:p>
    <w:p w:rsidR="009323BA" w:rsidRPr="0095011F" w:rsidRDefault="009323BA" w:rsidP="007A5C22">
      <w:pPr>
        <w:rPr>
          <w:rFonts w:ascii="Times New Roman" w:hAnsi="Times New Roman" w:cs="Times New Roman"/>
          <w:b/>
        </w:rPr>
      </w:pPr>
      <w:r w:rsidRPr="0095011F">
        <w:rPr>
          <w:rFonts w:ascii="Times New Roman" w:hAnsi="Times New Roman" w:cs="Times New Roman"/>
          <w:b/>
        </w:rPr>
        <w:t>Risk estimation for patients with vascular disease</w:t>
      </w:r>
    </w:p>
    <w:tbl>
      <w:tblPr>
        <w:tblStyle w:val="Tabelraster"/>
        <w:tblW w:w="9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077"/>
        <w:gridCol w:w="3019"/>
      </w:tblGrid>
      <w:tr w:rsidR="009323BA" w:rsidRPr="0095011F" w:rsidTr="00A23DDF">
        <w:trPr>
          <w:trHeight w:val="312"/>
        </w:trPr>
        <w:tc>
          <w:tcPr>
            <w:tcW w:w="3188"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Individual risk for MACE (%)</w:t>
            </w:r>
          </w:p>
        </w:tc>
        <w:tc>
          <w:tcPr>
            <w:tcW w:w="3077"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5-year:</w:t>
            </w:r>
          </w:p>
        </w:tc>
        <w:tc>
          <w:tcPr>
            <w:tcW w:w="3019"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10-year:</w:t>
            </w:r>
          </w:p>
        </w:tc>
      </w:tr>
      <w:tr w:rsidR="009323BA" w:rsidRPr="0095011F" w:rsidTr="00A23DDF">
        <w:trPr>
          <w:trHeight w:val="296"/>
        </w:trPr>
        <w:tc>
          <w:tcPr>
            <w:tcW w:w="3188"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Scotland / Ireland:</w:t>
            </w:r>
          </w:p>
        </w:tc>
        <w:tc>
          <w:tcPr>
            <w:tcW w:w="3077"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(1 - 0.727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w:t>
            </w:r>
            <w:r w:rsidRPr="007E6179">
              <w:rPr>
                <w:rFonts w:ascii="Times New Roman" w:hAnsi="Times New Roman" w:cs="Times New Roman"/>
                <w:b/>
                <w:bCs/>
                <w:vertAlign w:val="superscript"/>
              </w:rPr>
              <w:t>A</w:t>
            </w:r>
            <w:r w:rsidRPr="0095011F">
              <w:rPr>
                <w:rFonts w:ascii="Times New Roman" w:hAnsi="Times New Roman" w:cs="Times New Roman"/>
                <w:bCs/>
                <w:vertAlign w:val="superscript"/>
              </w:rPr>
              <w:t xml:space="preserve"> – 2.389)</w:t>
            </w:r>
            <w:r w:rsidRPr="0095011F">
              <w:rPr>
                <w:rFonts w:ascii="Times New Roman" w:hAnsi="Times New Roman" w:cs="Times New Roman"/>
                <w:bCs/>
              </w:rPr>
              <w:t>) * 100%</w:t>
            </w:r>
          </w:p>
        </w:tc>
        <w:tc>
          <w:tcPr>
            <w:tcW w:w="3019"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(1 - 0.529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w:t>
            </w:r>
            <w:r w:rsidRPr="007E6179">
              <w:rPr>
                <w:rFonts w:ascii="Times New Roman" w:hAnsi="Times New Roman" w:cs="Times New Roman"/>
                <w:b/>
                <w:bCs/>
                <w:vertAlign w:val="superscript"/>
              </w:rPr>
              <w:t>A</w:t>
            </w:r>
            <w:r w:rsidRPr="0095011F">
              <w:rPr>
                <w:rFonts w:ascii="Times New Roman" w:hAnsi="Times New Roman" w:cs="Times New Roman"/>
                <w:bCs/>
                <w:vertAlign w:val="superscript"/>
              </w:rPr>
              <w:t xml:space="preserve"> – 2.389)</w:t>
            </w:r>
            <w:r w:rsidRPr="0095011F">
              <w:rPr>
                <w:rFonts w:ascii="Times New Roman" w:hAnsi="Times New Roman" w:cs="Times New Roman"/>
                <w:bCs/>
              </w:rPr>
              <w:t>) * 100%</w:t>
            </w:r>
          </w:p>
        </w:tc>
      </w:tr>
      <w:tr w:rsidR="009323BA" w:rsidRPr="0095011F" w:rsidTr="00A23DDF">
        <w:trPr>
          <w:trHeight w:val="608"/>
        </w:trPr>
        <w:tc>
          <w:tcPr>
            <w:tcW w:w="3188"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Rest of North- and West-Europe:</w:t>
            </w:r>
          </w:p>
        </w:tc>
        <w:tc>
          <w:tcPr>
            <w:tcW w:w="3077"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(1 - 0.828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w:t>
            </w:r>
            <w:r w:rsidRPr="007E6179">
              <w:rPr>
                <w:rFonts w:ascii="Times New Roman" w:hAnsi="Times New Roman" w:cs="Times New Roman"/>
                <w:b/>
                <w:bCs/>
                <w:vertAlign w:val="superscript"/>
              </w:rPr>
              <w:t>A</w:t>
            </w:r>
            <w:r w:rsidRPr="0095011F">
              <w:rPr>
                <w:rFonts w:ascii="Times New Roman" w:hAnsi="Times New Roman" w:cs="Times New Roman"/>
                <w:bCs/>
                <w:vertAlign w:val="superscript"/>
              </w:rPr>
              <w:t xml:space="preserve"> – 2.359)</w:t>
            </w:r>
            <w:r w:rsidRPr="0095011F">
              <w:rPr>
                <w:rFonts w:ascii="Times New Roman" w:hAnsi="Times New Roman" w:cs="Times New Roman"/>
                <w:bCs/>
              </w:rPr>
              <w:t>) * 100%</w:t>
            </w:r>
          </w:p>
        </w:tc>
        <w:tc>
          <w:tcPr>
            <w:tcW w:w="3019"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(1 - 0.644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w:t>
            </w:r>
            <w:r w:rsidRPr="007E6179">
              <w:rPr>
                <w:rFonts w:ascii="Times New Roman" w:hAnsi="Times New Roman" w:cs="Times New Roman"/>
                <w:b/>
                <w:bCs/>
                <w:vertAlign w:val="superscript"/>
              </w:rPr>
              <w:t>A</w:t>
            </w:r>
            <w:r w:rsidRPr="0095011F">
              <w:rPr>
                <w:rFonts w:ascii="Times New Roman" w:hAnsi="Times New Roman" w:cs="Times New Roman"/>
                <w:bCs/>
                <w:vertAlign w:val="superscript"/>
              </w:rPr>
              <w:t xml:space="preserve"> – 2.359)</w:t>
            </w:r>
            <w:r w:rsidRPr="0095011F">
              <w:rPr>
                <w:rFonts w:ascii="Times New Roman" w:hAnsi="Times New Roman" w:cs="Times New Roman"/>
                <w:bCs/>
              </w:rPr>
              <w:t>) * 100%</w:t>
            </w:r>
          </w:p>
        </w:tc>
      </w:tr>
    </w:tbl>
    <w:p w:rsidR="009323BA" w:rsidRPr="0095011F" w:rsidRDefault="009323BA" w:rsidP="007A5C22">
      <w:pPr>
        <w:rPr>
          <w:rFonts w:ascii="Times New Roman" w:hAnsi="Times New Roman" w:cs="Times New Roman"/>
          <w:i/>
        </w:rPr>
      </w:pPr>
      <w:r w:rsidRPr="007E6179">
        <w:rPr>
          <w:rFonts w:ascii="Times New Roman" w:hAnsi="Times New Roman" w:cs="Times New Roman"/>
          <w:b/>
          <w:bCs/>
        </w:rPr>
        <w:t>A</w:t>
      </w:r>
      <w:r w:rsidRPr="0095011F">
        <w:rPr>
          <w:rFonts w:ascii="Times New Roman" w:hAnsi="Times New Roman" w:cs="Times New Roman"/>
          <w:bCs/>
        </w:rPr>
        <w:t xml:space="preserve"> = linear predictor </w:t>
      </w:r>
      <w:r w:rsidR="007E6179">
        <w:rPr>
          <w:rFonts w:ascii="Times New Roman" w:hAnsi="Times New Roman" w:cs="Times New Roman"/>
          <w:bCs/>
        </w:rPr>
        <w:t xml:space="preserve">for both 5- and 10-year risk </w:t>
      </w:r>
      <w:r w:rsidRPr="0095011F">
        <w:rPr>
          <w:rFonts w:ascii="Times New Roman" w:hAnsi="Times New Roman" w:cs="Times New Roman"/>
          <w:bCs/>
        </w:rPr>
        <w:t>=</w:t>
      </w:r>
      <w:r w:rsidRPr="0095011F">
        <w:rPr>
          <w:rFonts w:ascii="Times New Roman" w:hAnsi="Times New Roman" w:cs="Times New Roman"/>
        </w:rPr>
        <w:t xml:space="preserve"> 0.401 (if male) + 0.042 * (age in years) + 0.240 (if current smoker) + 0.543 (if diabetes) + 0.344 (if </w:t>
      </w:r>
      <w:proofErr w:type="spellStart"/>
      <w:r w:rsidRPr="0095011F">
        <w:rPr>
          <w:rFonts w:ascii="Times New Roman" w:hAnsi="Times New Roman" w:cs="Times New Roman"/>
        </w:rPr>
        <w:t>polyvascular</w:t>
      </w:r>
      <w:proofErr w:type="spellEnd"/>
      <w:r w:rsidRPr="0095011F">
        <w:rPr>
          <w:rFonts w:ascii="Times New Roman" w:hAnsi="Times New Roman" w:cs="Times New Roman"/>
        </w:rPr>
        <w:t xml:space="preserve"> disease) + 0.053 * (number of medications) - 0.037 * (systolic blood pressure in mmHg) + 0.00012 * (systolic blood pressure in mmHg)</w:t>
      </w:r>
      <w:r w:rsidRPr="0095011F">
        <w:rPr>
          <w:rFonts w:ascii="Times New Roman" w:hAnsi="Times New Roman" w:cs="Times New Roman"/>
          <w:vertAlign w:val="superscript"/>
        </w:rPr>
        <w:t xml:space="preserve">2  </w:t>
      </w:r>
      <w:r w:rsidRPr="0095011F">
        <w:rPr>
          <w:rFonts w:ascii="Times New Roman" w:hAnsi="Times New Roman" w:cs="Times New Roman"/>
        </w:rPr>
        <w:t xml:space="preserve">+ 0.876 * (LDL-cholesterol in </w:t>
      </w:r>
      <w:proofErr w:type="spellStart"/>
      <w:r w:rsidRPr="0095011F">
        <w:rPr>
          <w:rFonts w:ascii="Times New Roman" w:hAnsi="Times New Roman" w:cs="Times New Roman"/>
        </w:rPr>
        <w:t>mmol</w:t>
      </w:r>
      <w:proofErr w:type="spellEnd"/>
      <w:r w:rsidRPr="0095011F">
        <w:rPr>
          <w:rFonts w:ascii="Times New Roman" w:hAnsi="Times New Roman" w:cs="Times New Roman"/>
        </w:rPr>
        <w:t xml:space="preserve">/L)  - 0.109 * (LDL-cholesterol in </w:t>
      </w:r>
      <w:proofErr w:type="spellStart"/>
      <w:r w:rsidRPr="0095011F">
        <w:rPr>
          <w:rFonts w:ascii="Times New Roman" w:hAnsi="Times New Roman" w:cs="Times New Roman"/>
        </w:rPr>
        <w:t>mmol</w:t>
      </w:r>
      <w:proofErr w:type="spellEnd"/>
      <w:r w:rsidRPr="0095011F">
        <w:rPr>
          <w:rFonts w:ascii="Times New Roman" w:hAnsi="Times New Roman" w:cs="Times New Roman"/>
        </w:rPr>
        <w:t>/L)</w:t>
      </w:r>
      <w:r w:rsidRPr="0095011F">
        <w:rPr>
          <w:rFonts w:ascii="Times New Roman" w:hAnsi="Times New Roman" w:cs="Times New Roman"/>
          <w:vertAlign w:val="superscript"/>
        </w:rPr>
        <w:t xml:space="preserve">2 </w:t>
      </w:r>
      <w:r w:rsidRPr="0095011F">
        <w:rPr>
          <w:rFonts w:ascii="Times New Roman" w:hAnsi="Times New Roman" w:cs="Times New Roman"/>
        </w:rPr>
        <w:t xml:space="preserve">+ 0.081 * (HDL-cholesterol in </w:t>
      </w:r>
      <w:proofErr w:type="spellStart"/>
      <w:r w:rsidRPr="0095011F">
        <w:rPr>
          <w:rFonts w:ascii="Times New Roman" w:hAnsi="Times New Roman" w:cs="Times New Roman"/>
        </w:rPr>
        <w:t>mmol</w:t>
      </w:r>
      <w:proofErr w:type="spellEnd"/>
      <w:r w:rsidRPr="0095011F">
        <w:rPr>
          <w:rFonts w:ascii="Times New Roman" w:hAnsi="Times New Roman" w:cs="Times New Roman"/>
        </w:rPr>
        <w:t xml:space="preserve">/L) - 0.0053 * (MDRD in ml/min/1.73) </w:t>
      </w:r>
      <w:r w:rsidRPr="0095011F">
        <w:rPr>
          <w:rFonts w:ascii="Times New Roman" w:hAnsi="Times New Roman" w:cs="Times New Roman"/>
          <w:color w:val="0070C0"/>
        </w:rPr>
        <w:t xml:space="preserve">- </w:t>
      </w:r>
      <w:r w:rsidRPr="0095011F">
        <w:rPr>
          <w:rFonts w:ascii="Times New Roman" w:hAnsi="Times New Roman" w:cs="Times New Roman"/>
          <w:i/>
          <w:color w:val="0070C0"/>
        </w:rPr>
        <w:t>0.245 (if treated with a statin)</w:t>
      </w:r>
    </w:p>
    <w:p w:rsidR="009323BA" w:rsidRPr="0095011F" w:rsidRDefault="009323BA" w:rsidP="007A5C22">
      <w:pPr>
        <w:rPr>
          <w:rFonts w:ascii="Times New Roman" w:hAnsi="Times New Roman" w:cs="Times New Roman"/>
          <w:b/>
        </w:rPr>
      </w:pPr>
      <w:r w:rsidRPr="0095011F">
        <w:rPr>
          <w:rFonts w:ascii="Times New Roman" w:hAnsi="Times New Roman" w:cs="Times New Roman"/>
          <w:b/>
        </w:rPr>
        <w:t>Risk estimation for patients without vascular disease</w:t>
      </w:r>
    </w:p>
    <w:tbl>
      <w:tblPr>
        <w:tblStyle w:val="Tabelraster"/>
        <w:tblW w:w="9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031"/>
        <w:gridCol w:w="3130"/>
      </w:tblGrid>
      <w:tr w:rsidR="009323BA" w:rsidRPr="0095011F" w:rsidTr="00A23DDF">
        <w:trPr>
          <w:trHeight w:val="300"/>
        </w:trPr>
        <w:tc>
          <w:tcPr>
            <w:tcW w:w="3227"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Individual risk for MACE (%)</w:t>
            </w:r>
          </w:p>
        </w:tc>
        <w:tc>
          <w:tcPr>
            <w:tcW w:w="3031"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5-year:</w:t>
            </w:r>
          </w:p>
        </w:tc>
        <w:tc>
          <w:tcPr>
            <w:tcW w:w="3130"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10-year:</w:t>
            </w:r>
          </w:p>
        </w:tc>
      </w:tr>
      <w:tr w:rsidR="009323BA" w:rsidRPr="0095011F" w:rsidTr="00A23DDF">
        <w:trPr>
          <w:trHeight w:val="316"/>
        </w:trPr>
        <w:tc>
          <w:tcPr>
            <w:tcW w:w="3227"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Scotland / Ireland:</w:t>
            </w:r>
          </w:p>
        </w:tc>
        <w:tc>
          <w:tcPr>
            <w:tcW w:w="3031"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(1 - 0.838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(A – 1.934)</w:t>
            </w:r>
            <w:r w:rsidRPr="0095011F">
              <w:rPr>
                <w:rFonts w:ascii="Times New Roman" w:hAnsi="Times New Roman" w:cs="Times New Roman"/>
                <w:bCs/>
              </w:rPr>
              <w:t>) * 100%</w:t>
            </w:r>
          </w:p>
        </w:tc>
        <w:tc>
          <w:tcPr>
            <w:tcW w:w="3130"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(1 - 0.703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(A – 1.934)</w:t>
            </w:r>
            <w:r w:rsidRPr="0095011F">
              <w:rPr>
                <w:rFonts w:ascii="Times New Roman" w:hAnsi="Times New Roman" w:cs="Times New Roman"/>
                <w:bCs/>
              </w:rPr>
              <w:t>) * 100%</w:t>
            </w:r>
          </w:p>
        </w:tc>
      </w:tr>
      <w:tr w:rsidR="009323BA" w:rsidRPr="0095011F" w:rsidTr="00A23DDF">
        <w:trPr>
          <w:trHeight w:val="600"/>
        </w:trPr>
        <w:tc>
          <w:tcPr>
            <w:tcW w:w="3227"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Rest of North- and West-Europe:</w:t>
            </w:r>
          </w:p>
        </w:tc>
        <w:tc>
          <w:tcPr>
            <w:tcW w:w="3031"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(1 - 0.895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(A – 1.968)</w:t>
            </w:r>
            <w:r w:rsidRPr="0095011F">
              <w:rPr>
                <w:rFonts w:ascii="Times New Roman" w:hAnsi="Times New Roman" w:cs="Times New Roman"/>
                <w:bCs/>
              </w:rPr>
              <w:t>) * 100%</w:t>
            </w:r>
          </w:p>
        </w:tc>
        <w:tc>
          <w:tcPr>
            <w:tcW w:w="3130" w:type="dxa"/>
            <w:shd w:val="clear" w:color="auto" w:fill="auto"/>
          </w:tcPr>
          <w:p w:rsidR="009323BA" w:rsidRPr="0095011F" w:rsidRDefault="009323BA" w:rsidP="007A5C22">
            <w:pPr>
              <w:spacing w:line="276" w:lineRule="auto"/>
              <w:rPr>
                <w:rFonts w:ascii="Times New Roman" w:hAnsi="Times New Roman" w:cs="Times New Roman"/>
                <w:bCs/>
              </w:rPr>
            </w:pPr>
            <w:r w:rsidRPr="0095011F">
              <w:rPr>
                <w:rFonts w:ascii="Times New Roman" w:hAnsi="Times New Roman" w:cs="Times New Roman"/>
                <w:bCs/>
              </w:rPr>
              <w:t>(1 - 0.801 ^</w:t>
            </w:r>
            <w:proofErr w:type="spellStart"/>
            <w:r w:rsidRPr="0095011F">
              <w:rPr>
                <w:rFonts w:ascii="Times New Roman" w:hAnsi="Times New Roman" w:cs="Times New Roman"/>
                <w:bCs/>
                <w:vertAlign w:val="superscript"/>
              </w:rPr>
              <w:t>exp</w:t>
            </w:r>
            <w:proofErr w:type="spellEnd"/>
            <w:r w:rsidRPr="0095011F">
              <w:rPr>
                <w:rFonts w:ascii="Times New Roman" w:hAnsi="Times New Roman" w:cs="Times New Roman"/>
                <w:bCs/>
                <w:vertAlign w:val="superscript"/>
              </w:rPr>
              <w:t>(A – 1.968</w:t>
            </w:r>
            <w:r w:rsidRPr="0095011F">
              <w:rPr>
                <w:rFonts w:ascii="Times New Roman" w:hAnsi="Times New Roman" w:cs="Times New Roman"/>
                <w:bCs/>
              </w:rPr>
              <w:t>) * 100%</w:t>
            </w:r>
          </w:p>
        </w:tc>
      </w:tr>
    </w:tbl>
    <w:p w:rsidR="009323BA" w:rsidRPr="0095011F" w:rsidRDefault="009323BA" w:rsidP="007A5C22">
      <w:pPr>
        <w:rPr>
          <w:rFonts w:ascii="Times New Roman" w:hAnsi="Times New Roman" w:cs="Times New Roman"/>
          <w:i/>
          <w:color w:val="0070C0"/>
        </w:rPr>
      </w:pPr>
      <w:r w:rsidRPr="007E6179">
        <w:rPr>
          <w:rFonts w:ascii="Times New Roman" w:hAnsi="Times New Roman" w:cs="Times New Roman"/>
          <w:b/>
          <w:bCs/>
        </w:rPr>
        <w:t>A</w:t>
      </w:r>
      <w:r w:rsidRPr="0095011F">
        <w:rPr>
          <w:rFonts w:ascii="Times New Roman" w:hAnsi="Times New Roman" w:cs="Times New Roman"/>
          <w:bCs/>
        </w:rPr>
        <w:t xml:space="preserve"> = linear predictor</w:t>
      </w:r>
      <w:r w:rsidR="007E6179">
        <w:rPr>
          <w:rFonts w:ascii="Times New Roman" w:hAnsi="Times New Roman" w:cs="Times New Roman"/>
          <w:bCs/>
        </w:rPr>
        <w:t xml:space="preserve"> for both 5- and 10-year risk</w:t>
      </w:r>
      <w:r w:rsidRPr="0095011F">
        <w:rPr>
          <w:rFonts w:ascii="Times New Roman" w:hAnsi="Times New Roman" w:cs="Times New Roman"/>
          <w:bCs/>
        </w:rPr>
        <w:t xml:space="preserve"> =</w:t>
      </w:r>
      <w:r w:rsidRPr="0095011F">
        <w:rPr>
          <w:rFonts w:ascii="Times New Roman" w:hAnsi="Times New Roman" w:cs="Times New Roman"/>
        </w:rPr>
        <w:t xml:space="preserve"> 0.283 (if male) + 0.037 * (age in years) + 0.290 (if current smoker) + 0.210 (if diabetes) + 0.090 * (number of medications) + 0.0060 * (systolic blood pressure in mmHg) + 0.0070 * (LDL-cholesterol in </w:t>
      </w:r>
      <w:proofErr w:type="spellStart"/>
      <w:r w:rsidRPr="0095011F">
        <w:rPr>
          <w:rFonts w:ascii="Times New Roman" w:hAnsi="Times New Roman" w:cs="Times New Roman"/>
        </w:rPr>
        <w:t>mmol</w:t>
      </w:r>
      <w:proofErr w:type="spellEnd"/>
      <w:r w:rsidRPr="0095011F">
        <w:rPr>
          <w:rFonts w:ascii="Times New Roman" w:hAnsi="Times New Roman" w:cs="Times New Roman"/>
        </w:rPr>
        <w:t xml:space="preserve">/L) - 0.359 * (HDL-cholesterol in </w:t>
      </w:r>
      <w:proofErr w:type="spellStart"/>
      <w:r w:rsidRPr="0095011F">
        <w:rPr>
          <w:rFonts w:ascii="Times New Roman" w:hAnsi="Times New Roman" w:cs="Times New Roman"/>
        </w:rPr>
        <w:t>mmol</w:t>
      </w:r>
      <w:proofErr w:type="spellEnd"/>
      <w:r w:rsidRPr="0095011F">
        <w:rPr>
          <w:rFonts w:ascii="Times New Roman" w:hAnsi="Times New Roman" w:cs="Times New Roman"/>
        </w:rPr>
        <w:t>/L)</w:t>
      </w:r>
      <w:r w:rsidRPr="0095011F">
        <w:rPr>
          <w:rFonts w:ascii="Times New Roman" w:hAnsi="Times New Roman" w:cs="Times New Roman"/>
          <w:vertAlign w:val="superscript"/>
        </w:rPr>
        <w:t xml:space="preserve"> </w:t>
      </w:r>
      <w:r w:rsidRPr="0095011F">
        <w:rPr>
          <w:rFonts w:ascii="Times New Roman" w:hAnsi="Times New Roman" w:cs="Times New Roman"/>
        </w:rPr>
        <w:t>- 0.061 * (MDRD in ml/min/1.73) + 0.00048 * (MDRD in ml/min/1.73)</w:t>
      </w:r>
      <w:r w:rsidRPr="0095011F">
        <w:rPr>
          <w:rFonts w:ascii="Times New Roman" w:hAnsi="Times New Roman" w:cs="Times New Roman"/>
          <w:vertAlign w:val="superscript"/>
        </w:rPr>
        <w:t xml:space="preserve"> 2 </w:t>
      </w:r>
      <w:r w:rsidRPr="0095011F">
        <w:rPr>
          <w:rFonts w:ascii="Times New Roman" w:hAnsi="Times New Roman" w:cs="Times New Roman"/>
          <w:color w:val="0070C0"/>
        </w:rPr>
        <w:t xml:space="preserve">- </w:t>
      </w:r>
      <w:r w:rsidRPr="0095011F">
        <w:rPr>
          <w:rFonts w:ascii="Times New Roman" w:hAnsi="Times New Roman" w:cs="Times New Roman"/>
          <w:i/>
          <w:color w:val="0070C0"/>
        </w:rPr>
        <w:t>0.140 (if treated with a statin)</w:t>
      </w:r>
    </w:p>
    <w:p w:rsidR="009323BA" w:rsidRPr="0095011F" w:rsidRDefault="009323BA" w:rsidP="007A5C22">
      <w:pPr>
        <w:rPr>
          <w:rFonts w:ascii="Times New Roman" w:hAnsi="Times New Roman" w:cs="Times New Roman"/>
          <w:b/>
        </w:rPr>
      </w:pPr>
      <w:r w:rsidRPr="0095011F">
        <w:rPr>
          <w:rFonts w:ascii="Times New Roman" w:hAnsi="Times New Roman" w:cs="Times New Roman"/>
          <w:b/>
        </w:rPr>
        <w:t>Absolute risk reduction (ARR)</w:t>
      </w:r>
    </w:p>
    <w:p w:rsidR="009323BA" w:rsidRPr="0095011F" w:rsidRDefault="009323BA" w:rsidP="007A5C22">
      <w:pPr>
        <w:rPr>
          <w:rFonts w:ascii="Times New Roman" w:hAnsi="Times New Roman" w:cs="Times New Roman"/>
        </w:rPr>
      </w:pPr>
      <w:r w:rsidRPr="0095011F">
        <w:rPr>
          <w:rFonts w:ascii="Times New Roman" w:hAnsi="Times New Roman" w:cs="Times New Roman"/>
        </w:rPr>
        <w:t>ARR = individual MACE risk (%) without a statin – individual MACE risk (%) with a statin</w:t>
      </w:r>
    </w:p>
    <w:p w:rsidR="009323BA" w:rsidRPr="0095011F" w:rsidRDefault="009323BA" w:rsidP="007A5C22">
      <w:pPr>
        <w:rPr>
          <w:rFonts w:ascii="Times New Roman" w:hAnsi="Times New Roman" w:cs="Times New Roman"/>
          <w:b/>
        </w:rPr>
      </w:pPr>
    </w:p>
    <w:p w:rsidR="009323BA" w:rsidRPr="0095011F" w:rsidRDefault="009323BA" w:rsidP="007A5C22">
      <w:pPr>
        <w:rPr>
          <w:rFonts w:ascii="Times New Roman" w:hAnsi="Times New Roman" w:cs="Times New Roman"/>
          <w:b/>
        </w:rPr>
      </w:pPr>
    </w:p>
    <w:p w:rsidR="009323BA" w:rsidRPr="0095011F" w:rsidRDefault="009323BA" w:rsidP="007A5C22">
      <w:pPr>
        <w:rPr>
          <w:rFonts w:ascii="Times New Roman" w:hAnsi="Times New Roman" w:cs="Times New Roman"/>
          <w:b/>
          <w:i/>
        </w:rPr>
      </w:pPr>
    </w:p>
    <w:p w:rsidR="009323BA" w:rsidRPr="0095011F" w:rsidRDefault="009323BA" w:rsidP="007A5C22">
      <w:pPr>
        <w:rPr>
          <w:rFonts w:ascii="Times New Roman" w:hAnsi="Times New Roman" w:cs="Times New Roman"/>
          <w:i/>
        </w:rPr>
      </w:pPr>
      <w:r w:rsidRPr="0095011F">
        <w:rPr>
          <w:rFonts w:ascii="Times New Roman" w:hAnsi="Times New Roman" w:cs="Times New Roman"/>
          <w:i/>
        </w:rPr>
        <w:br w:type="page"/>
      </w:r>
    </w:p>
    <w:p w:rsidR="009323BA" w:rsidRPr="0095011F" w:rsidRDefault="009323BA" w:rsidP="007A5C22">
      <w:pPr>
        <w:rPr>
          <w:rFonts w:ascii="Times New Roman" w:hAnsi="Times New Roman" w:cs="Times New Roman"/>
        </w:rPr>
      </w:pPr>
      <w:r w:rsidRPr="0095011F">
        <w:rPr>
          <w:rFonts w:ascii="Times New Roman" w:hAnsi="Times New Roman" w:cs="Times New Roman"/>
          <w:b/>
        </w:rPr>
        <w:lastRenderedPageBreak/>
        <w:t>Calculation example Net Benefit for a 5-year NWT = 40</w:t>
      </w:r>
      <w:r w:rsidRPr="0095011F">
        <w:rPr>
          <w:rFonts w:ascii="Times New Roman" w:hAnsi="Times New Roman" w:cs="Times New Roman"/>
        </w:rPr>
        <w:br/>
      </w:r>
      <w:r w:rsidRPr="0095011F">
        <w:rPr>
          <w:rFonts w:ascii="Times New Roman" w:hAnsi="Times New Roman" w:cs="Times New Roman"/>
        </w:rPr>
        <w:br/>
        <w:t>The net benefit method by Vickers et al.</w:t>
      </w:r>
      <w:hyperlink w:anchor="_ENREF_1" w:tooltip="Vickers, 2007 #60" w:history="1">
        <w:r w:rsidR="007A5C22" w:rsidRPr="0095011F">
          <w:rPr>
            <w:rFonts w:ascii="Times New Roman" w:hAnsi="Times New Roman" w:cs="Times New Roman"/>
          </w:rPr>
          <w:fldChar w:fldCharType="begin"/>
        </w:r>
        <w:r w:rsidR="007A5C22" w:rsidRPr="0095011F">
          <w:rPr>
            <w:rFonts w:ascii="Times New Roman" w:hAnsi="Times New Roman" w:cs="Times New Roman"/>
          </w:rPr>
          <w:instrText xml:space="preserve"> ADDIN EN.CITE &lt;EndNote&gt;&lt;Cite&gt;&lt;Author&gt;Vickers&lt;/Author&gt;&lt;Year&gt;2007&lt;/Year&gt;&lt;RecNum&gt;60&lt;/RecNum&gt;&lt;DisplayText&gt;&lt;style face="superscript"&gt;1&lt;/style&gt;&lt;/DisplayText&gt;&lt;record&gt;&lt;rec-number&gt;60&lt;/rec-number&gt;&lt;foreign-keys&gt;&lt;key app="EN" db-id="ppt0xs295awf9ce9e5fpw52jzx92ff5frx0w"&gt;60&lt;/key&gt;&lt;/foreign-keys&gt;&lt;ref-type name="Journal Article"&gt;17&lt;/ref-type&gt;&lt;contributors&gt;&lt;authors&gt;&lt;author&gt;Vickers, A. J.&lt;/author&gt;&lt;author&gt;Kattan, M. W.&lt;/author&gt;&lt;author&gt;Daniel, S.&lt;/author&gt;&lt;/authors&gt;&lt;/contributors&gt;&lt;auth-address&gt;Department of Epidemiology and , Memorial Sloan-Kettering Cancer Center, 1275 York Avenue NY, NY 10021, USA. vickersa@mskcc.org&lt;/auth-address&gt;&lt;titles&gt;&lt;title&gt;Method for evaluating prediction models that apply the results of randomized trials to individual patients&lt;/title&gt;&lt;secondary-title&gt;Trials&lt;/secondary-title&gt;&lt;alt-title&gt;Trials&lt;/alt-title&gt;&lt;/titles&gt;&lt;periodical&gt;&lt;full-title&gt;Trials&lt;/full-title&gt;&lt;abbr-1&gt;Trials&lt;/abbr-1&gt;&lt;/periodical&gt;&lt;alt-periodical&gt;&lt;full-title&gt;Trials&lt;/full-title&gt;&lt;abbr-1&gt;Trials&lt;/abbr-1&gt;&lt;/alt-periodical&gt;&lt;pages&gt;14&lt;/pages&gt;&lt;volume&gt;8&lt;/volume&gt;&lt;dates&gt;&lt;year&gt;2007&lt;/year&gt;&lt;/dates&gt;&lt;isbn&gt;1745-6215 (Electronic)&amp;#xD;1745-6215 (Linking)&lt;/isbn&gt;&lt;accession-num&gt;17550609&lt;/accession-num&gt;&lt;urls&gt;&lt;related-urls&gt;&lt;url&gt;http://www.ncbi.nlm.nih.gov/pubmed/17550609&lt;/url&gt;&lt;/related-urls&gt;&lt;/urls&gt;&lt;custom2&gt;1914366&lt;/custom2&gt;&lt;electronic-resource-num&gt;10.1186/1745-6215-8-14&lt;/electronic-resource-num&gt;&lt;language&gt;eng&lt;/language&gt;&lt;/record&gt;&lt;/Cite&gt;&lt;/EndNote&gt;</w:instrText>
        </w:r>
        <w:r w:rsidR="007A5C22" w:rsidRPr="0095011F">
          <w:rPr>
            <w:rFonts w:ascii="Times New Roman" w:hAnsi="Times New Roman" w:cs="Times New Roman"/>
          </w:rPr>
          <w:fldChar w:fldCharType="separate"/>
        </w:r>
        <w:r w:rsidR="007A5C22" w:rsidRPr="0095011F">
          <w:rPr>
            <w:rFonts w:ascii="Times New Roman" w:hAnsi="Times New Roman" w:cs="Times New Roman"/>
            <w:noProof/>
            <w:vertAlign w:val="superscript"/>
          </w:rPr>
          <w:t>1</w:t>
        </w:r>
        <w:r w:rsidR="007A5C22" w:rsidRPr="0095011F">
          <w:rPr>
            <w:rFonts w:ascii="Times New Roman" w:hAnsi="Times New Roman" w:cs="Times New Roman"/>
          </w:rPr>
          <w:fldChar w:fldCharType="end"/>
        </w:r>
      </w:hyperlink>
      <w:r w:rsidRPr="0095011F">
        <w:rPr>
          <w:rFonts w:ascii="Times New Roman" w:hAnsi="Times New Roman" w:cs="Times New Roman"/>
        </w:rPr>
        <w:t xml:space="preserve"> is an instrument for weighing benefit and harms of treatment for different treatment strategies on a group level. Benefit in the measure is the observed mean absolute risk reduction in the population. Harm is not measured directly, but includes expected costs, side effects and other negative effects of treatment. Net benefit is presented in a graph for different treatment thresholds. A treatment threshold is chosen by a physician who decides how many patients he or she is willing to treat to prevent one event, i.e. the number willing to treat (NWT). The treatment threshold is the minimal absolute risk reduction for which a physician believes the benefit of statin treatment outweighs the harm of treatment (= 100/NWT). For example, a 5-year NWT of 50 corresponds to a treatment threshold of 2%, which means that only patients with a predicted 5-year ARR ≥2% are treated with a statin. Harm is indirectly incorporated in the treatment threshold, as one will only treat patients who have high absolute treatment effect if a treatment is considered harmful (low NWT). If a treatment is relatively safe and cheap, both patients with high and lower absolute treatment effect may be treated, which corresponds to a low treatment threshold (high NWT). </w:t>
      </w:r>
    </w:p>
    <w:p w:rsidR="009323BA" w:rsidRPr="0095011F" w:rsidRDefault="009323BA" w:rsidP="007A5C22">
      <w:pPr>
        <w:rPr>
          <w:rFonts w:ascii="Times New Roman" w:hAnsi="Times New Roman" w:cs="Times New Roman"/>
        </w:rPr>
      </w:pPr>
      <w:r w:rsidRPr="0095011F">
        <w:rPr>
          <w:rFonts w:ascii="Times New Roman" w:hAnsi="Times New Roman" w:cs="Times New Roman"/>
        </w:rPr>
        <w:t xml:space="preserve">Now we provide an example of net benefit estimation for a statin in elderly patients without vascular disease. In figure 3B, net benefit is shown for a range of treatment thresholds. In this example, a NWT for 5 years of 40 is chosen, which corresponds to a treatment threshold ARR of 2.5% (=100/40). </w:t>
      </w:r>
    </w:p>
    <w:tbl>
      <w:tblPr>
        <w:tblW w:w="9160" w:type="dxa"/>
        <w:tblInd w:w="55" w:type="dxa"/>
        <w:tblLayout w:type="fixed"/>
        <w:tblCellMar>
          <w:left w:w="70" w:type="dxa"/>
          <w:right w:w="70" w:type="dxa"/>
        </w:tblCellMar>
        <w:tblLook w:val="04A0" w:firstRow="1" w:lastRow="0" w:firstColumn="1" w:lastColumn="0" w:noHBand="0" w:noVBand="1"/>
      </w:tblPr>
      <w:tblGrid>
        <w:gridCol w:w="2709"/>
        <w:gridCol w:w="1842"/>
        <w:gridCol w:w="2268"/>
        <w:gridCol w:w="2341"/>
      </w:tblGrid>
      <w:tr w:rsidR="009323BA" w:rsidRPr="0095011F" w:rsidTr="00A23DDF">
        <w:trPr>
          <w:trHeight w:val="300"/>
        </w:trPr>
        <w:tc>
          <w:tcPr>
            <w:tcW w:w="2709" w:type="dxa"/>
            <w:tcBorders>
              <w:top w:val="nil"/>
              <w:left w:val="nil"/>
              <w:bottom w:val="nil"/>
              <w:right w:val="nil"/>
            </w:tcBorders>
            <w:shd w:val="clear" w:color="000000" w:fill="FFFFFF"/>
            <w:noWrap/>
            <w:vAlign w:val="bottom"/>
            <w:hideMark/>
          </w:tcPr>
          <w:p w:rsidR="009323BA" w:rsidRPr="0095011F" w:rsidRDefault="009323BA" w:rsidP="007A5C22">
            <w:pPr>
              <w:spacing w:after="0"/>
              <w:rPr>
                <w:rFonts w:ascii="Times New Roman" w:eastAsia="Times New Roman" w:hAnsi="Times New Roman" w:cs="Times New Roman"/>
                <w:color w:val="000000"/>
                <w:lang w:val="en-GB" w:eastAsia="nl-NL"/>
              </w:rPr>
            </w:pPr>
            <w:r w:rsidRPr="0095011F">
              <w:rPr>
                <w:rFonts w:ascii="Times New Roman" w:eastAsia="Times New Roman" w:hAnsi="Times New Roman" w:cs="Times New Roman"/>
                <w:color w:val="000000"/>
                <w:lang w:val="en-GB" w:eastAsia="nl-NL"/>
              </w:rPr>
              <w:t> </w:t>
            </w:r>
          </w:p>
        </w:tc>
        <w:tc>
          <w:tcPr>
            <w:tcW w:w="1842" w:type="dxa"/>
            <w:tcBorders>
              <w:top w:val="nil"/>
              <w:left w:val="nil"/>
              <w:bottom w:val="single" w:sz="4" w:space="0" w:color="auto"/>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b/>
                <w:bCs/>
                <w:color w:val="000000"/>
                <w:lang w:val="en-GB" w:eastAsia="nl-NL"/>
              </w:rPr>
            </w:pPr>
            <w:r w:rsidRPr="0095011F">
              <w:rPr>
                <w:rFonts w:ascii="Times New Roman" w:eastAsia="Times New Roman" w:hAnsi="Times New Roman" w:cs="Times New Roman"/>
                <w:b/>
                <w:bCs/>
                <w:color w:val="000000"/>
                <w:lang w:val="en-GB" w:eastAsia="nl-NL"/>
              </w:rPr>
              <w:t>Treat none</w:t>
            </w:r>
          </w:p>
        </w:tc>
        <w:tc>
          <w:tcPr>
            <w:tcW w:w="2268" w:type="dxa"/>
            <w:tcBorders>
              <w:top w:val="nil"/>
              <w:left w:val="nil"/>
              <w:bottom w:val="single" w:sz="4" w:space="0" w:color="auto"/>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b/>
                <w:bCs/>
                <w:color w:val="000000"/>
                <w:lang w:val="en-GB" w:eastAsia="nl-NL"/>
              </w:rPr>
            </w:pPr>
            <w:r w:rsidRPr="0095011F">
              <w:rPr>
                <w:rFonts w:ascii="Times New Roman" w:eastAsia="Times New Roman" w:hAnsi="Times New Roman" w:cs="Times New Roman"/>
                <w:b/>
                <w:bCs/>
                <w:color w:val="000000"/>
                <w:lang w:val="en-GB" w:eastAsia="nl-NL"/>
              </w:rPr>
              <w:t>Treat all</w:t>
            </w:r>
          </w:p>
        </w:tc>
        <w:tc>
          <w:tcPr>
            <w:tcW w:w="2341" w:type="dxa"/>
            <w:tcBorders>
              <w:top w:val="nil"/>
              <w:left w:val="nil"/>
              <w:bottom w:val="single" w:sz="4" w:space="0" w:color="auto"/>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b/>
                <w:bCs/>
                <w:color w:val="000000"/>
                <w:lang w:val="en-GB" w:eastAsia="nl-NL"/>
              </w:rPr>
            </w:pPr>
            <w:r w:rsidRPr="0095011F">
              <w:rPr>
                <w:rFonts w:ascii="Times New Roman" w:eastAsia="Times New Roman" w:hAnsi="Times New Roman" w:cs="Times New Roman"/>
                <w:b/>
                <w:bCs/>
                <w:color w:val="000000"/>
                <w:lang w:val="en-GB" w:eastAsia="nl-NL"/>
              </w:rPr>
              <w:t>Prediction-based treatment</w:t>
            </w:r>
          </w:p>
        </w:tc>
      </w:tr>
      <w:tr w:rsidR="009323BA" w:rsidRPr="0095011F" w:rsidTr="00A23DDF">
        <w:trPr>
          <w:trHeight w:val="300"/>
        </w:trPr>
        <w:tc>
          <w:tcPr>
            <w:tcW w:w="2709" w:type="dxa"/>
            <w:tcBorders>
              <w:top w:val="nil"/>
              <w:left w:val="nil"/>
              <w:bottom w:val="nil"/>
              <w:right w:val="nil"/>
            </w:tcBorders>
            <w:shd w:val="clear" w:color="000000" w:fill="FFFFFF"/>
            <w:noWrap/>
            <w:vAlign w:val="bottom"/>
            <w:hideMark/>
          </w:tcPr>
          <w:p w:rsidR="009323BA" w:rsidRPr="0095011F" w:rsidRDefault="009323BA" w:rsidP="007A5C22">
            <w:pPr>
              <w:spacing w:after="0"/>
              <w:rPr>
                <w:rFonts w:ascii="Times New Roman" w:eastAsia="Times New Roman" w:hAnsi="Times New Roman" w:cs="Times New Roman"/>
                <w:color w:val="000000"/>
                <w:lang w:val="en-GB" w:eastAsia="nl-NL"/>
              </w:rPr>
            </w:pPr>
            <w:r w:rsidRPr="0095011F">
              <w:rPr>
                <w:rFonts w:ascii="Times New Roman" w:eastAsia="Times New Roman" w:hAnsi="Times New Roman" w:cs="Times New Roman"/>
                <w:color w:val="000000"/>
                <w:lang w:val="en-GB" w:eastAsia="nl-NL"/>
              </w:rPr>
              <w:t>N patients treated (%)</w:t>
            </w:r>
          </w:p>
        </w:tc>
        <w:tc>
          <w:tcPr>
            <w:tcW w:w="1842"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en-GB" w:eastAsia="nl-NL"/>
              </w:rPr>
            </w:pPr>
            <w:r w:rsidRPr="0095011F">
              <w:rPr>
                <w:rFonts w:ascii="Times New Roman" w:eastAsia="Times New Roman" w:hAnsi="Times New Roman" w:cs="Times New Roman"/>
                <w:color w:val="000000"/>
                <w:lang w:val="en-GB" w:eastAsia="nl-NL"/>
              </w:rPr>
              <w:t>0 (0%)</w:t>
            </w:r>
          </w:p>
        </w:tc>
        <w:tc>
          <w:tcPr>
            <w:tcW w:w="2268"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en-GB" w:eastAsia="nl-NL"/>
              </w:rPr>
            </w:pPr>
            <w:r w:rsidRPr="0095011F">
              <w:rPr>
                <w:rFonts w:ascii="Times New Roman" w:eastAsia="Times New Roman" w:hAnsi="Times New Roman" w:cs="Times New Roman"/>
                <w:color w:val="000000"/>
                <w:lang w:val="en-GB" w:eastAsia="nl-NL"/>
              </w:rPr>
              <w:t>5146 (100%)</w:t>
            </w:r>
          </w:p>
        </w:tc>
        <w:tc>
          <w:tcPr>
            <w:tcW w:w="2341"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en-GB" w:eastAsia="nl-NL"/>
              </w:rPr>
            </w:pPr>
            <w:r w:rsidRPr="0095011F">
              <w:rPr>
                <w:rFonts w:ascii="Times New Roman" w:eastAsia="Times New Roman" w:hAnsi="Times New Roman" w:cs="Times New Roman"/>
                <w:color w:val="000000"/>
                <w:lang w:val="en-GB" w:eastAsia="nl-NL"/>
              </w:rPr>
              <w:t>693 (13.47%)</w:t>
            </w:r>
          </w:p>
        </w:tc>
      </w:tr>
      <w:tr w:rsidR="009323BA" w:rsidRPr="0095011F" w:rsidTr="00A23DDF">
        <w:trPr>
          <w:trHeight w:val="300"/>
        </w:trPr>
        <w:tc>
          <w:tcPr>
            <w:tcW w:w="2709" w:type="dxa"/>
            <w:tcBorders>
              <w:top w:val="nil"/>
              <w:left w:val="nil"/>
              <w:bottom w:val="nil"/>
              <w:right w:val="nil"/>
            </w:tcBorders>
            <w:shd w:val="clear" w:color="000000" w:fill="FFFFFF"/>
            <w:noWrap/>
            <w:vAlign w:val="bottom"/>
            <w:hideMark/>
          </w:tcPr>
          <w:p w:rsidR="009323BA" w:rsidRPr="0095011F" w:rsidRDefault="009323BA" w:rsidP="007A5C22">
            <w:pPr>
              <w:spacing w:after="0"/>
              <w:rPr>
                <w:rFonts w:ascii="Times New Roman" w:eastAsia="Times New Roman" w:hAnsi="Times New Roman" w:cs="Times New Roman"/>
                <w:color w:val="000000"/>
                <w:lang w:val="en-GB" w:eastAsia="nl-NL"/>
              </w:rPr>
            </w:pPr>
            <w:r w:rsidRPr="0095011F">
              <w:rPr>
                <w:rFonts w:ascii="Times New Roman" w:eastAsia="Times New Roman" w:hAnsi="Times New Roman" w:cs="Times New Roman"/>
                <w:color w:val="000000"/>
                <w:lang w:val="en-GB" w:eastAsia="nl-NL"/>
              </w:rPr>
              <w:t>5-year event rate</w:t>
            </w:r>
          </w:p>
        </w:tc>
        <w:tc>
          <w:tcPr>
            <w:tcW w:w="1842"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nl-NL" w:eastAsia="nl-NL"/>
              </w:rPr>
            </w:pPr>
            <w:r w:rsidRPr="0095011F">
              <w:rPr>
                <w:rFonts w:ascii="Times New Roman" w:eastAsia="Times New Roman" w:hAnsi="Times New Roman" w:cs="Times New Roman"/>
                <w:color w:val="000000"/>
                <w:lang w:val="en-GB" w:eastAsia="nl-NL"/>
              </w:rPr>
              <w:t>1</w:t>
            </w:r>
            <w:r w:rsidRPr="0095011F">
              <w:rPr>
                <w:rFonts w:ascii="Times New Roman" w:eastAsia="Times New Roman" w:hAnsi="Times New Roman" w:cs="Times New Roman"/>
                <w:color w:val="000000"/>
                <w:lang w:eastAsia="nl-NL"/>
              </w:rPr>
              <w:t>5</w:t>
            </w:r>
            <w:r w:rsidRPr="0095011F">
              <w:rPr>
                <w:rFonts w:ascii="Times New Roman" w:eastAsia="Times New Roman" w:hAnsi="Times New Roman" w:cs="Times New Roman"/>
                <w:color w:val="000000"/>
                <w:lang w:val="nl-NL" w:eastAsia="nl-NL"/>
              </w:rPr>
              <w:t>.91%</w:t>
            </w:r>
          </w:p>
        </w:tc>
        <w:tc>
          <w:tcPr>
            <w:tcW w:w="2268"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nl-NL" w:eastAsia="nl-NL"/>
              </w:rPr>
            </w:pPr>
            <w:r w:rsidRPr="0095011F">
              <w:rPr>
                <w:rFonts w:ascii="Times New Roman" w:eastAsia="Times New Roman" w:hAnsi="Times New Roman" w:cs="Times New Roman"/>
                <w:color w:val="000000"/>
                <w:lang w:val="nl-NL" w:eastAsia="nl-NL"/>
              </w:rPr>
              <w:t>13.45%</w:t>
            </w:r>
          </w:p>
        </w:tc>
        <w:tc>
          <w:tcPr>
            <w:tcW w:w="2341"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nl-NL" w:eastAsia="nl-NL"/>
              </w:rPr>
            </w:pPr>
            <w:r w:rsidRPr="0095011F">
              <w:rPr>
                <w:rFonts w:ascii="Times New Roman" w:eastAsia="Times New Roman" w:hAnsi="Times New Roman" w:cs="Times New Roman"/>
                <w:color w:val="000000"/>
                <w:lang w:val="nl-NL" w:eastAsia="nl-NL"/>
              </w:rPr>
              <w:t>14.98%</w:t>
            </w:r>
          </w:p>
        </w:tc>
      </w:tr>
      <w:tr w:rsidR="009323BA" w:rsidRPr="0095011F" w:rsidTr="00A23DDF">
        <w:trPr>
          <w:trHeight w:val="300"/>
        </w:trPr>
        <w:tc>
          <w:tcPr>
            <w:tcW w:w="2709" w:type="dxa"/>
            <w:tcBorders>
              <w:top w:val="nil"/>
              <w:left w:val="nil"/>
              <w:bottom w:val="nil"/>
              <w:right w:val="nil"/>
            </w:tcBorders>
            <w:shd w:val="clear" w:color="000000" w:fill="FFFFFF"/>
            <w:noWrap/>
            <w:vAlign w:val="bottom"/>
            <w:hideMark/>
          </w:tcPr>
          <w:p w:rsidR="009323BA" w:rsidRPr="0095011F" w:rsidRDefault="009323BA" w:rsidP="007A5C22">
            <w:pPr>
              <w:spacing w:after="0"/>
              <w:rPr>
                <w:rFonts w:ascii="Times New Roman" w:eastAsia="Times New Roman" w:hAnsi="Times New Roman" w:cs="Times New Roman"/>
                <w:color w:val="000000"/>
                <w:lang w:eastAsia="nl-NL"/>
              </w:rPr>
            </w:pPr>
            <w:r w:rsidRPr="0095011F">
              <w:rPr>
                <w:rFonts w:ascii="Times New Roman" w:eastAsia="Times New Roman" w:hAnsi="Times New Roman" w:cs="Times New Roman"/>
                <w:color w:val="000000"/>
                <w:lang w:eastAsia="nl-NL"/>
              </w:rPr>
              <w:t>Decrease in 5-year event rate</w:t>
            </w:r>
          </w:p>
        </w:tc>
        <w:tc>
          <w:tcPr>
            <w:tcW w:w="1842"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nl-NL" w:eastAsia="nl-NL"/>
              </w:rPr>
            </w:pPr>
            <w:r w:rsidRPr="0095011F">
              <w:rPr>
                <w:rFonts w:ascii="Times New Roman" w:eastAsia="Times New Roman" w:hAnsi="Times New Roman" w:cs="Times New Roman"/>
                <w:color w:val="000000"/>
                <w:lang w:val="nl-NL" w:eastAsia="nl-NL"/>
              </w:rPr>
              <w:t>0%</w:t>
            </w:r>
          </w:p>
        </w:tc>
        <w:tc>
          <w:tcPr>
            <w:tcW w:w="2268"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val="nl-NL" w:eastAsia="nl-NL"/>
              </w:rPr>
            </w:pPr>
            <w:r w:rsidRPr="0095011F">
              <w:rPr>
                <w:rFonts w:ascii="Times New Roman" w:eastAsia="Times New Roman" w:hAnsi="Times New Roman" w:cs="Times New Roman"/>
                <w:color w:val="000000"/>
                <w:lang w:val="nl-NL" w:eastAsia="nl-NL"/>
              </w:rPr>
              <w:t>15.91 - 13.45 = 2.46%</w:t>
            </w:r>
          </w:p>
        </w:tc>
        <w:tc>
          <w:tcPr>
            <w:tcW w:w="2341"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eastAsia="nl-NL"/>
              </w:rPr>
            </w:pPr>
            <w:r w:rsidRPr="0095011F">
              <w:rPr>
                <w:rFonts w:ascii="Times New Roman" w:eastAsia="Times New Roman" w:hAnsi="Times New Roman" w:cs="Times New Roman"/>
                <w:color w:val="000000"/>
                <w:lang w:eastAsia="nl-NL"/>
              </w:rPr>
              <w:t>15.91 – 14.98 = 0.93%</w:t>
            </w:r>
          </w:p>
        </w:tc>
      </w:tr>
      <w:tr w:rsidR="009323BA" w:rsidRPr="0095011F" w:rsidTr="00A23DDF">
        <w:trPr>
          <w:trHeight w:val="300"/>
        </w:trPr>
        <w:tc>
          <w:tcPr>
            <w:tcW w:w="2709" w:type="dxa"/>
            <w:tcBorders>
              <w:top w:val="nil"/>
              <w:left w:val="nil"/>
              <w:bottom w:val="nil"/>
              <w:right w:val="nil"/>
            </w:tcBorders>
            <w:shd w:val="clear" w:color="000000" w:fill="FFFFFF"/>
            <w:noWrap/>
            <w:vAlign w:val="bottom"/>
            <w:hideMark/>
          </w:tcPr>
          <w:p w:rsidR="009323BA" w:rsidRPr="0095011F" w:rsidRDefault="009323BA" w:rsidP="007A5C22">
            <w:pPr>
              <w:spacing w:after="0"/>
              <w:rPr>
                <w:rFonts w:ascii="Times New Roman" w:eastAsia="Times New Roman" w:hAnsi="Times New Roman" w:cs="Times New Roman"/>
                <w:color w:val="000000"/>
                <w:lang w:eastAsia="nl-NL"/>
              </w:rPr>
            </w:pPr>
            <w:r w:rsidRPr="0095011F">
              <w:rPr>
                <w:rFonts w:ascii="Times New Roman" w:eastAsia="Times New Roman" w:hAnsi="Times New Roman" w:cs="Times New Roman"/>
                <w:color w:val="000000"/>
                <w:lang w:eastAsia="nl-NL"/>
              </w:rPr>
              <w:t>Net benefit</w:t>
            </w:r>
          </w:p>
        </w:tc>
        <w:tc>
          <w:tcPr>
            <w:tcW w:w="1842"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eastAsia="nl-NL"/>
              </w:rPr>
            </w:pPr>
            <w:r w:rsidRPr="0095011F">
              <w:rPr>
                <w:rFonts w:ascii="Times New Roman" w:eastAsia="Times New Roman" w:hAnsi="Times New Roman" w:cs="Times New Roman"/>
                <w:color w:val="000000"/>
                <w:lang w:eastAsia="nl-NL"/>
              </w:rPr>
              <w:t>0%</w:t>
            </w:r>
          </w:p>
        </w:tc>
        <w:tc>
          <w:tcPr>
            <w:tcW w:w="2268"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color w:val="000000"/>
                <w:lang w:eastAsia="nl-NL"/>
              </w:rPr>
            </w:pPr>
            <w:r w:rsidRPr="0095011F">
              <w:rPr>
                <w:rFonts w:ascii="Times New Roman" w:eastAsia="Times New Roman" w:hAnsi="Times New Roman" w:cs="Times New Roman"/>
                <w:color w:val="000000"/>
                <w:lang w:eastAsia="nl-NL"/>
              </w:rPr>
              <w:t>-0.04%</w:t>
            </w:r>
          </w:p>
        </w:tc>
        <w:tc>
          <w:tcPr>
            <w:tcW w:w="2341" w:type="dxa"/>
            <w:tcBorders>
              <w:top w:val="nil"/>
              <w:left w:val="nil"/>
              <w:bottom w:val="nil"/>
              <w:right w:val="nil"/>
            </w:tcBorders>
            <w:shd w:val="clear" w:color="000000" w:fill="FFFFFF"/>
            <w:noWrap/>
            <w:vAlign w:val="bottom"/>
            <w:hideMark/>
          </w:tcPr>
          <w:p w:rsidR="009323BA" w:rsidRPr="0095011F" w:rsidRDefault="00AB3404" w:rsidP="007A5C22">
            <w:pPr>
              <w:spacing w:after="0"/>
              <w:jc w:val="center"/>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0.59</w:t>
            </w:r>
            <w:bookmarkStart w:id="0" w:name="_GoBack"/>
            <w:bookmarkEnd w:id="0"/>
            <w:r w:rsidR="009323BA" w:rsidRPr="0095011F">
              <w:rPr>
                <w:rFonts w:ascii="Times New Roman" w:eastAsia="Times New Roman" w:hAnsi="Times New Roman" w:cs="Times New Roman"/>
                <w:color w:val="000000"/>
                <w:lang w:eastAsia="nl-NL"/>
              </w:rPr>
              <w:t>%</w:t>
            </w:r>
          </w:p>
        </w:tc>
      </w:tr>
    </w:tbl>
    <w:p w:rsidR="009323BA" w:rsidRPr="0095011F" w:rsidRDefault="009323BA" w:rsidP="007A5C22">
      <w:pPr>
        <w:rPr>
          <w:rFonts w:ascii="Times New Roman" w:hAnsi="Times New Roman" w:cs="Times New Roman"/>
        </w:rPr>
      </w:pPr>
    </w:p>
    <w:p w:rsidR="009323BA" w:rsidRPr="0095011F" w:rsidRDefault="009323BA" w:rsidP="007A5C22">
      <w:pPr>
        <w:rPr>
          <w:rFonts w:ascii="Times New Roman" w:hAnsi="Times New Roman" w:cs="Times New Roman"/>
        </w:rPr>
      </w:pPr>
      <w:r w:rsidRPr="0095011F">
        <w:rPr>
          <w:rFonts w:ascii="Times New Roman" w:hAnsi="Times New Roman" w:cs="Times New Roman"/>
        </w:rPr>
        <w:t>The event rate for the strategy “treat none” is the observed event rate in patients not treated with a statin (15.91%). For the strategy “treat all”, the event rate is the observed event rate in patients treated with a statin (13.45%). If all patients are treated with a statin, 2.46% less major cardiovascular events will occur compared to treating none.</w:t>
      </w:r>
    </w:p>
    <w:p w:rsidR="009323BA" w:rsidRPr="0095011F" w:rsidRDefault="009323BA" w:rsidP="007A5C22">
      <w:pPr>
        <w:rPr>
          <w:rFonts w:ascii="Times New Roman" w:hAnsi="Times New Roman" w:cs="Times New Roman"/>
        </w:rPr>
      </w:pPr>
      <w:r w:rsidRPr="0095011F">
        <w:rPr>
          <w:rFonts w:ascii="Times New Roman" w:hAnsi="Times New Roman" w:cs="Times New Roman"/>
        </w:rPr>
        <w:t xml:space="preserve">The event rate for prediction-based treatment is the observed event rate in patients treated with a statin for whom the prediction model recommends treatment (predicted ARR ≥2.5%), plus the observed event rate in patients not on a statin for whom the prediction model discourages treatment (predicted ARR &lt;2.5%). The event rate for prediction-based treatment is 14.98%, which means a 0.93% decrease in 5-year event rate compared to treating none. </w:t>
      </w:r>
    </w:p>
    <w:p w:rsidR="009323BA" w:rsidRPr="0095011F" w:rsidRDefault="009323BA" w:rsidP="007A5C22">
      <w:pPr>
        <w:rPr>
          <w:rFonts w:ascii="Times New Roman" w:hAnsi="Times New Roman" w:cs="Times New Roman"/>
        </w:rPr>
      </w:pPr>
      <w:r w:rsidRPr="0095011F">
        <w:rPr>
          <w:rFonts w:ascii="Times New Roman" w:hAnsi="Times New Roman" w:cs="Times New Roman"/>
        </w:rPr>
        <w:t>Net benefit is estimated as follows:</w:t>
      </w:r>
    </w:p>
    <w:tbl>
      <w:tblPr>
        <w:tblW w:w="9654" w:type="dxa"/>
        <w:tblInd w:w="55" w:type="dxa"/>
        <w:tblCellMar>
          <w:left w:w="70" w:type="dxa"/>
          <w:right w:w="70" w:type="dxa"/>
        </w:tblCellMar>
        <w:tblLook w:val="04A0" w:firstRow="1" w:lastRow="0" w:firstColumn="1" w:lastColumn="0" w:noHBand="0" w:noVBand="1"/>
      </w:tblPr>
      <w:tblGrid>
        <w:gridCol w:w="3276"/>
        <w:gridCol w:w="2268"/>
        <w:gridCol w:w="2835"/>
        <w:gridCol w:w="1275"/>
      </w:tblGrid>
      <w:tr w:rsidR="009323BA" w:rsidRPr="0095011F" w:rsidTr="00A23DDF">
        <w:trPr>
          <w:trHeight w:val="275"/>
        </w:trPr>
        <w:tc>
          <w:tcPr>
            <w:tcW w:w="3276" w:type="dxa"/>
            <w:tcBorders>
              <w:top w:val="nil"/>
              <w:left w:val="nil"/>
              <w:bottom w:val="nil"/>
              <w:right w:val="nil"/>
            </w:tcBorders>
            <w:shd w:val="clear" w:color="000000" w:fill="FFFFFF"/>
            <w:noWrap/>
            <w:vAlign w:val="bottom"/>
            <w:hideMark/>
          </w:tcPr>
          <w:p w:rsidR="009323BA" w:rsidRPr="0095011F" w:rsidRDefault="009323BA" w:rsidP="007A5C22">
            <w:pPr>
              <w:spacing w:after="0"/>
              <w:rPr>
                <w:rFonts w:ascii="Times New Roman" w:eastAsia="Times New Roman" w:hAnsi="Times New Roman" w:cs="Times New Roman"/>
                <w:color w:val="0070C0"/>
                <w:lang w:eastAsia="nl-NL"/>
              </w:rPr>
            </w:pPr>
            <w:r w:rsidRPr="0095011F">
              <w:rPr>
                <w:rFonts w:ascii="Times New Roman" w:eastAsia="Times New Roman" w:hAnsi="Times New Roman" w:cs="Times New Roman"/>
                <w:color w:val="0070C0"/>
                <w:lang w:eastAsia="nl-NL"/>
              </w:rPr>
              <w:t>Decrease in 5-year event rate (%) -</w:t>
            </w:r>
          </w:p>
        </w:tc>
        <w:tc>
          <w:tcPr>
            <w:tcW w:w="2268" w:type="dxa"/>
            <w:tcBorders>
              <w:top w:val="nil"/>
              <w:left w:val="nil"/>
              <w:bottom w:val="nil"/>
              <w:right w:val="nil"/>
            </w:tcBorders>
            <w:shd w:val="clear" w:color="auto" w:fill="auto"/>
            <w:noWrap/>
            <w:vAlign w:val="bottom"/>
            <w:hideMark/>
          </w:tcPr>
          <w:p w:rsidR="009323BA" w:rsidRPr="0095011F" w:rsidRDefault="009323BA" w:rsidP="007A5C22">
            <w:pPr>
              <w:spacing w:after="0"/>
              <w:rPr>
                <w:rFonts w:ascii="Times New Roman" w:eastAsia="Times New Roman" w:hAnsi="Times New Roman" w:cs="Times New Roman"/>
                <w:color w:val="C00000"/>
                <w:lang w:eastAsia="nl-NL"/>
              </w:rPr>
            </w:pPr>
            <w:r w:rsidRPr="0095011F">
              <w:rPr>
                <w:rFonts w:ascii="Times New Roman" w:eastAsia="Times New Roman" w:hAnsi="Times New Roman" w:cs="Times New Roman"/>
                <w:color w:val="C00000"/>
                <w:lang w:eastAsia="nl-NL"/>
              </w:rPr>
              <w:t>(Patients treated (%)   *</w:t>
            </w:r>
          </w:p>
        </w:tc>
        <w:tc>
          <w:tcPr>
            <w:tcW w:w="4110" w:type="dxa"/>
            <w:gridSpan w:val="2"/>
            <w:tcBorders>
              <w:top w:val="nil"/>
              <w:left w:val="nil"/>
              <w:bottom w:val="nil"/>
              <w:right w:val="nil"/>
            </w:tcBorders>
            <w:shd w:val="clear" w:color="000000" w:fill="FFFFFF"/>
            <w:noWrap/>
            <w:vAlign w:val="bottom"/>
            <w:hideMark/>
          </w:tcPr>
          <w:p w:rsidR="009323BA" w:rsidRPr="0095011F" w:rsidRDefault="009323BA" w:rsidP="007A5C22">
            <w:pPr>
              <w:spacing w:after="0"/>
              <w:rPr>
                <w:rFonts w:ascii="Times New Roman" w:eastAsia="Times New Roman" w:hAnsi="Times New Roman" w:cs="Times New Roman"/>
                <w:color w:val="C00000"/>
                <w:lang w:eastAsia="nl-NL"/>
              </w:rPr>
            </w:pPr>
            <w:r w:rsidRPr="0095011F">
              <w:rPr>
                <w:rFonts w:ascii="Times New Roman" w:eastAsia="Times New Roman" w:hAnsi="Times New Roman" w:cs="Times New Roman"/>
                <w:color w:val="C00000"/>
                <w:lang w:eastAsia="nl-NL"/>
              </w:rPr>
              <w:t>Treatment threshold (=1/NWT))</w:t>
            </w:r>
          </w:p>
        </w:tc>
      </w:tr>
      <w:tr w:rsidR="009323BA" w:rsidRPr="0095011F" w:rsidTr="00A23DDF">
        <w:trPr>
          <w:gridAfter w:val="1"/>
          <w:wAfter w:w="1275" w:type="dxa"/>
          <w:trHeight w:val="275"/>
        </w:trPr>
        <w:tc>
          <w:tcPr>
            <w:tcW w:w="3276" w:type="dxa"/>
            <w:tcBorders>
              <w:top w:val="nil"/>
              <w:left w:val="nil"/>
              <w:bottom w:val="nil"/>
              <w:right w:val="nil"/>
            </w:tcBorders>
            <w:shd w:val="clear" w:color="000000" w:fill="FFFFFF"/>
            <w:noWrap/>
            <w:vAlign w:val="bottom"/>
            <w:hideMark/>
          </w:tcPr>
          <w:p w:rsidR="009323BA" w:rsidRPr="0095011F" w:rsidRDefault="009323BA" w:rsidP="007A5C22">
            <w:pPr>
              <w:spacing w:after="0"/>
              <w:jc w:val="center"/>
              <w:rPr>
                <w:rFonts w:ascii="Times New Roman" w:eastAsia="Times New Roman" w:hAnsi="Times New Roman" w:cs="Times New Roman"/>
                <w:i/>
                <w:color w:val="0070C0"/>
                <w:lang w:eastAsia="nl-NL"/>
              </w:rPr>
            </w:pPr>
            <w:r w:rsidRPr="0095011F">
              <w:rPr>
                <w:rFonts w:ascii="Times New Roman" w:eastAsia="Times New Roman" w:hAnsi="Times New Roman" w:cs="Times New Roman"/>
                <w:i/>
                <w:color w:val="0070C0"/>
                <w:lang w:eastAsia="nl-NL"/>
              </w:rPr>
              <w:t>Benefit</w:t>
            </w:r>
          </w:p>
        </w:tc>
        <w:tc>
          <w:tcPr>
            <w:tcW w:w="5103" w:type="dxa"/>
            <w:gridSpan w:val="2"/>
            <w:tcBorders>
              <w:top w:val="nil"/>
              <w:left w:val="nil"/>
              <w:bottom w:val="nil"/>
            </w:tcBorders>
            <w:shd w:val="clear" w:color="auto" w:fill="auto"/>
            <w:noWrap/>
            <w:vAlign w:val="bottom"/>
            <w:hideMark/>
          </w:tcPr>
          <w:p w:rsidR="009323BA" w:rsidRPr="0095011F" w:rsidRDefault="009323BA" w:rsidP="007A5C22">
            <w:pPr>
              <w:spacing w:after="0"/>
              <w:jc w:val="center"/>
              <w:rPr>
                <w:rFonts w:ascii="Times New Roman" w:eastAsia="Times New Roman" w:hAnsi="Times New Roman" w:cs="Times New Roman"/>
                <w:i/>
                <w:color w:val="C00000"/>
                <w:lang w:eastAsia="nl-NL"/>
              </w:rPr>
            </w:pPr>
            <w:r w:rsidRPr="0095011F">
              <w:rPr>
                <w:rFonts w:ascii="Times New Roman" w:eastAsia="Times New Roman" w:hAnsi="Times New Roman" w:cs="Times New Roman"/>
                <w:i/>
                <w:color w:val="C00000"/>
                <w:lang w:eastAsia="nl-NL"/>
              </w:rPr>
              <w:t>Harms</w:t>
            </w:r>
          </w:p>
        </w:tc>
      </w:tr>
    </w:tbl>
    <w:p w:rsidR="009323BA" w:rsidRPr="0095011F" w:rsidRDefault="009323BA" w:rsidP="007A5C22">
      <w:pPr>
        <w:rPr>
          <w:rFonts w:ascii="Times New Roman" w:hAnsi="Times New Roman" w:cs="Times New Roman"/>
        </w:rPr>
      </w:pPr>
      <w:r w:rsidRPr="0095011F">
        <w:rPr>
          <w:rFonts w:ascii="Times New Roman" w:hAnsi="Times New Roman" w:cs="Times New Roman"/>
        </w:rPr>
        <w:t xml:space="preserve"> </w:t>
      </w:r>
      <w:r w:rsidRPr="0095011F">
        <w:rPr>
          <w:rFonts w:ascii="Times New Roman" w:hAnsi="Times New Roman" w:cs="Times New Roman"/>
        </w:rPr>
        <w:br/>
        <w:t>Net benefit treat all = 2.46% - (100% * (1/40)) = -0.04%</w:t>
      </w:r>
      <w:r w:rsidRPr="0095011F">
        <w:rPr>
          <w:rFonts w:ascii="Times New Roman" w:hAnsi="Times New Roman" w:cs="Times New Roman"/>
        </w:rPr>
        <w:br/>
      </w:r>
      <w:r w:rsidRPr="0095011F">
        <w:rPr>
          <w:rFonts w:ascii="Times New Roman" w:hAnsi="Times New Roman" w:cs="Times New Roman"/>
        </w:rPr>
        <w:br/>
        <w:t>Net benefit prediction-based treatment = 0.93% - (13.47% * (1/40)) = 0.59%</w:t>
      </w:r>
    </w:p>
    <w:p w:rsidR="009323BA" w:rsidRPr="0095011F" w:rsidRDefault="009323BA" w:rsidP="007A5C22">
      <w:pPr>
        <w:rPr>
          <w:rFonts w:ascii="Times New Roman" w:hAnsi="Times New Roman" w:cs="Times New Roman"/>
        </w:rPr>
      </w:pPr>
      <w:r w:rsidRPr="0095011F">
        <w:rPr>
          <w:rFonts w:ascii="Times New Roman" w:hAnsi="Times New Roman" w:cs="Times New Roman"/>
        </w:rPr>
        <w:t>This means that if one chooses a NWT of 40, treatment according to the prediction model has a more favorable trade-off between benefit and harms of treatment than treating all patients.</w:t>
      </w:r>
      <w:r w:rsidRPr="0095011F">
        <w:rPr>
          <w:rFonts w:ascii="Times New Roman" w:hAnsi="Times New Roman" w:cs="Times New Roman"/>
        </w:rPr>
        <w:br w:type="page"/>
      </w:r>
    </w:p>
    <w:p w:rsidR="009323BA" w:rsidRPr="0095011F" w:rsidRDefault="00986EB6" w:rsidP="007A5C22">
      <w:pPr>
        <w:rPr>
          <w:rFonts w:ascii="Times New Roman" w:hAnsi="Times New Roman" w:cs="Times New Roman"/>
          <w:b/>
        </w:rPr>
      </w:pPr>
      <w:r>
        <w:rPr>
          <w:rFonts w:ascii="Times New Roman" w:hAnsi="Times New Roman" w:cs="Times New Roman"/>
          <w:b/>
        </w:rPr>
        <w:lastRenderedPageBreak/>
        <w:t>Fig</w:t>
      </w:r>
      <w:r w:rsidR="005B01E0">
        <w:rPr>
          <w:rFonts w:ascii="Times New Roman" w:hAnsi="Times New Roman" w:cs="Times New Roman"/>
          <w:b/>
        </w:rPr>
        <w:t xml:space="preserve">. </w:t>
      </w:r>
      <w:r>
        <w:rPr>
          <w:rFonts w:ascii="Times New Roman" w:hAnsi="Times New Roman" w:cs="Times New Roman"/>
          <w:b/>
        </w:rPr>
        <w:t>S</w:t>
      </w:r>
      <w:r w:rsidR="009323BA" w:rsidRPr="0095011F">
        <w:rPr>
          <w:rFonts w:ascii="Times New Roman" w:hAnsi="Times New Roman" w:cs="Times New Roman"/>
          <w:b/>
        </w:rPr>
        <w:t>1 Net benefit analysis</w:t>
      </w:r>
    </w:p>
    <w:p w:rsidR="009323BA" w:rsidRPr="0095011F" w:rsidRDefault="000D0694" w:rsidP="007A5C22">
      <w:pPr>
        <w:rPr>
          <w:rFonts w:ascii="Times New Roman" w:hAnsi="Times New Roman" w:cs="Times New Roman"/>
          <w:b/>
        </w:rPr>
      </w:pPr>
      <w:r w:rsidRPr="0095011F">
        <w:rPr>
          <w:rFonts w:ascii="Times New Roman" w:hAnsi="Times New Roman" w:cs="Times New Roman"/>
          <w:b/>
          <w:noProof/>
          <w:lang w:val="en-GB" w:eastAsia="en-GB"/>
        </w:rPr>
        <w:drawing>
          <wp:anchor distT="0" distB="0" distL="114300" distR="114300" simplePos="0" relativeHeight="251663360" behindDoc="1" locked="0" layoutInCell="1" allowOverlap="1" wp14:anchorId="1F190420" wp14:editId="1DC01160">
            <wp:simplePos x="0" y="0"/>
            <wp:positionH relativeFrom="column">
              <wp:posOffset>-33020</wp:posOffset>
            </wp:positionH>
            <wp:positionV relativeFrom="paragraph">
              <wp:posOffset>295910</wp:posOffset>
            </wp:positionV>
            <wp:extent cx="5804535" cy="2638425"/>
            <wp:effectExtent l="0" t="0" r="5715" b="9525"/>
            <wp:wrapTight wrapText="bothSides">
              <wp:wrapPolygon edited="0">
                <wp:start x="0" y="0"/>
                <wp:lineTo x="0" y="21522"/>
                <wp:lineTo x="21550" y="21522"/>
                <wp:lineTo x="21550"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 benefit.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4535" cy="2638425"/>
                    </a:xfrm>
                    <a:prstGeom prst="rect">
                      <a:avLst/>
                    </a:prstGeom>
                  </pic:spPr>
                </pic:pic>
              </a:graphicData>
            </a:graphic>
            <wp14:sizeRelH relativeFrom="page">
              <wp14:pctWidth>0</wp14:pctWidth>
            </wp14:sizeRelH>
            <wp14:sizeRelV relativeFrom="page">
              <wp14:pctHeight>0</wp14:pctHeight>
            </wp14:sizeRelV>
          </wp:anchor>
        </w:drawing>
      </w:r>
      <w:r w:rsidR="009323BA" w:rsidRPr="0095011F">
        <w:rPr>
          <w:rFonts w:ascii="Times New Roman" w:hAnsi="Times New Roman" w:cs="Times New Roman"/>
          <w:b/>
        </w:rPr>
        <w:t>A - Patients with vasc</w:t>
      </w:r>
      <w:r w:rsidRPr="0095011F">
        <w:rPr>
          <w:rFonts w:ascii="Times New Roman" w:hAnsi="Times New Roman" w:cs="Times New Roman"/>
          <w:b/>
        </w:rPr>
        <w:t xml:space="preserve">ular disease </w:t>
      </w:r>
      <w:r w:rsidRPr="0095011F">
        <w:rPr>
          <w:rFonts w:ascii="Times New Roman" w:hAnsi="Times New Roman" w:cs="Times New Roman"/>
          <w:b/>
        </w:rPr>
        <w:tab/>
        <w:t xml:space="preserve">       </w:t>
      </w:r>
      <w:r w:rsidRPr="0095011F">
        <w:rPr>
          <w:rFonts w:ascii="Times New Roman" w:hAnsi="Times New Roman" w:cs="Times New Roman"/>
          <w:b/>
        </w:rPr>
        <w:tab/>
        <w:t xml:space="preserve">    </w:t>
      </w:r>
      <w:r w:rsidR="009323BA" w:rsidRPr="0095011F">
        <w:rPr>
          <w:rFonts w:ascii="Times New Roman" w:hAnsi="Times New Roman" w:cs="Times New Roman"/>
          <w:b/>
        </w:rPr>
        <w:t>B - Patients without vascular disease</w:t>
      </w:r>
    </w:p>
    <w:p w:rsidR="00AD0C69" w:rsidRPr="0095011F" w:rsidRDefault="000D0694" w:rsidP="007A5C22">
      <w:pPr>
        <w:rPr>
          <w:rFonts w:ascii="Times New Roman" w:hAnsi="Times New Roman" w:cs="Times New Roman"/>
          <w:b/>
        </w:rPr>
      </w:pPr>
      <w:r w:rsidRPr="0095011F">
        <w:rPr>
          <w:rFonts w:ascii="Times New Roman" w:hAnsi="Times New Roman" w:cs="Times New Roman"/>
          <w:noProof/>
          <w:lang w:val="en-GB" w:eastAsia="en-GB"/>
        </w:rPr>
        <mc:AlternateContent>
          <mc:Choice Requires="wps">
            <w:drawing>
              <wp:anchor distT="0" distB="0" distL="114300" distR="114300" simplePos="0" relativeHeight="251662336" behindDoc="0" locked="0" layoutInCell="1" allowOverlap="1" wp14:anchorId="6C6749DE" wp14:editId="5189BA1D">
                <wp:simplePos x="0" y="0"/>
                <wp:positionH relativeFrom="column">
                  <wp:posOffset>-52070</wp:posOffset>
                </wp:positionH>
                <wp:positionV relativeFrom="paragraph">
                  <wp:posOffset>3810</wp:posOffset>
                </wp:positionV>
                <wp:extent cx="5505450" cy="106680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066800"/>
                        </a:xfrm>
                        <a:prstGeom prst="rect">
                          <a:avLst/>
                        </a:prstGeom>
                        <a:solidFill>
                          <a:srgbClr val="FFFFFF"/>
                        </a:solidFill>
                        <a:ln w="9525">
                          <a:noFill/>
                          <a:miter lim="800000"/>
                          <a:headEnd/>
                          <a:tailEnd/>
                        </a:ln>
                      </wps:spPr>
                      <wps:txbx>
                        <w:txbxContent>
                          <w:p w:rsidR="00A14460" w:rsidRPr="0095011F" w:rsidRDefault="00A14460">
                            <w:pPr>
                              <w:rPr>
                                <w:rFonts w:ascii="Times New Roman" w:hAnsi="Times New Roman" w:cs="Times New Roman"/>
                                <w:sz w:val="20"/>
                                <w:szCs w:val="20"/>
                                <w:lang w:val="en-GB"/>
                              </w:rPr>
                            </w:pPr>
                            <w:r w:rsidRPr="0095011F">
                              <w:rPr>
                                <w:rFonts w:ascii="Times New Roman" w:hAnsi="Times New Roman" w:cs="Times New Roman"/>
                                <w:sz w:val="20"/>
                                <w:szCs w:val="20"/>
                              </w:rPr>
                              <w:t>For secondary prevention of vascular disease, treating all elderly patients with a statin is more beneficial than prediction-based treatment irrespective of the treatment threshold a physician chooses. For primary prevention of vascular disease, treatment according to the prediction model is more beneficial than treating all elderly patients with a statin for a treatment threshold ≥1.0% predicted 5-year ARR (5-year NWT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4.1pt;margin-top:.3pt;width:433.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" stroked="f">
                <v:textbox>
                  <w:txbxContent>
                    <w:p w:rsidR="00A14460" w:rsidRPr="0095011F" w:rsidRDefault="00A14460">
                      <w:pPr>
                        <w:rPr>
                          <w:rFonts w:ascii="Times New Roman" w:hAnsi="Times New Roman" w:cs="Times New Roman"/>
                          <w:sz w:val="20"/>
                          <w:szCs w:val="20"/>
                          <w:lang w:val="en-GB"/>
                        </w:rPr>
                      </w:pPr>
                      <w:r w:rsidRPr="0095011F">
                        <w:rPr>
                          <w:rFonts w:ascii="Times New Roman" w:hAnsi="Times New Roman" w:cs="Times New Roman"/>
                          <w:sz w:val="20"/>
                          <w:szCs w:val="20"/>
                        </w:rPr>
                        <w:t>For secondary prevention of vascular disease, treating all elderly patients with a statin is more beneficial than prediction-based treatment irrespective of the treatment threshold a physician chooses. For primary prevention of vascular disease, treatment according to the prediction model is more beneficial than treating all elderly patients with a statin for a treatment threshold ≥1.0% predicted 5-year ARR (5-year NWT ≤100).</w:t>
                      </w:r>
                    </w:p>
                  </w:txbxContent>
                </v:textbox>
              </v:shape>
            </w:pict>
          </mc:Fallback>
        </mc:AlternateContent>
      </w:r>
    </w:p>
    <w:p w:rsidR="00A06C49" w:rsidRPr="0095011F" w:rsidRDefault="00A06C49" w:rsidP="007A5C22">
      <w:pPr>
        <w:rPr>
          <w:rFonts w:ascii="Times New Roman" w:hAnsi="Times New Roman" w:cs="Times New Roman"/>
          <w:b/>
        </w:rPr>
      </w:pPr>
    </w:p>
    <w:tbl>
      <w:tblPr>
        <w:tblpPr w:leftFromText="141" w:rightFromText="141" w:vertAnchor="text" w:horzAnchor="margin" w:tblpY="929"/>
        <w:tblOverlap w:val="never"/>
        <w:tblW w:w="5063" w:type="pct"/>
        <w:tblCellMar>
          <w:left w:w="0" w:type="dxa"/>
          <w:right w:w="0" w:type="dxa"/>
        </w:tblCellMar>
        <w:tblLook w:val="04A0" w:firstRow="1" w:lastRow="0" w:firstColumn="1" w:lastColumn="0" w:noHBand="0" w:noVBand="1"/>
      </w:tblPr>
      <w:tblGrid>
        <w:gridCol w:w="1354"/>
        <w:gridCol w:w="2087"/>
        <w:gridCol w:w="1814"/>
        <w:gridCol w:w="1719"/>
        <w:gridCol w:w="2212"/>
      </w:tblGrid>
      <w:tr w:rsidR="000D0694" w:rsidRPr="0095011F" w:rsidTr="000D0694">
        <w:trPr>
          <w:trHeight w:val="113"/>
        </w:trPr>
        <w:tc>
          <w:tcPr>
            <w:tcW w:w="5000" w:type="pct"/>
            <w:gridSpan w:val="5"/>
            <w:tcBorders>
              <w:top w:val="nil"/>
              <w:left w:val="nil"/>
              <w:bottom w:val="nil"/>
              <w:right w:val="nil"/>
            </w:tcBorders>
            <w:shd w:val="clear" w:color="000000" w:fill="FFFFFF"/>
          </w:tcPr>
          <w:p w:rsidR="000D0694" w:rsidRPr="0095011F" w:rsidRDefault="000D0694" w:rsidP="000D0694">
            <w:pPr>
              <w:rPr>
                <w:rFonts w:ascii="Times New Roman" w:hAnsi="Times New Roman" w:cs="Times New Roman"/>
                <w:b/>
                <w:bCs/>
                <w:color w:val="000000"/>
              </w:rPr>
            </w:pPr>
            <w:r w:rsidRPr="0095011F">
              <w:rPr>
                <w:rFonts w:ascii="Times New Roman" w:hAnsi="Times New Roman" w:cs="Times New Roman"/>
                <w:b/>
                <w:bCs/>
                <w:color w:val="000000"/>
              </w:rPr>
              <w:t xml:space="preserve">Table </w:t>
            </w:r>
            <w:r w:rsidR="00986EB6">
              <w:rPr>
                <w:rFonts w:ascii="Times New Roman" w:hAnsi="Times New Roman" w:cs="Times New Roman"/>
                <w:b/>
                <w:bCs/>
                <w:color w:val="000000"/>
              </w:rPr>
              <w:t>S</w:t>
            </w:r>
            <w:r w:rsidRPr="0095011F">
              <w:rPr>
                <w:rFonts w:ascii="Times New Roman" w:hAnsi="Times New Roman" w:cs="Times New Roman"/>
                <w:b/>
                <w:bCs/>
                <w:color w:val="000000"/>
              </w:rPr>
              <w:t xml:space="preserve">2. Net benefit analysis in patients without vascular disease </w:t>
            </w:r>
            <w:r w:rsidRPr="0095011F">
              <w:rPr>
                <w:rFonts w:ascii="Times New Roman" w:hAnsi="Times New Roman" w:cs="Times New Roman"/>
                <w:b/>
                <w:iCs/>
                <w:color w:val="000000"/>
              </w:rPr>
              <w:t>(</w:t>
            </w:r>
            <w:proofErr w:type="spellStart"/>
            <w:r w:rsidRPr="0095011F">
              <w:rPr>
                <w:rFonts w:ascii="Times New Roman" w:hAnsi="Times New Roman" w:cs="Times New Roman"/>
                <w:b/>
                <w:iCs/>
                <w:color w:val="000000"/>
              </w:rPr>
              <w:t>eFigure</w:t>
            </w:r>
            <w:proofErr w:type="spellEnd"/>
            <w:r w:rsidRPr="0095011F">
              <w:rPr>
                <w:rFonts w:ascii="Times New Roman" w:hAnsi="Times New Roman" w:cs="Times New Roman"/>
                <w:b/>
                <w:iCs/>
                <w:color w:val="000000"/>
              </w:rPr>
              <w:t xml:space="preserve"> 1B)</w:t>
            </w:r>
          </w:p>
        </w:tc>
      </w:tr>
      <w:tr w:rsidR="000D0694" w:rsidRPr="0095011F" w:rsidTr="000D0694">
        <w:trPr>
          <w:gridAfter w:val="1"/>
          <w:wAfter w:w="1206" w:type="pct"/>
          <w:trHeight w:val="113"/>
        </w:trPr>
        <w:tc>
          <w:tcPr>
            <w:tcW w:w="739"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i/>
                <w:iCs/>
                <w:color w:val="000000"/>
              </w:rPr>
            </w:pPr>
            <w:r w:rsidRPr="0095011F">
              <w:rPr>
                <w:rFonts w:ascii="Times New Roman" w:hAnsi="Times New Roman" w:cs="Times New Roman"/>
                <w:i/>
                <w:iCs/>
                <w:color w:val="000000"/>
              </w:rPr>
              <w:t>NWT</w:t>
            </w:r>
          </w:p>
        </w:tc>
        <w:tc>
          <w:tcPr>
            <w:tcW w:w="1138" w:type="pct"/>
            <w:tcBorders>
              <w:top w:val="nil"/>
              <w:left w:val="nil"/>
              <w:bottom w:val="single" w:sz="4" w:space="0" w:color="auto"/>
              <w:right w:val="nil"/>
            </w:tcBorders>
            <w:shd w:val="clear" w:color="000000" w:fill="FFFFFF"/>
            <w:vAlign w:val="center"/>
          </w:tcPr>
          <w:p w:rsidR="000D0694" w:rsidRPr="0095011F" w:rsidRDefault="000D0694" w:rsidP="000D0694">
            <w:pPr>
              <w:jc w:val="center"/>
              <w:rPr>
                <w:rFonts w:ascii="Times New Roman" w:hAnsi="Times New Roman" w:cs="Times New Roman"/>
                <w:i/>
                <w:iCs/>
                <w:color w:val="000000"/>
              </w:rPr>
            </w:pPr>
            <w:r w:rsidRPr="0095011F">
              <w:rPr>
                <w:rFonts w:ascii="Times New Roman" w:hAnsi="Times New Roman" w:cs="Times New Roman"/>
                <w:i/>
                <w:iCs/>
                <w:color w:val="000000"/>
              </w:rPr>
              <w:t xml:space="preserve">Strategy with </w:t>
            </w:r>
            <w:r w:rsidRPr="0095011F">
              <w:rPr>
                <w:rFonts w:ascii="Times New Roman" w:hAnsi="Times New Roman" w:cs="Times New Roman"/>
                <w:i/>
                <w:iCs/>
                <w:color w:val="000000"/>
              </w:rPr>
              <w:br/>
              <w:t>highest net benefit</w:t>
            </w:r>
          </w:p>
        </w:tc>
        <w:tc>
          <w:tcPr>
            <w:tcW w:w="979"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i/>
                <w:iCs/>
                <w:color w:val="000000"/>
              </w:rPr>
            </w:pPr>
            <w:r w:rsidRPr="0095011F">
              <w:rPr>
                <w:rFonts w:ascii="Times New Roman" w:hAnsi="Times New Roman" w:cs="Times New Roman"/>
                <w:i/>
                <w:iCs/>
                <w:color w:val="000000"/>
              </w:rPr>
              <w:t>Patients treated (%)</w:t>
            </w:r>
          </w:p>
        </w:tc>
        <w:tc>
          <w:tcPr>
            <w:tcW w:w="938"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i/>
                <w:iCs/>
                <w:color w:val="000000"/>
              </w:rPr>
            </w:pPr>
            <w:r w:rsidRPr="0095011F">
              <w:rPr>
                <w:rFonts w:ascii="Times New Roman" w:hAnsi="Times New Roman" w:cs="Times New Roman"/>
                <w:i/>
                <w:iCs/>
                <w:color w:val="000000"/>
              </w:rPr>
              <w:t>Event rate (%)*</w:t>
            </w:r>
          </w:p>
        </w:tc>
      </w:tr>
      <w:tr w:rsidR="000D0694" w:rsidRPr="0095011F" w:rsidTr="000D0694">
        <w:trPr>
          <w:gridAfter w:val="1"/>
          <w:wAfter w:w="1206" w:type="pct"/>
          <w:trHeight w:val="113"/>
        </w:trPr>
        <w:tc>
          <w:tcPr>
            <w:tcW w:w="73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Infinite (&gt;100)</w:t>
            </w:r>
          </w:p>
        </w:tc>
        <w:tc>
          <w:tcPr>
            <w:tcW w:w="1138" w:type="pct"/>
            <w:tcBorders>
              <w:top w:val="nil"/>
              <w:left w:val="nil"/>
              <w:bottom w:val="nil"/>
              <w:right w:val="nil"/>
            </w:tcBorders>
            <w:shd w:val="clear" w:color="000000" w:fill="FFFFFF"/>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Treat all</w:t>
            </w:r>
          </w:p>
        </w:tc>
        <w:tc>
          <w:tcPr>
            <w:tcW w:w="97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100</w:t>
            </w:r>
          </w:p>
        </w:tc>
        <w:tc>
          <w:tcPr>
            <w:tcW w:w="938"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13.5</w:t>
            </w:r>
          </w:p>
        </w:tc>
      </w:tr>
      <w:tr w:rsidR="000D0694" w:rsidRPr="0095011F" w:rsidTr="000D0694">
        <w:trPr>
          <w:gridAfter w:val="1"/>
          <w:wAfter w:w="1206" w:type="pct"/>
          <w:trHeight w:val="113"/>
        </w:trPr>
        <w:tc>
          <w:tcPr>
            <w:tcW w:w="73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100</w:t>
            </w:r>
          </w:p>
        </w:tc>
        <w:tc>
          <w:tcPr>
            <w:tcW w:w="1138" w:type="pct"/>
            <w:tcBorders>
              <w:top w:val="nil"/>
              <w:left w:val="nil"/>
              <w:bottom w:val="nil"/>
              <w:right w:val="nil"/>
            </w:tcBorders>
            <w:shd w:val="clear" w:color="000000" w:fill="FFFFFF"/>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Prediction model</w:t>
            </w:r>
          </w:p>
        </w:tc>
        <w:tc>
          <w:tcPr>
            <w:tcW w:w="97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93</w:t>
            </w:r>
          </w:p>
        </w:tc>
        <w:tc>
          <w:tcPr>
            <w:tcW w:w="938"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13.5</w:t>
            </w:r>
          </w:p>
        </w:tc>
      </w:tr>
      <w:tr w:rsidR="000D0694" w:rsidRPr="0095011F" w:rsidTr="000D0694">
        <w:trPr>
          <w:gridAfter w:val="1"/>
          <w:wAfter w:w="1206" w:type="pct"/>
          <w:trHeight w:val="113"/>
        </w:trPr>
        <w:tc>
          <w:tcPr>
            <w:tcW w:w="73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60</w:t>
            </w:r>
          </w:p>
        </w:tc>
        <w:tc>
          <w:tcPr>
            <w:tcW w:w="1138" w:type="pct"/>
            <w:tcBorders>
              <w:top w:val="nil"/>
              <w:left w:val="nil"/>
              <w:bottom w:val="nil"/>
              <w:right w:val="nil"/>
            </w:tcBorders>
            <w:shd w:val="clear" w:color="000000" w:fill="FFFFFF"/>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Prediction model</w:t>
            </w:r>
          </w:p>
        </w:tc>
        <w:tc>
          <w:tcPr>
            <w:tcW w:w="97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51</w:t>
            </w:r>
          </w:p>
        </w:tc>
        <w:tc>
          <w:tcPr>
            <w:tcW w:w="938"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14.5</w:t>
            </w:r>
          </w:p>
        </w:tc>
      </w:tr>
      <w:tr w:rsidR="000D0694" w:rsidRPr="0095011F" w:rsidTr="000D0694">
        <w:trPr>
          <w:gridAfter w:val="1"/>
          <w:wAfter w:w="1206" w:type="pct"/>
          <w:trHeight w:val="113"/>
        </w:trPr>
        <w:tc>
          <w:tcPr>
            <w:tcW w:w="73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50</w:t>
            </w:r>
          </w:p>
        </w:tc>
        <w:tc>
          <w:tcPr>
            <w:tcW w:w="1138" w:type="pct"/>
            <w:tcBorders>
              <w:top w:val="nil"/>
              <w:left w:val="nil"/>
              <w:bottom w:val="nil"/>
              <w:right w:val="nil"/>
            </w:tcBorders>
            <w:shd w:val="clear" w:color="000000" w:fill="FFFFFF"/>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Prediction model</w:t>
            </w:r>
          </w:p>
        </w:tc>
        <w:tc>
          <w:tcPr>
            <w:tcW w:w="97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31</w:t>
            </w:r>
          </w:p>
        </w:tc>
        <w:tc>
          <w:tcPr>
            <w:tcW w:w="938"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14.6</w:t>
            </w:r>
          </w:p>
        </w:tc>
      </w:tr>
      <w:tr w:rsidR="000D0694" w:rsidRPr="0095011F" w:rsidTr="000D0694">
        <w:trPr>
          <w:gridAfter w:val="1"/>
          <w:wAfter w:w="1206" w:type="pct"/>
          <w:trHeight w:val="113"/>
        </w:trPr>
        <w:tc>
          <w:tcPr>
            <w:tcW w:w="73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40</w:t>
            </w:r>
          </w:p>
        </w:tc>
        <w:tc>
          <w:tcPr>
            <w:tcW w:w="1138" w:type="pct"/>
            <w:tcBorders>
              <w:top w:val="nil"/>
              <w:left w:val="nil"/>
              <w:bottom w:val="nil"/>
              <w:right w:val="nil"/>
            </w:tcBorders>
            <w:shd w:val="clear" w:color="000000" w:fill="FFFFFF"/>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Prediction model</w:t>
            </w:r>
          </w:p>
        </w:tc>
        <w:tc>
          <w:tcPr>
            <w:tcW w:w="979"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13</w:t>
            </w:r>
          </w:p>
        </w:tc>
        <w:tc>
          <w:tcPr>
            <w:tcW w:w="938" w:type="pct"/>
            <w:tcBorders>
              <w:top w:val="nil"/>
              <w:left w:val="nil"/>
              <w:bottom w:val="nil"/>
              <w:right w:val="nil"/>
            </w:tcBorders>
            <w:shd w:val="clear" w:color="000000" w:fill="FFFFFF"/>
            <w:noWrap/>
            <w:tcMar>
              <w:top w:w="15" w:type="dxa"/>
              <w:left w:w="15" w:type="dxa"/>
              <w:bottom w:w="0" w:type="dxa"/>
              <w:right w:w="15" w:type="dxa"/>
            </w:tcMar>
            <w:vAlign w:val="center"/>
            <w:hideMark/>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15.0</w:t>
            </w:r>
          </w:p>
        </w:tc>
      </w:tr>
      <w:tr w:rsidR="000D0694" w:rsidRPr="0095011F" w:rsidTr="000D0694">
        <w:trPr>
          <w:gridAfter w:val="1"/>
          <w:wAfter w:w="1206" w:type="pct"/>
          <w:trHeight w:val="113"/>
        </w:trPr>
        <w:tc>
          <w:tcPr>
            <w:tcW w:w="739" w:type="pct"/>
            <w:tcBorders>
              <w:top w:val="nil"/>
              <w:left w:val="nil"/>
              <w:bottom w:val="nil"/>
              <w:right w:val="nil"/>
            </w:tcBorders>
            <w:shd w:val="clear" w:color="000000" w:fill="FFFFFF"/>
            <w:noWrap/>
            <w:tcMar>
              <w:top w:w="15" w:type="dxa"/>
              <w:left w:w="15" w:type="dxa"/>
              <w:bottom w:w="0" w:type="dxa"/>
              <w:right w:w="15" w:type="dxa"/>
            </w:tcMar>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 30</w:t>
            </w:r>
          </w:p>
        </w:tc>
        <w:tc>
          <w:tcPr>
            <w:tcW w:w="1138" w:type="pct"/>
            <w:tcBorders>
              <w:top w:val="nil"/>
              <w:left w:val="nil"/>
              <w:bottom w:val="nil"/>
              <w:right w:val="nil"/>
            </w:tcBorders>
            <w:shd w:val="clear" w:color="000000" w:fill="FFFFFF"/>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None</w:t>
            </w:r>
          </w:p>
        </w:tc>
        <w:tc>
          <w:tcPr>
            <w:tcW w:w="979" w:type="pct"/>
            <w:tcBorders>
              <w:top w:val="nil"/>
              <w:left w:val="nil"/>
              <w:bottom w:val="nil"/>
              <w:right w:val="nil"/>
            </w:tcBorders>
            <w:shd w:val="clear" w:color="000000" w:fill="FFFFFF"/>
            <w:noWrap/>
            <w:tcMar>
              <w:top w:w="15" w:type="dxa"/>
              <w:left w:w="15" w:type="dxa"/>
              <w:bottom w:w="0" w:type="dxa"/>
              <w:right w:w="15" w:type="dxa"/>
            </w:tcMar>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0</w:t>
            </w:r>
          </w:p>
        </w:tc>
        <w:tc>
          <w:tcPr>
            <w:tcW w:w="938" w:type="pct"/>
            <w:tcBorders>
              <w:top w:val="nil"/>
              <w:left w:val="nil"/>
              <w:bottom w:val="nil"/>
              <w:right w:val="nil"/>
            </w:tcBorders>
            <w:shd w:val="clear" w:color="000000" w:fill="FFFFFF"/>
            <w:noWrap/>
            <w:tcMar>
              <w:top w:w="15" w:type="dxa"/>
              <w:left w:w="15" w:type="dxa"/>
              <w:bottom w:w="0" w:type="dxa"/>
              <w:right w:w="15" w:type="dxa"/>
            </w:tcMar>
            <w:vAlign w:val="center"/>
          </w:tcPr>
          <w:p w:rsidR="000D0694" w:rsidRPr="0095011F" w:rsidRDefault="000D0694" w:rsidP="000D0694">
            <w:pPr>
              <w:jc w:val="center"/>
              <w:rPr>
                <w:rFonts w:ascii="Times New Roman" w:hAnsi="Times New Roman" w:cs="Times New Roman"/>
                <w:color w:val="000000"/>
              </w:rPr>
            </w:pPr>
            <w:r w:rsidRPr="0095011F">
              <w:rPr>
                <w:rFonts w:ascii="Times New Roman" w:hAnsi="Times New Roman" w:cs="Times New Roman"/>
                <w:color w:val="000000"/>
              </w:rPr>
              <w:t>15.9</w:t>
            </w:r>
          </w:p>
        </w:tc>
      </w:tr>
      <w:tr w:rsidR="000D0694" w:rsidRPr="0095011F" w:rsidTr="000D0694">
        <w:trPr>
          <w:trHeight w:val="10"/>
        </w:trPr>
        <w:tc>
          <w:tcPr>
            <w:tcW w:w="5000" w:type="pct"/>
            <w:gridSpan w:val="5"/>
            <w:tcBorders>
              <w:top w:val="nil"/>
              <w:left w:val="nil"/>
              <w:bottom w:val="nil"/>
              <w:right w:val="nil"/>
            </w:tcBorders>
          </w:tcPr>
          <w:p w:rsidR="000D0694" w:rsidRPr="0095011F" w:rsidRDefault="000D0694" w:rsidP="000D0694">
            <w:pPr>
              <w:rPr>
                <w:rFonts w:ascii="Times New Roman" w:hAnsi="Times New Roman" w:cs="Times New Roman"/>
                <w:color w:val="000000"/>
              </w:rPr>
            </w:pPr>
            <w:r w:rsidRPr="0095011F">
              <w:rPr>
                <w:rFonts w:ascii="Times New Roman" w:hAnsi="Times New Roman" w:cs="Times New Roman"/>
                <w:i/>
                <w:iCs/>
                <w:color w:val="000000"/>
              </w:rPr>
              <w:t>*Event rate as the percentage of patients that experience MACE, regardless of their treatment allocation</w:t>
            </w:r>
          </w:p>
        </w:tc>
      </w:tr>
    </w:tbl>
    <w:p w:rsidR="007A5C22" w:rsidRPr="0095011F" w:rsidRDefault="007A5C22" w:rsidP="007A5C22">
      <w:pPr>
        <w:rPr>
          <w:rFonts w:ascii="Times New Roman" w:hAnsi="Times New Roman" w:cs="Times New Roman"/>
        </w:rPr>
      </w:pPr>
    </w:p>
    <w:p w:rsidR="00AD0C69" w:rsidRPr="0095011F" w:rsidRDefault="00AD0C69" w:rsidP="007A5C22">
      <w:pPr>
        <w:rPr>
          <w:rFonts w:ascii="Times New Roman" w:hAnsi="Times New Roman" w:cs="Times New Roman"/>
        </w:rPr>
      </w:pPr>
    </w:p>
    <w:p w:rsidR="00AD0C69" w:rsidRPr="0095011F" w:rsidRDefault="00AD0C69" w:rsidP="007A5C22">
      <w:pPr>
        <w:rPr>
          <w:rFonts w:ascii="Times New Roman" w:hAnsi="Times New Roman" w:cs="Times New Roman"/>
        </w:rPr>
      </w:pPr>
    </w:p>
    <w:p w:rsidR="00AD0C69" w:rsidRPr="0095011F" w:rsidRDefault="00AD0C69" w:rsidP="007A5C22">
      <w:pPr>
        <w:rPr>
          <w:rFonts w:ascii="Times New Roman" w:hAnsi="Times New Roman" w:cs="Times New Roman"/>
        </w:rPr>
      </w:pPr>
    </w:p>
    <w:p w:rsidR="007A5C22" w:rsidRPr="0095011F" w:rsidRDefault="00A14460" w:rsidP="007A5C22">
      <w:pPr>
        <w:rPr>
          <w:rFonts w:ascii="Times New Roman" w:hAnsi="Times New Roman" w:cs="Times New Roman"/>
        </w:rPr>
      </w:pPr>
      <w:r w:rsidRPr="0095011F">
        <w:rPr>
          <w:rFonts w:ascii="Times New Roman" w:hAnsi="Times New Roman" w:cs="Times New Roman"/>
        </w:rPr>
        <w:br w:type="page"/>
      </w:r>
      <w:r w:rsidR="007A5C22" w:rsidRPr="0095011F">
        <w:rPr>
          <w:rFonts w:ascii="Times New Roman" w:hAnsi="Times New Roman" w:cs="Times New Roman"/>
          <w:b/>
        </w:rPr>
        <w:lastRenderedPageBreak/>
        <w:t>Reference</w:t>
      </w:r>
    </w:p>
    <w:p w:rsidR="007A5C22" w:rsidRPr="0095011F" w:rsidRDefault="007A5C22" w:rsidP="007A5C22">
      <w:pPr>
        <w:spacing w:line="240" w:lineRule="auto"/>
        <w:ind w:left="720" w:hanging="720"/>
        <w:rPr>
          <w:rFonts w:ascii="Times New Roman" w:hAnsi="Times New Roman" w:cs="Times New Roman"/>
          <w:noProof/>
        </w:rPr>
      </w:pPr>
      <w:r w:rsidRPr="0095011F">
        <w:rPr>
          <w:rFonts w:ascii="Times New Roman" w:hAnsi="Times New Roman" w:cs="Times New Roman"/>
        </w:rPr>
        <w:fldChar w:fldCharType="begin"/>
      </w:r>
      <w:r w:rsidRPr="0095011F">
        <w:rPr>
          <w:rFonts w:ascii="Times New Roman" w:hAnsi="Times New Roman" w:cs="Times New Roman"/>
        </w:rPr>
        <w:instrText xml:space="preserve"> ADDIN EN.REFLIST </w:instrText>
      </w:r>
      <w:r w:rsidRPr="0095011F">
        <w:rPr>
          <w:rFonts w:ascii="Times New Roman" w:hAnsi="Times New Roman" w:cs="Times New Roman"/>
        </w:rPr>
        <w:fldChar w:fldCharType="separate"/>
      </w:r>
      <w:bookmarkStart w:id="1" w:name="_ENREF_1"/>
      <w:r w:rsidRPr="0095011F">
        <w:rPr>
          <w:rFonts w:ascii="Times New Roman" w:hAnsi="Times New Roman" w:cs="Times New Roman"/>
          <w:b/>
          <w:noProof/>
        </w:rPr>
        <w:t>1.</w:t>
      </w:r>
      <w:r w:rsidRPr="0095011F">
        <w:rPr>
          <w:rFonts w:ascii="Times New Roman" w:hAnsi="Times New Roman" w:cs="Times New Roman"/>
          <w:noProof/>
        </w:rPr>
        <w:tab/>
        <w:t xml:space="preserve">Vickers AJ, Kattan MW, Daniel S. Method for evaluating prediction models that apply the results of randomized trials to individual patients. </w:t>
      </w:r>
      <w:r w:rsidRPr="0095011F">
        <w:rPr>
          <w:rFonts w:ascii="Times New Roman" w:hAnsi="Times New Roman" w:cs="Times New Roman"/>
          <w:i/>
          <w:noProof/>
        </w:rPr>
        <w:t xml:space="preserve">Trials. </w:t>
      </w:r>
      <w:r w:rsidRPr="0095011F">
        <w:rPr>
          <w:rFonts w:ascii="Times New Roman" w:hAnsi="Times New Roman" w:cs="Times New Roman"/>
          <w:noProof/>
        </w:rPr>
        <w:t>2007;8:14.</w:t>
      </w:r>
      <w:bookmarkEnd w:id="1"/>
    </w:p>
    <w:p w:rsidR="007A5C22" w:rsidRPr="0095011F" w:rsidRDefault="007A5C22" w:rsidP="007A5C22">
      <w:pPr>
        <w:spacing w:line="240" w:lineRule="auto"/>
        <w:rPr>
          <w:rFonts w:ascii="Times New Roman" w:hAnsi="Times New Roman" w:cs="Times New Roman"/>
          <w:noProof/>
        </w:rPr>
      </w:pPr>
    </w:p>
    <w:p w:rsidR="00370E22" w:rsidRPr="007A5C22" w:rsidRDefault="007A5C22" w:rsidP="007A5C22">
      <w:pPr>
        <w:rPr>
          <w:rFonts w:ascii="Times New Roman" w:hAnsi="Times New Roman" w:cs="Times New Roman"/>
          <w:sz w:val="20"/>
          <w:szCs w:val="20"/>
        </w:rPr>
      </w:pPr>
      <w:r w:rsidRPr="0095011F">
        <w:rPr>
          <w:rFonts w:ascii="Times New Roman" w:hAnsi="Times New Roman" w:cs="Times New Roman"/>
        </w:rPr>
        <w:fldChar w:fldCharType="end"/>
      </w:r>
    </w:p>
    <w:sectPr w:rsidR="00370E22" w:rsidRPr="007A5C22" w:rsidSect="005F210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C22" w:rsidRDefault="007A5C22" w:rsidP="007A5C22">
      <w:pPr>
        <w:spacing w:after="0" w:line="240" w:lineRule="auto"/>
      </w:pPr>
      <w:r>
        <w:separator/>
      </w:r>
    </w:p>
  </w:endnote>
  <w:endnote w:type="continuationSeparator" w:id="0">
    <w:p w:rsidR="007A5C22" w:rsidRDefault="007A5C22" w:rsidP="007A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755358"/>
      <w:docPartObj>
        <w:docPartGallery w:val="Page Numbers (Bottom of Page)"/>
        <w:docPartUnique/>
      </w:docPartObj>
    </w:sdtPr>
    <w:sdtEndPr/>
    <w:sdtContent>
      <w:p w:rsidR="007A5C22" w:rsidRDefault="007A5C22">
        <w:pPr>
          <w:pStyle w:val="Voettekst"/>
          <w:jc w:val="right"/>
        </w:pPr>
        <w:r>
          <w:fldChar w:fldCharType="begin"/>
        </w:r>
        <w:r>
          <w:instrText>PAGE   \* MERGEFORMAT</w:instrText>
        </w:r>
        <w:r>
          <w:fldChar w:fldCharType="separate"/>
        </w:r>
        <w:r w:rsidR="00AB3404" w:rsidRPr="00AB3404">
          <w:rPr>
            <w:noProof/>
            <w:lang w:val="nl-NL"/>
          </w:rPr>
          <w:t>3</w:t>
        </w:r>
        <w:r>
          <w:fldChar w:fldCharType="end"/>
        </w:r>
      </w:p>
    </w:sdtContent>
  </w:sdt>
  <w:p w:rsidR="007A5C22" w:rsidRDefault="007A5C2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C22" w:rsidRDefault="007A5C22" w:rsidP="007A5C22">
      <w:pPr>
        <w:spacing w:after="0" w:line="240" w:lineRule="auto"/>
      </w:pPr>
      <w:r>
        <w:separator/>
      </w:r>
    </w:p>
  </w:footnote>
  <w:footnote w:type="continuationSeparator" w:id="0">
    <w:p w:rsidR="007A5C22" w:rsidRDefault="007A5C22" w:rsidP="007A5C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Segoe U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pt0xs295awf9ce9e5fpw52jzx92ff5frx0w&quot;&gt;References article PROSPER&lt;record-ids&gt;&lt;item&gt;60&lt;/item&gt;&lt;/record-ids&gt;&lt;/item&gt;&lt;/Libraries&gt;"/>
  </w:docVars>
  <w:rsids>
    <w:rsidRoot w:val="009323BA"/>
    <w:rsid w:val="000D0694"/>
    <w:rsid w:val="00194FD3"/>
    <w:rsid w:val="001955CE"/>
    <w:rsid w:val="0026011F"/>
    <w:rsid w:val="0026464D"/>
    <w:rsid w:val="003C4706"/>
    <w:rsid w:val="00592962"/>
    <w:rsid w:val="005B01E0"/>
    <w:rsid w:val="005D33CC"/>
    <w:rsid w:val="005D3D7F"/>
    <w:rsid w:val="005F2106"/>
    <w:rsid w:val="00663C21"/>
    <w:rsid w:val="00674D59"/>
    <w:rsid w:val="007036AA"/>
    <w:rsid w:val="007771DB"/>
    <w:rsid w:val="007A5C22"/>
    <w:rsid w:val="007C59FD"/>
    <w:rsid w:val="007E6179"/>
    <w:rsid w:val="008B2B8D"/>
    <w:rsid w:val="009323BA"/>
    <w:rsid w:val="009356F2"/>
    <w:rsid w:val="0095011F"/>
    <w:rsid w:val="00986EB6"/>
    <w:rsid w:val="009E4434"/>
    <w:rsid w:val="009F0307"/>
    <w:rsid w:val="00A06C49"/>
    <w:rsid w:val="00A14460"/>
    <w:rsid w:val="00A22575"/>
    <w:rsid w:val="00AB3404"/>
    <w:rsid w:val="00AD0C69"/>
    <w:rsid w:val="00B003D8"/>
    <w:rsid w:val="00E01DA8"/>
    <w:rsid w:val="00E955D8"/>
    <w:rsid w:val="00EF2CE2"/>
    <w:rsid w:val="00F25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23BA"/>
    <w:rPr>
      <w:rFonts w:ascii="Segoe UI" w:hAnsi="Segoe UI"/>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323BA"/>
    <w:pPr>
      <w:spacing w:after="0" w:line="240" w:lineRule="auto"/>
    </w:pPr>
    <w:rPr>
      <w:rFonts w:ascii="Segoe UI" w:hAnsi="Segoe U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A5C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5C22"/>
    <w:rPr>
      <w:rFonts w:ascii="Segoe UI" w:hAnsi="Segoe UI"/>
      <w:lang w:val="en-US"/>
    </w:rPr>
  </w:style>
  <w:style w:type="paragraph" w:styleId="Voettekst">
    <w:name w:val="footer"/>
    <w:basedOn w:val="Standaard"/>
    <w:link w:val="VoettekstChar"/>
    <w:uiPriority w:val="99"/>
    <w:unhideWhenUsed/>
    <w:rsid w:val="007A5C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5C22"/>
    <w:rPr>
      <w:rFonts w:ascii="Segoe UI" w:hAnsi="Segoe UI"/>
      <w:lang w:val="en-US"/>
    </w:rPr>
  </w:style>
  <w:style w:type="character" w:styleId="Hyperlink">
    <w:name w:val="Hyperlink"/>
    <w:basedOn w:val="Standaardalinea-lettertype"/>
    <w:uiPriority w:val="99"/>
    <w:unhideWhenUsed/>
    <w:rsid w:val="007A5C22"/>
    <w:rPr>
      <w:color w:val="0000FF" w:themeColor="hyperlink"/>
      <w:u w:val="single"/>
    </w:rPr>
  </w:style>
  <w:style w:type="paragraph" w:styleId="Ballontekst">
    <w:name w:val="Balloon Text"/>
    <w:basedOn w:val="Standaard"/>
    <w:link w:val="BallontekstChar"/>
    <w:uiPriority w:val="99"/>
    <w:semiHidden/>
    <w:unhideWhenUsed/>
    <w:rsid w:val="00A144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446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23BA"/>
    <w:rPr>
      <w:rFonts w:ascii="Segoe UI" w:hAnsi="Segoe UI"/>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323BA"/>
    <w:pPr>
      <w:spacing w:after="0" w:line="240" w:lineRule="auto"/>
    </w:pPr>
    <w:rPr>
      <w:rFonts w:ascii="Segoe UI" w:hAnsi="Segoe U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A5C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5C22"/>
    <w:rPr>
      <w:rFonts w:ascii="Segoe UI" w:hAnsi="Segoe UI"/>
      <w:lang w:val="en-US"/>
    </w:rPr>
  </w:style>
  <w:style w:type="paragraph" w:styleId="Voettekst">
    <w:name w:val="footer"/>
    <w:basedOn w:val="Standaard"/>
    <w:link w:val="VoettekstChar"/>
    <w:uiPriority w:val="99"/>
    <w:unhideWhenUsed/>
    <w:rsid w:val="007A5C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5C22"/>
    <w:rPr>
      <w:rFonts w:ascii="Segoe UI" w:hAnsi="Segoe UI"/>
      <w:lang w:val="en-US"/>
    </w:rPr>
  </w:style>
  <w:style w:type="character" w:styleId="Hyperlink">
    <w:name w:val="Hyperlink"/>
    <w:basedOn w:val="Standaardalinea-lettertype"/>
    <w:uiPriority w:val="99"/>
    <w:unhideWhenUsed/>
    <w:rsid w:val="007A5C22"/>
    <w:rPr>
      <w:color w:val="0000FF" w:themeColor="hyperlink"/>
      <w:u w:val="single"/>
    </w:rPr>
  </w:style>
  <w:style w:type="paragraph" w:styleId="Ballontekst">
    <w:name w:val="Balloon Text"/>
    <w:basedOn w:val="Standaard"/>
    <w:link w:val="BallontekstChar"/>
    <w:uiPriority w:val="99"/>
    <w:semiHidden/>
    <w:unhideWhenUsed/>
    <w:rsid w:val="00A144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446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4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mailto:f.l.j.visseren@umcutrecht.n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1171</Words>
  <Characters>6676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Stam</dc:creator>
  <cp:lastModifiedBy>Manon Stam</cp:lastModifiedBy>
  <cp:revision>2</cp:revision>
  <cp:lastPrinted>2016-04-15T10:41:00Z</cp:lastPrinted>
  <dcterms:created xsi:type="dcterms:W3CDTF">2016-08-16T19:21:00Z</dcterms:created>
  <dcterms:modified xsi:type="dcterms:W3CDTF">2016-08-16T19:21:00Z</dcterms:modified>
</cp:coreProperties>
</file>