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634E91" w14:textId="77777777" w:rsidR="003565F6" w:rsidRPr="00E659FA" w:rsidRDefault="003565F6" w:rsidP="009C62B3">
      <w:pPr>
        <w:tabs>
          <w:tab w:val="left" w:pos="82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r w:rsidRPr="00E659FA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Material for: </w:t>
      </w:r>
    </w:p>
    <w:p w14:paraId="6BB5E4B2" w14:textId="77777777" w:rsidR="00ED6B35" w:rsidRPr="00E659FA" w:rsidRDefault="003565F6" w:rsidP="009C62B3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E659FA">
        <w:rPr>
          <w:rFonts w:ascii="Times New Roman" w:hAnsi="Times New Roman" w:cs="Times New Roman"/>
          <w:b/>
          <w:sz w:val="24"/>
          <w:szCs w:val="24"/>
          <w:lang w:val="en-GB"/>
        </w:rPr>
        <w:t>Chamling</w:t>
      </w:r>
      <w:proofErr w:type="spellEnd"/>
      <w:r w:rsidRPr="00E659F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et al.: </w:t>
      </w:r>
      <w:r w:rsidRPr="00E659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1" w:name="_Hlk74446770"/>
      <w:r w:rsidR="00ED6B35" w:rsidRPr="00E659FA">
        <w:rPr>
          <w:rFonts w:ascii="Times New Roman" w:hAnsi="Times New Roman" w:cs="Times New Roman"/>
          <w:b/>
          <w:sz w:val="24"/>
          <w:szCs w:val="24"/>
          <w:lang w:val="en-GB"/>
        </w:rPr>
        <w:t>Occurrence of acute infarct-like myocarditis following COVID-19 vaccination: just an accidental co-incidence or rather vaccination-associated autoimmune myocarditis?</w:t>
      </w:r>
    </w:p>
    <w:bookmarkEnd w:id="1"/>
    <w:p w14:paraId="2E1CB732" w14:textId="77777777" w:rsidR="00926B7D" w:rsidRPr="00E659FA" w:rsidRDefault="00926B7D" w:rsidP="009C62B3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397B9683" w14:textId="41C7EEB0" w:rsidR="003F7212" w:rsidRPr="00E659FA" w:rsidRDefault="00926B7D" w:rsidP="009C62B3">
      <w:pPr>
        <w:spacing w:line="480" w:lineRule="auto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E659FA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Table S1: Additional basic characteristics of the patients</w:t>
      </w:r>
    </w:p>
    <w:tbl>
      <w:tblPr>
        <w:tblW w:w="8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6"/>
        <w:gridCol w:w="1811"/>
        <w:gridCol w:w="1811"/>
        <w:gridCol w:w="2053"/>
      </w:tblGrid>
      <w:tr w:rsidR="00A95790" w:rsidRPr="00E659FA" w14:paraId="2140F0E9" w14:textId="77777777" w:rsidTr="000E1345">
        <w:trPr>
          <w:trHeight w:val="562"/>
          <w:jc w:val="center"/>
        </w:trPr>
        <w:tc>
          <w:tcPr>
            <w:tcW w:w="3196" w:type="dxa"/>
            <w:shd w:val="clear" w:color="auto" w:fill="auto"/>
            <w:noWrap/>
            <w:vAlign w:val="center"/>
            <w:hideMark/>
          </w:tcPr>
          <w:p w14:paraId="5549EFC3" w14:textId="63FA210B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811" w:type="dxa"/>
            <w:vAlign w:val="center"/>
          </w:tcPr>
          <w:p w14:paraId="572C5CC9" w14:textId="70BEAB8B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Patient 1</w:t>
            </w:r>
          </w:p>
        </w:tc>
        <w:tc>
          <w:tcPr>
            <w:tcW w:w="1811" w:type="dxa"/>
            <w:shd w:val="clear" w:color="auto" w:fill="auto"/>
            <w:noWrap/>
            <w:vAlign w:val="center"/>
            <w:hideMark/>
          </w:tcPr>
          <w:p w14:paraId="107FF352" w14:textId="23ECE852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Patient 2</w:t>
            </w:r>
          </w:p>
        </w:tc>
        <w:tc>
          <w:tcPr>
            <w:tcW w:w="2053" w:type="dxa"/>
            <w:vAlign w:val="center"/>
          </w:tcPr>
          <w:p w14:paraId="5FB2A097" w14:textId="7777777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Patient 3</w:t>
            </w:r>
          </w:p>
        </w:tc>
      </w:tr>
      <w:tr w:rsidR="00A95790" w:rsidRPr="00E659FA" w14:paraId="4CA5326D" w14:textId="77777777" w:rsidTr="000E1345">
        <w:trPr>
          <w:trHeight w:val="300"/>
          <w:jc w:val="center"/>
        </w:trPr>
        <w:tc>
          <w:tcPr>
            <w:tcW w:w="3196" w:type="dxa"/>
            <w:shd w:val="clear" w:color="auto" w:fill="auto"/>
            <w:noWrap/>
            <w:vAlign w:val="center"/>
          </w:tcPr>
          <w:p w14:paraId="6E295F3D" w14:textId="7777777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Leucocytes [</w:t>
            </w:r>
            <w:r w:rsidRPr="00E659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659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659FA">
              <w:rPr>
                <w:rFonts w:ascii="Times New Roman" w:hAnsi="Times New Roman" w:cs="Times New Roman"/>
                <w:sz w:val="24"/>
                <w:szCs w:val="24"/>
              </w:rPr>
              <w:t>/µL</w:t>
            </w: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]</w:t>
            </w:r>
          </w:p>
          <w:p w14:paraId="4437A51D" w14:textId="54BC7B31" w:rsidR="00A95790" w:rsidRPr="00E659FA" w:rsidRDefault="00024084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hAnsi="Times New Roman" w:cs="Times New Roman"/>
                <w:sz w:val="24"/>
                <w:szCs w:val="24"/>
              </w:rPr>
              <w:t>(normal</w:t>
            </w:r>
            <w:r w:rsidR="00A95790" w:rsidRPr="00E659FA">
              <w:rPr>
                <w:rFonts w:ascii="Times New Roman" w:hAnsi="Times New Roman" w:cs="Times New Roman"/>
                <w:sz w:val="24"/>
                <w:szCs w:val="24"/>
              </w:rPr>
              <w:t>: 4-11 x 10</w:t>
            </w:r>
            <w:r w:rsidR="00A95790" w:rsidRPr="00E659F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A95790" w:rsidRPr="00E659FA">
              <w:rPr>
                <w:rFonts w:ascii="Times New Roman" w:hAnsi="Times New Roman" w:cs="Times New Roman"/>
                <w:sz w:val="24"/>
                <w:szCs w:val="24"/>
              </w:rPr>
              <w:t>/µL</w:t>
            </w:r>
            <w:r w:rsidRPr="00E659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  <w:vAlign w:val="center"/>
          </w:tcPr>
          <w:p w14:paraId="3464EF0A" w14:textId="0A1564B9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FA">
              <w:rPr>
                <w:rFonts w:ascii="Times New Roman" w:hAnsi="Times New Roman" w:cs="Times New Roman"/>
                <w:sz w:val="24"/>
                <w:szCs w:val="24"/>
              </w:rPr>
              <w:t>6.74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25C6306A" w14:textId="71C5BCEF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hAnsi="Times New Roman" w:cs="Times New Roman"/>
                <w:sz w:val="24"/>
                <w:szCs w:val="24"/>
              </w:rPr>
              <w:t>7.42</w:t>
            </w:r>
          </w:p>
        </w:tc>
        <w:tc>
          <w:tcPr>
            <w:tcW w:w="2053" w:type="dxa"/>
            <w:vAlign w:val="center"/>
          </w:tcPr>
          <w:p w14:paraId="7F002C38" w14:textId="7777777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11.8</w:t>
            </w:r>
          </w:p>
        </w:tc>
      </w:tr>
      <w:tr w:rsidR="00A95790" w:rsidRPr="00E659FA" w14:paraId="5BA106A5" w14:textId="77777777" w:rsidTr="000E1345">
        <w:trPr>
          <w:trHeight w:val="300"/>
          <w:jc w:val="center"/>
        </w:trPr>
        <w:tc>
          <w:tcPr>
            <w:tcW w:w="3196" w:type="dxa"/>
            <w:shd w:val="clear" w:color="auto" w:fill="auto"/>
            <w:noWrap/>
            <w:vAlign w:val="center"/>
          </w:tcPr>
          <w:p w14:paraId="788C6E57" w14:textId="7777777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C-reactive protein [mg/L]</w:t>
            </w:r>
          </w:p>
          <w:p w14:paraId="3E71EB47" w14:textId="440FDA7D" w:rsidR="00A95790" w:rsidRPr="00E659FA" w:rsidRDefault="00024084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>(normal</w:t>
            </w:r>
            <w:r w:rsidR="00A95790"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  <w:t xml:space="preserve">: </w:t>
            </w:r>
            <w:r w:rsidR="00A95790" w:rsidRPr="00E659FA">
              <w:rPr>
                <w:rFonts w:ascii="Times New Roman" w:hAnsi="Times New Roman" w:cs="Times New Roman"/>
                <w:sz w:val="24"/>
                <w:szCs w:val="24"/>
              </w:rPr>
              <w:t>&lt;0.5 mg/dl</w:t>
            </w:r>
            <w:r w:rsidRPr="00E659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  <w:vAlign w:val="center"/>
          </w:tcPr>
          <w:p w14:paraId="054FDCE6" w14:textId="227247A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FA">
              <w:rPr>
                <w:rFonts w:ascii="Times New Roman" w:hAnsi="Times New Roman" w:cs="Times New Roman"/>
                <w:sz w:val="24"/>
                <w:szCs w:val="24"/>
              </w:rPr>
              <w:t>&lt;0.6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335BDD62" w14:textId="49EE11B6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hAnsi="Times New Roman" w:cs="Times New Roman"/>
                <w:sz w:val="24"/>
                <w:szCs w:val="24"/>
              </w:rPr>
              <w:t>&lt;0.08</w:t>
            </w:r>
          </w:p>
        </w:tc>
        <w:tc>
          <w:tcPr>
            <w:tcW w:w="2053" w:type="dxa"/>
            <w:vAlign w:val="center"/>
          </w:tcPr>
          <w:p w14:paraId="107684FB" w14:textId="7777777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13.2</w:t>
            </w:r>
          </w:p>
        </w:tc>
      </w:tr>
      <w:tr w:rsidR="00A95790" w:rsidRPr="00E659FA" w14:paraId="675CD2BE" w14:textId="77777777" w:rsidTr="000E1345">
        <w:trPr>
          <w:trHeight w:val="300"/>
          <w:jc w:val="center"/>
        </w:trPr>
        <w:tc>
          <w:tcPr>
            <w:tcW w:w="3196" w:type="dxa"/>
            <w:shd w:val="clear" w:color="auto" w:fill="auto"/>
            <w:noWrap/>
            <w:vAlign w:val="center"/>
          </w:tcPr>
          <w:p w14:paraId="5ACACDA6" w14:textId="3DAAF9AF" w:rsidR="00A95790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Cardiovascular risk factors</w:t>
            </w:r>
          </w:p>
        </w:tc>
        <w:tc>
          <w:tcPr>
            <w:tcW w:w="1811" w:type="dxa"/>
            <w:vAlign w:val="center"/>
          </w:tcPr>
          <w:p w14:paraId="3E50FAFF" w14:textId="7A001C28" w:rsidR="00A95790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e</w:t>
            </w:r>
            <w:r w:rsidR="00A95790"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x-</w:t>
            </w: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smoking, known CAD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314039D0" w14:textId="4417F7D1" w:rsidR="00A95790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smoking</w:t>
            </w:r>
          </w:p>
        </w:tc>
        <w:tc>
          <w:tcPr>
            <w:tcW w:w="2053" w:type="dxa"/>
            <w:vAlign w:val="center"/>
          </w:tcPr>
          <w:p w14:paraId="1F14D632" w14:textId="03FB71D7" w:rsidR="00A95790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n</w:t>
            </w:r>
            <w:r w:rsidR="00A95790"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one</w:t>
            </w:r>
          </w:p>
        </w:tc>
      </w:tr>
      <w:tr w:rsidR="00A95790" w:rsidRPr="00E659FA" w14:paraId="67355FDA" w14:textId="77777777" w:rsidTr="000E1345">
        <w:trPr>
          <w:trHeight w:val="300"/>
          <w:jc w:val="center"/>
        </w:trPr>
        <w:tc>
          <w:tcPr>
            <w:tcW w:w="3196" w:type="dxa"/>
            <w:shd w:val="clear" w:color="auto" w:fill="auto"/>
            <w:noWrap/>
            <w:vAlign w:val="center"/>
          </w:tcPr>
          <w:p w14:paraId="6F0DBCEE" w14:textId="7777777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Medication on admission</w:t>
            </w:r>
          </w:p>
        </w:tc>
        <w:tc>
          <w:tcPr>
            <w:tcW w:w="1811" w:type="dxa"/>
            <w:vAlign w:val="center"/>
          </w:tcPr>
          <w:p w14:paraId="4BD383C5" w14:textId="1F62C5D0" w:rsidR="00A95790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a</w:t>
            </w:r>
            <w:r w:rsidR="00A95790"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 xml:space="preserve">spirin, β-Blocker, ACE inhibitor, </w:t>
            </w: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s</w:t>
            </w:r>
            <w:r w:rsidR="00A95790"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tatine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7D15E49A" w14:textId="09F8EB95" w:rsidR="00A95790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n</w:t>
            </w:r>
            <w:r w:rsidR="00A95790"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one</w:t>
            </w:r>
          </w:p>
        </w:tc>
        <w:tc>
          <w:tcPr>
            <w:tcW w:w="2053" w:type="dxa"/>
            <w:vAlign w:val="center"/>
          </w:tcPr>
          <w:p w14:paraId="4DC0CA84" w14:textId="1880DDDD" w:rsidR="00A95790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n</w:t>
            </w:r>
            <w:r w:rsidR="00A95790"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one</w:t>
            </w:r>
          </w:p>
        </w:tc>
      </w:tr>
      <w:tr w:rsidR="009469AB" w:rsidRPr="00E659FA" w14:paraId="4B0BDC51" w14:textId="77777777" w:rsidTr="000E1345">
        <w:trPr>
          <w:trHeight w:val="300"/>
          <w:jc w:val="center"/>
        </w:trPr>
        <w:tc>
          <w:tcPr>
            <w:tcW w:w="8871" w:type="dxa"/>
            <w:gridSpan w:val="4"/>
            <w:shd w:val="clear" w:color="auto" w:fill="auto"/>
            <w:noWrap/>
            <w:vAlign w:val="center"/>
            <w:hideMark/>
          </w:tcPr>
          <w:p w14:paraId="2EE8BE5B" w14:textId="36A6296E" w:rsidR="009469AB" w:rsidRPr="00E659FA" w:rsidRDefault="009469AB" w:rsidP="00CE2388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CMR findings</w:t>
            </w:r>
          </w:p>
        </w:tc>
      </w:tr>
      <w:tr w:rsidR="00A95790" w:rsidRPr="00E659FA" w14:paraId="03BC50B9" w14:textId="77777777" w:rsidTr="000E1345">
        <w:trPr>
          <w:trHeight w:val="300"/>
          <w:jc w:val="center"/>
        </w:trPr>
        <w:tc>
          <w:tcPr>
            <w:tcW w:w="3196" w:type="dxa"/>
            <w:shd w:val="clear" w:color="auto" w:fill="auto"/>
            <w:noWrap/>
            <w:vAlign w:val="center"/>
          </w:tcPr>
          <w:p w14:paraId="210FE2AC" w14:textId="1F90261F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LV</w:t>
            </w:r>
            <w:r w:rsidR="00CE2388"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EF [%]</w:t>
            </w:r>
          </w:p>
        </w:tc>
        <w:tc>
          <w:tcPr>
            <w:tcW w:w="1811" w:type="dxa"/>
            <w:vAlign w:val="center"/>
          </w:tcPr>
          <w:p w14:paraId="7AF4555C" w14:textId="5C14C67A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67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7977B2C1" w14:textId="08CEA749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57</w:t>
            </w:r>
          </w:p>
        </w:tc>
        <w:tc>
          <w:tcPr>
            <w:tcW w:w="2053" w:type="dxa"/>
            <w:vAlign w:val="center"/>
          </w:tcPr>
          <w:p w14:paraId="3A8A5829" w14:textId="4BD8B0A9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61</w:t>
            </w:r>
          </w:p>
        </w:tc>
      </w:tr>
      <w:tr w:rsidR="00A95790" w:rsidRPr="00E659FA" w14:paraId="6CBEE42A" w14:textId="77777777" w:rsidTr="000E1345">
        <w:trPr>
          <w:trHeight w:val="300"/>
          <w:jc w:val="center"/>
        </w:trPr>
        <w:tc>
          <w:tcPr>
            <w:tcW w:w="3196" w:type="dxa"/>
            <w:shd w:val="clear" w:color="auto" w:fill="auto"/>
            <w:noWrap/>
            <w:vAlign w:val="center"/>
            <w:hideMark/>
          </w:tcPr>
          <w:p w14:paraId="6A717AF5" w14:textId="7777777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LVEDD [mm]</w:t>
            </w:r>
          </w:p>
        </w:tc>
        <w:tc>
          <w:tcPr>
            <w:tcW w:w="1811" w:type="dxa"/>
            <w:vAlign w:val="center"/>
          </w:tcPr>
          <w:p w14:paraId="469AFEDF" w14:textId="73EE23E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46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1E86FA39" w14:textId="0A7BB352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60</w:t>
            </w:r>
          </w:p>
        </w:tc>
        <w:tc>
          <w:tcPr>
            <w:tcW w:w="2053" w:type="dxa"/>
            <w:vAlign w:val="center"/>
          </w:tcPr>
          <w:p w14:paraId="402F2E5B" w14:textId="460BC603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53</w:t>
            </w:r>
          </w:p>
        </w:tc>
      </w:tr>
      <w:tr w:rsidR="00A95790" w:rsidRPr="00E659FA" w14:paraId="1C7141D4" w14:textId="77777777" w:rsidTr="000E1345">
        <w:trPr>
          <w:trHeight w:val="300"/>
          <w:jc w:val="center"/>
        </w:trPr>
        <w:tc>
          <w:tcPr>
            <w:tcW w:w="3196" w:type="dxa"/>
            <w:shd w:val="clear" w:color="auto" w:fill="auto"/>
            <w:noWrap/>
            <w:vAlign w:val="center"/>
            <w:hideMark/>
          </w:tcPr>
          <w:p w14:paraId="724421DB" w14:textId="7777777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LV-Mass [g/m</w:t>
            </w: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de-DE"/>
              </w:rPr>
              <w:t>2</w:t>
            </w: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]</w:t>
            </w:r>
          </w:p>
        </w:tc>
        <w:tc>
          <w:tcPr>
            <w:tcW w:w="1811" w:type="dxa"/>
            <w:vAlign w:val="center"/>
          </w:tcPr>
          <w:p w14:paraId="369F5223" w14:textId="0597F029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51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3AD3BF7A" w14:textId="43307FB0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82</w:t>
            </w:r>
          </w:p>
        </w:tc>
        <w:tc>
          <w:tcPr>
            <w:tcW w:w="2053" w:type="dxa"/>
            <w:vAlign w:val="center"/>
          </w:tcPr>
          <w:p w14:paraId="182B5928" w14:textId="6D5E7BC7" w:rsidR="00A95790" w:rsidRPr="00E659FA" w:rsidRDefault="00A95790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77</w:t>
            </w:r>
          </w:p>
        </w:tc>
      </w:tr>
      <w:tr w:rsidR="009469AB" w:rsidRPr="00E659FA" w14:paraId="08B92331" w14:textId="77777777" w:rsidTr="000E1345">
        <w:trPr>
          <w:trHeight w:val="300"/>
          <w:jc w:val="center"/>
        </w:trPr>
        <w:tc>
          <w:tcPr>
            <w:tcW w:w="3196" w:type="dxa"/>
            <w:shd w:val="clear" w:color="auto" w:fill="auto"/>
            <w:noWrap/>
            <w:vAlign w:val="center"/>
          </w:tcPr>
          <w:p w14:paraId="3D07EAC7" w14:textId="78133FD6" w:rsidR="009469AB" w:rsidRPr="00E659FA" w:rsidRDefault="00A80E5B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RV</w:t>
            </w:r>
            <w:r w:rsidR="00CE2388"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EF [%]</w:t>
            </w:r>
          </w:p>
        </w:tc>
        <w:tc>
          <w:tcPr>
            <w:tcW w:w="1811" w:type="dxa"/>
            <w:vAlign w:val="center"/>
          </w:tcPr>
          <w:p w14:paraId="73C6BA58" w14:textId="17EC0673" w:rsidR="009469AB" w:rsidRPr="00E659FA" w:rsidRDefault="00E35232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77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29E7AAF2" w14:textId="6CF084B9" w:rsidR="009469AB" w:rsidRPr="00E659FA" w:rsidRDefault="00E35232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53</w:t>
            </w:r>
          </w:p>
        </w:tc>
        <w:tc>
          <w:tcPr>
            <w:tcW w:w="2053" w:type="dxa"/>
            <w:vAlign w:val="center"/>
          </w:tcPr>
          <w:p w14:paraId="3795CBD3" w14:textId="777A17AC" w:rsidR="009469AB" w:rsidRPr="00E659FA" w:rsidRDefault="00E35232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65</w:t>
            </w:r>
          </w:p>
        </w:tc>
      </w:tr>
      <w:tr w:rsidR="00CE2388" w:rsidRPr="00E659FA" w14:paraId="3307B726" w14:textId="77777777" w:rsidTr="000E1345">
        <w:trPr>
          <w:trHeight w:val="300"/>
          <w:jc w:val="center"/>
        </w:trPr>
        <w:tc>
          <w:tcPr>
            <w:tcW w:w="3196" w:type="dxa"/>
            <w:shd w:val="clear" w:color="auto" w:fill="auto"/>
            <w:noWrap/>
            <w:vAlign w:val="center"/>
          </w:tcPr>
          <w:p w14:paraId="2A1D7BD7" w14:textId="263AF566" w:rsidR="00CE2388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Late Gadolinium Enhancement (LGE)</w:t>
            </w:r>
          </w:p>
        </w:tc>
        <w:tc>
          <w:tcPr>
            <w:tcW w:w="1811" w:type="dxa"/>
            <w:vAlign w:val="center"/>
          </w:tcPr>
          <w:p w14:paraId="4824ABD1" w14:textId="465FC379" w:rsidR="00CE2388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hAnsi="Times New Roman" w:cs="Times New Roman"/>
                <w:lang w:val="en-GB"/>
              </w:rPr>
              <w:t>non-ischemic pattern of myocardial damage suggestive of an active inflammatory process in the basal and apical segments of the septal wall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41E03A0E" w14:textId="0B16FE74" w:rsidR="00CE2388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hAnsi="Times New Roman" w:cs="Times New Roman"/>
                <w:lang w:val="en-GB"/>
              </w:rPr>
              <w:t xml:space="preserve">non-ischemic, inflammatory focus in the basal to </w:t>
            </w:r>
            <w:proofErr w:type="spellStart"/>
            <w:r w:rsidRPr="00E659FA">
              <w:rPr>
                <w:rFonts w:ascii="Times New Roman" w:hAnsi="Times New Roman" w:cs="Times New Roman"/>
                <w:lang w:val="en-GB"/>
              </w:rPr>
              <w:t>midventricular</w:t>
            </w:r>
            <w:proofErr w:type="spellEnd"/>
            <w:r w:rsidRPr="00E659FA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659FA">
              <w:rPr>
                <w:rFonts w:ascii="Times New Roman" w:hAnsi="Times New Roman" w:cs="Times New Roman"/>
                <w:lang w:val="en-GB"/>
              </w:rPr>
              <w:t>inferolateral</w:t>
            </w:r>
            <w:proofErr w:type="spellEnd"/>
          </w:p>
        </w:tc>
        <w:tc>
          <w:tcPr>
            <w:tcW w:w="2053" w:type="dxa"/>
            <w:vAlign w:val="center"/>
          </w:tcPr>
          <w:p w14:paraId="52200FB7" w14:textId="03690AC6" w:rsidR="00CE2388" w:rsidRPr="00E659FA" w:rsidRDefault="00CE2388" w:rsidP="009C62B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E659FA">
              <w:rPr>
                <w:rFonts w:ascii="Times New Roman" w:hAnsi="Times New Roman" w:cs="Times New Roman"/>
                <w:lang w:val="en-GB"/>
              </w:rPr>
              <w:t>non-ischemic pattern of acute myocardial damage in the basal segment of the inferior LV wall and the apical segment of the anterior LV wall</w:t>
            </w:r>
          </w:p>
        </w:tc>
      </w:tr>
    </w:tbl>
    <w:p w14:paraId="112E7446" w14:textId="77777777" w:rsidR="00DB7EAD" w:rsidRPr="00E659FA" w:rsidRDefault="00DB7EAD" w:rsidP="009C62B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A89846" w14:textId="5A500220" w:rsidR="00736AD8" w:rsidRPr="00E659FA" w:rsidRDefault="00CE2388" w:rsidP="009C62B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659FA">
        <w:rPr>
          <w:rFonts w:ascii="Times New Roman" w:hAnsi="Times New Roman" w:cs="Times New Roman"/>
          <w:sz w:val="24"/>
          <w:szCs w:val="24"/>
        </w:rPr>
        <w:t>CAD – coronary artery disease</w:t>
      </w:r>
      <w:r w:rsidR="00C00021" w:rsidRPr="00E659FA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="00486409" w:rsidRPr="00E659FA">
        <w:rPr>
          <w:rFonts w:ascii="Times New Roman" w:hAnsi="Times New Roman" w:cs="Times New Roman"/>
          <w:sz w:val="24"/>
          <w:szCs w:val="24"/>
          <w:lang w:val="en-GB"/>
        </w:rPr>
        <w:t>LV</w:t>
      </w:r>
      <w:r w:rsidRPr="00E659FA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486409" w:rsidRPr="00E659FA">
        <w:rPr>
          <w:rFonts w:ascii="Times New Roman" w:hAnsi="Times New Roman" w:cs="Times New Roman"/>
          <w:sz w:val="24"/>
          <w:szCs w:val="24"/>
          <w:lang w:val="en-GB"/>
        </w:rPr>
        <w:t xml:space="preserve">EF – </w:t>
      </w:r>
      <w:r w:rsidRPr="00E659FA">
        <w:rPr>
          <w:rFonts w:ascii="Times New Roman" w:hAnsi="Times New Roman" w:cs="Times New Roman"/>
          <w:sz w:val="24"/>
          <w:szCs w:val="24"/>
          <w:lang w:val="en-GB"/>
        </w:rPr>
        <w:t>le</w:t>
      </w:r>
      <w:r w:rsidR="00486409" w:rsidRPr="00E659FA">
        <w:rPr>
          <w:rFonts w:ascii="Times New Roman" w:hAnsi="Times New Roman" w:cs="Times New Roman"/>
          <w:sz w:val="24"/>
          <w:szCs w:val="24"/>
          <w:lang w:val="en-GB"/>
        </w:rPr>
        <w:t xml:space="preserve">ft </w:t>
      </w:r>
      <w:r w:rsidRPr="00E659FA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736AD8" w:rsidRPr="00E659FA">
        <w:rPr>
          <w:rFonts w:ascii="Times New Roman" w:hAnsi="Times New Roman" w:cs="Times New Roman"/>
          <w:sz w:val="24"/>
          <w:szCs w:val="24"/>
          <w:lang w:val="en-GB"/>
        </w:rPr>
        <w:t>entricu</w:t>
      </w:r>
      <w:r w:rsidR="00486409" w:rsidRPr="00E659FA">
        <w:rPr>
          <w:rFonts w:ascii="Times New Roman" w:hAnsi="Times New Roman" w:cs="Times New Roman"/>
          <w:sz w:val="24"/>
          <w:szCs w:val="24"/>
          <w:lang w:val="en-GB"/>
        </w:rPr>
        <w:t xml:space="preserve">lar </w:t>
      </w:r>
      <w:r w:rsidRPr="00E659FA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486409" w:rsidRPr="00E659FA">
        <w:rPr>
          <w:rFonts w:ascii="Times New Roman" w:hAnsi="Times New Roman" w:cs="Times New Roman"/>
          <w:sz w:val="24"/>
          <w:szCs w:val="24"/>
          <w:lang w:val="en-GB"/>
        </w:rPr>
        <w:t xml:space="preserve">jection </w:t>
      </w:r>
      <w:r w:rsidRPr="00E659FA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340C3C" w:rsidRPr="00E659FA">
        <w:rPr>
          <w:rFonts w:ascii="Times New Roman" w:hAnsi="Times New Roman" w:cs="Times New Roman"/>
          <w:sz w:val="24"/>
          <w:szCs w:val="24"/>
          <w:lang w:val="en-GB"/>
        </w:rPr>
        <w:t xml:space="preserve">raction; LVEDD – </w:t>
      </w:r>
      <w:r w:rsidRPr="00E659FA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340C3C" w:rsidRPr="00E659FA">
        <w:rPr>
          <w:rFonts w:ascii="Times New Roman" w:hAnsi="Times New Roman" w:cs="Times New Roman"/>
          <w:sz w:val="24"/>
          <w:szCs w:val="24"/>
          <w:lang w:val="en-GB"/>
        </w:rPr>
        <w:t xml:space="preserve">eft </w:t>
      </w:r>
      <w:r w:rsidRPr="00E659FA">
        <w:rPr>
          <w:rFonts w:ascii="Times New Roman" w:hAnsi="Times New Roman" w:cs="Times New Roman"/>
          <w:sz w:val="24"/>
          <w:szCs w:val="24"/>
          <w:lang w:val="en-GB"/>
        </w:rPr>
        <w:t>v</w:t>
      </w:r>
      <w:r w:rsidR="00340C3C" w:rsidRPr="00E659FA">
        <w:rPr>
          <w:rFonts w:ascii="Times New Roman" w:hAnsi="Times New Roman" w:cs="Times New Roman"/>
          <w:sz w:val="24"/>
          <w:szCs w:val="24"/>
          <w:lang w:val="en-GB"/>
        </w:rPr>
        <w:t xml:space="preserve">entricular </w:t>
      </w:r>
      <w:proofErr w:type="spellStart"/>
      <w:r w:rsidRPr="00E659FA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340C3C" w:rsidRPr="00E659FA">
        <w:rPr>
          <w:rFonts w:ascii="Times New Roman" w:hAnsi="Times New Roman" w:cs="Times New Roman"/>
          <w:sz w:val="24"/>
          <w:szCs w:val="24"/>
          <w:lang w:val="en-GB"/>
        </w:rPr>
        <w:t>nddiastolic</w:t>
      </w:r>
      <w:proofErr w:type="spellEnd"/>
      <w:r w:rsidR="00340C3C" w:rsidRPr="00E659F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659FA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736AD8" w:rsidRPr="00E659FA">
        <w:rPr>
          <w:rFonts w:ascii="Times New Roman" w:hAnsi="Times New Roman" w:cs="Times New Roman"/>
          <w:sz w:val="24"/>
          <w:szCs w:val="24"/>
          <w:lang w:val="en-GB"/>
        </w:rPr>
        <w:t>iameter, L</w:t>
      </w:r>
      <w:r w:rsidR="00ED23B4" w:rsidRPr="00E659FA">
        <w:rPr>
          <w:rFonts w:ascii="Times New Roman" w:hAnsi="Times New Roman" w:cs="Times New Roman"/>
          <w:sz w:val="24"/>
          <w:szCs w:val="24"/>
          <w:lang w:val="en-GB"/>
        </w:rPr>
        <w:t>V-Mass – left ventricular Mass</w:t>
      </w:r>
    </w:p>
    <w:bookmarkEnd w:id="0"/>
    <w:p w14:paraId="792A9E6F" w14:textId="30BEB48A" w:rsidR="002A63E6" w:rsidRPr="00E659FA" w:rsidRDefault="002A63E6" w:rsidP="009C62B3">
      <w:pPr>
        <w:spacing w:line="480" w:lineRule="auto"/>
        <w:rPr>
          <w:rFonts w:ascii="Arial" w:hAnsi="Arial" w:cs="Arial"/>
        </w:rPr>
      </w:pPr>
    </w:p>
    <w:sectPr w:rsidR="002A63E6" w:rsidRPr="00E659FA" w:rsidSect="00E659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5034D0"/>
    <w:multiLevelType w:val="hybridMultilevel"/>
    <w:tmpl w:val="7298B3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688"/>
    <w:rsid w:val="00024084"/>
    <w:rsid w:val="000E1345"/>
    <w:rsid w:val="002444C0"/>
    <w:rsid w:val="00290D23"/>
    <w:rsid w:val="002A63E6"/>
    <w:rsid w:val="00340C3C"/>
    <w:rsid w:val="00353202"/>
    <w:rsid w:val="003565F6"/>
    <w:rsid w:val="00377A37"/>
    <w:rsid w:val="003F7212"/>
    <w:rsid w:val="00486409"/>
    <w:rsid w:val="004C42E0"/>
    <w:rsid w:val="00535688"/>
    <w:rsid w:val="00562896"/>
    <w:rsid w:val="00650108"/>
    <w:rsid w:val="0065407C"/>
    <w:rsid w:val="00690377"/>
    <w:rsid w:val="007327EB"/>
    <w:rsid w:val="00736AD8"/>
    <w:rsid w:val="0083150C"/>
    <w:rsid w:val="008A227C"/>
    <w:rsid w:val="00905954"/>
    <w:rsid w:val="00926B7D"/>
    <w:rsid w:val="009469AB"/>
    <w:rsid w:val="009570B3"/>
    <w:rsid w:val="0097650B"/>
    <w:rsid w:val="009A4913"/>
    <w:rsid w:val="009C62B3"/>
    <w:rsid w:val="00A80E5B"/>
    <w:rsid w:val="00A95790"/>
    <w:rsid w:val="00AB1C96"/>
    <w:rsid w:val="00AD5131"/>
    <w:rsid w:val="00B55FDF"/>
    <w:rsid w:val="00B61EF6"/>
    <w:rsid w:val="00C00021"/>
    <w:rsid w:val="00C05AFC"/>
    <w:rsid w:val="00CE2388"/>
    <w:rsid w:val="00CF5C86"/>
    <w:rsid w:val="00D877A6"/>
    <w:rsid w:val="00DB7EAD"/>
    <w:rsid w:val="00E35232"/>
    <w:rsid w:val="00E659FA"/>
    <w:rsid w:val="00ED23B4"/>
    <w:rsid w:val="00ED6B35"/>
    <w:rsid w:val="00F9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C765D"/>
  <w15:chartTrackingRefBased/>
  <w15:docId w15:val="{89BEC81D-BBD1-467D-971C-9CC672BF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721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65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leGrid">
    <w:name w:val="Table Grid"/>
    <w:basedOn w:val="TableNormal"/>
    <w:uiPriority w:val="59"/>
    <w:rsid w:val="003565F6"/>
    <w:pPr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23B4"/>
    <w:pPr>
      <w:spacing w:after="0" w:line="240" w:lineRule="auto"/>
    </w:pPr>
  </w:style>
  <w:style w:type="paragraph" w:customStyle="1" w:styleId="Default">
    <w:name w:val="Default"/>
    <w:rsid w:val="000240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Bishwas Chamling</dc:creator>
  <cp:keywords/>
  <dc:description/>
  <cp:lastModifiedBy>Nusrath Ruhaiyah</cp:lastModifiedBy>
  <cp:revision>43</cp:revision>
  <dcterms:created xsi:type="dcterms:W3CDTF">2021-06-13T01:17:00Z</dcterms:created>
  <dcterms:modified xsi:type="dcterms:W3CDTF">2021-07-29T11:20:00Z</dcterms:modified>
</cp:coreProperties>
</file>