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6DF" w:rsidRPr="00FF7C4F" w:rsidRDefault="009E06DF" w:rsidP="009E06DF">
      <w:pPr>
        <w:rPr>
          <w:rFonts w:ascii="Arial" w:hAnsi="Arial" w:cs="Arial"/>
          <w:b/>
          <w:color w:val="002060"/>
          <w:sz w:val="28"/>
          <w:szCs w:val="24"/>
          <w:lang w:val="en-GB"/>
        </w:rPr>
      </w:pPr>
      <w:r w:rsidRPr="00FF7C4F">
        <w:rPr>
          <w:rFonts w:ascii="Arial" w:hAnsi="Arial" w:cs="Arial"/>
          <w:b/>
          <w:color w:val="002060"/>
          <w:sz w:val="28"/>
          <w:szCs w:val="24"/>
          <w:lang w:val="en-GB"/>
        </w:rPr>
        <w:t>Supplementary Material</w:t>
      </w:r>
    </w:p>
    <w:p w:rsidR="009E06DF" w:rsidRPr="00FF7C4F" w:rsidRDefault="009E06DF" w:rsidP="009E06DF">
      <w:pPr>
        <w:rPr>
          <w:rFonts w:ascii="Arial" w:hAnsi="Arial" w:cs="Arial"/>
          <w:b/>
          <w:color w:val="002060"/>
          <w:sz w:val="24"/>
          <w:szCs w:val="24"/>
          <w:lang w:val="en-GB"/>
        </w:rPr>
      </w:pPr>
      <w:r w:rsidRPr="00FF7C4F">
        <w:rPr>
          <w:rFonts w:ascii="Arial" w:hAnsi="Arial" w:cs="Arial"/>
          <w:b/>
          <w:color w:val="002060"/>
          <w:sz w:val="24"/>
          <w:szCs w:val="24"/>
          <w:lang w:val="en-GB"/>
        </w:rPr>
        <w:t>Supplement 1 – Search strategy</w:t>
      </w:r>
    </w:p>
    <w:p w:rsidR="009E06DF" w:rsidRPr="00FF7C4F" w:rsidRDefault="009E06DF" w:rsidP="009E06DF">
      <w:pPr>
        <w:rPr>
          <w:rFonts w:ascii="Arial" w:hAnsi="Arial" w:cs="Arial"/>
          <w:b/>
          <w:color w:val="002060"/>
          <w:sz w:val="24"/>
          <w:szCs w:val="24"/>
          <w:lang w:val="en-GB"/>
        </w:rPr>
      </w:pPr>
    </w:p>
    <w:p w:rsidR="009E06DF" w:rsidRPr="00FF7C4F" w:rsidRDefault="009E06DF" w:rsidP="009E06DF">
      <w:pPr>
        <w:rPr>
          <w:rFonts w:ascii="Arial" w:hAnsi="Arial" w:cs="Arial"/>
          <w:sz w:val="20"/>
          <w:szCs w:val="24"/>
          <w:lang w:val="en-GB"/>
        </w:rPr>
      </w:pPr>
      <w:r w:rsidRPr="00FF7C4F">
        <w:rPr>
          <w:rFonts w:ascii="Arial" w:hAnsi="Arial" w:cs="Arial"/>
          <w:sz w:val="20"/>
          <w:szCs w:val="24"/>
          <w:lang w:val="en-GB"/>
        </w:rPr>
        <w:t>PubMed (accessed 10/01/2022)</w:t>
      </w:r>
    </w:p>
    <w:p w:rsidR="009E06DF" w:rsidRPr="00FF7C4F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FF7C4F" w:rsidRDefault="009E06DF" w:rsidP="009E06DF">
      <w:pPr>
        <w:rPr>
          <w:rFonts w:ascii="Arial" w:hAnsi="Arial" w:cs="Arial"/>
          <w:sz w:val="20"/>
          <w:szCs w:val="24"/>
          <w:lang w:val="en-GB"/>
        </w:rPr>
      </w:pPr>
      <w:r w:rsidRPr="00FF7C4F">
        <w:rPr>
          <w:rFonts w:ascii="Arial" w:hAnsi="Arial" w:cs="Arial"/>
          <w:sz w:val="20"/>
          <w:szCs w:val="24"/>
          <w:lang w:val="en-GB"/>
        </w:rPr>
        <w:t xml:space="preserve">((pulmonary embolism) AND ((response) AND (team))) OR (pulmonary embolism response teams) </w:t>
      </w:r>
    </w:p>
    <w:p w:rsidR="009E06DF" w:rsidRPr="00FF7C4F" w:rsidRDefault="009E06DF" w:rsidP="009E06DF">
      <w:pPr>
        <w:rPr>
          <w:rFonts w:ascii="Arial" w:hAnsi="Arial" w:cs="Arial"/>
          <w:sz w:val="20"/>
          <w:szCs w:val="24"/>
          <w:lang w:val="en-GB"/>
        </w:rPr>
      </w:pPr>
      <w:r w:rsidRPr="00FF7C4F">
        <w:rPr>
          <w:rFonts w:ascii="Arial" w:hAnsi="Arial" w:cs="Arial"/>
          <w:sz w:val="20"/>
          <w:szCs w:val="24"/>
          <w:lang w:val="en-GB"/>
        </w:rPr>
        <w:t>(("pulmonary embolism"[</w:t>
      </w:r>
      <w:proofErr w:type="spellStart"/>
      <w:r w:rsidRPr="00FF7C4F">
        <w:rPr>
          <w:rFonts w:ascii="Arial" w:hAnsi="Arial" w:cs="Arial"/>
          <w:sz w:val="20"/>
          <w:szCs w:val="24"/>
          <w:lang w:val="en-GB"/>
        </w:rPr>
        <w:t>MeSH</w:t>
      </w:r>
      <w:proofErr w:type="spellEnd"/>
      <w:r w:rsidRPr="00FF7C4F">
        <w:rPr>
          <w:rFonts w:ascii="Arial" w:hAnsi="Arial" w:cs="Arial"/>
          <w:sz w:val="20"/>
          <w:szCs w:val="24"/>
          <w:lang w:val="en-GB"/>
        </w:rPr>
        <w:t xml:space="preserve"> Terms] OR ("pulmonary"[All Fields] AND "embolism"[All Fields]) OR "pulmonary embolism"[All Fields]) AND (("response"[All Fields] OR "responses"[All Fields] OR "responsive"[All Fields] OR "responsiveness"[All Fields] OR "</w:t>
      </w:r>
      <w:proofErr w:type="spellStart"/>
      <w:r w:rsidRPr="00FF7C4F">
        <w:rPr>
          <w:rFonts w:ascii="Arial" w:hAnsi="Arial" w:cs="Arial"/>
          <w:sz w:val="20"/>
          <w:szCs w:val="24"/>
          <w:lang w:val="en-GB"/>
        </w:rPr>
        <w:t>responsivenesses</w:t>
      </w:r>
      <w:proofErr w:type="spellEnd"/>
      <w:r w:rsidRPr="00FF7C4F">
        <w:rPr>
          <w:rFonts w:ascii="Arial" w:hAnsi="Arial" w:cs="Arial"/>
          <w:sz w:val="20"/>
          <w:szCs w:val="24"/>
          <w:lang w:val="en-GB"/>
        </w:rPr>
        <w:t>"[All Fields] OR "</w:t>
      </w:r>
      <w:proofErr w:type="spellStart"/>
      <w:r w:rsidRPr="00FF7C4F">
        <w:rPr>
          <w:rFonts w:ascii="Arial" w:hAnsi="Arial" w:cs="Arial"/>
          <w:sz w:val="20"/>
          <w:szCs w:val="24"/>
          <w:lang w:val="en-GB"/>
        </w:rPr>
        <w:t>responsives</w:t>
      </w:r>
      <w:proofErr w:type="spellEnd"/>
      <w:r w:rsidRPr="00FF7C4F">
        <w:rPr>
          <w:rFonts w:ascii="Arial" w:hAnsi="Arial" w:cs="Arial"/>
          <w:sz w:val="20"/>
          <w:szCs w:val="24"/>
          <w:lang w:val="en-GB"/>
        </w:rPr>
        <w:t>"[All Fields] OR "</w:t>
      </w:r>
      <w:proofErr w:type="spellStart"/>
      <w:r w:rsidRPr="00FF7C4F">
        <w:rPr>
          <w:rFonts w:ascii="Arial" w:hAnsi="Arial" w:cs="Arial"/>
          <w:sz w:val="20"/>
          <w:szCs w:val="24"/>
          <w:lang w:val="en-GB"/>
        </w:rPr>
        <w:t>responsivities</w:t>
      </w:r>
      <w:proofErr w:type="spellEnd"/>
      <w:r w:rsidRPr="00FF7C4F">
        <w:rPr>
          <w:rFonts w:ascii="Arial" w:hAnsi="Arial" w:cs="Arial"/>
          <w:sz w:val="20"/>
          <w:szCs w:val="24"/>
          <w:lang w:val="en-GB"/>
        </w:rPr>
        <w:t>"[All Fields] OR "</w:t>
      </w:r>
      <w:proofErr w:type="spellStart"/>
      <w:r w:rsidRPr="00FF7C4F">
        <w:rPr>
          <w:rFonts w:ascii="Arial" w:hAnsi="Arial" w:cs="Arial"/>
          <w:sz w:val="20"/>
          <w:szCs w:val="24"/>
          <w:lang w:val="en-GB"/>
        </w:rPr>
        <w:t>responsivity</w:t>
      </w:r>
      <w:proofErr w:type="spellEnd"/>
      <w:r w:rsidRPr="00FF7C4F">
        <w:rPr>
          <w:rFonts w:ascii="Arial" w:hAnsi="Arial" w:cs="Arial"/>
          <w:sz w:val="20"/>
          <w:szCs w:val="24"/>
          <w:lang w:val="en-GB"/>
        </w:rPr>
        <w:t>"[All Fields]) AND "team"[All Fields])) OR (("pulmonary embolism"[</w:t>
      </w:r>
      <w:proofErr w:type="spellStart"/>
      <w:r w:rsidRPr="00FF7C4F">
        <w:rPr>
          <w:rFonts w:ascii="Arial" w:hAnsi="Arial" w:cs="Arial"/>
          <w:sz w:val="20"/>
          <w:szCs w:val="24"/>
          <w:lang w:val="en-GB"/>
        </w:rPr>
        <w:t>MeSH</w:t>
      </w:r>
      <w:proofErr w:type="spellEnd"/>
      <w:r w:rsidRPr="00FF7C4F">
        <w:rPr>
          <w:rFonts w:ascii="Arial" w:hAnsi="Arial" w:cs="Arial"/>
          <w:sz w:val="20"/>
          <w:szCs w:val="24"/>
          <w:lang w:val="en-GB"/>
        </w:rPr>
        <w:t xml:space="preserve"> Terms] OR ("pulmonary"[All Fields] AND "embolism"[All Fields]) OR "pulmonary embolism"[All Fields]) AND ("response"[All Fields] OR "responses"[All Fields] OR "responsive"[All Fields] OR "responsiveness"[All Fields] OR "</w:t>
      </w:r>
      <w:proofErr w:type="spellStart"/>
      <w:r w:rsidRPr="00FF7C4F">
        <w:rPr>
          <w:rFonts w:ascii="Arial" w:hAnsi="Arial" w:cs="Arial"/>
          <w:sz w:val="20"/>
          <w:szCs w:val="24"/>
          <w:lang w:val="en-GB"/>
        </w:rPr>
        <w:t>responsivenesses</w:t>
      </w:r>
      <w:proofErr w:type="spellEnd"/>
      <w:r w:rsidRPr="00FF7C4F">
        <w:rPr>
          <w:rFonts w:ascii="Arial" w:hAnsi="Arial" w:cs="Arial"/>
          <w:sz w:val="20"/>
          <w:szCs w:val="24"/>
          <w:lang w:val="en-GB"/>
        </w:rPr>
        <w:t>"[All Fields] OR "</w:t>
      </w:r>
      <w:proofErr w:type="spellStart"/>
      <w:r w:rsidRPr="00FF7C4F">
        <w:rPr>
          <w:rFonts w:ascii="Arial" w:hAnsi="Arial" w:cs="Arial"/>
          <w:sz w:val="20"/>
          <w:szCs w:val="24"/>
          <w:lang w:val="en-GB"/>
        </w:rPr>
        <w:t>responsives</w:t>
      </w:r>
      <w:proofErr w:type="spellEnd"/>
      <w:r w:rsidRPr="00FF7C4F">
        <w:rPr>
          <w:rFonts w:ascii="Arial" w:hAnsi="Arial" w:cs="Arial"/>
          <w:sz w:val="20"/>
          <w:szCs w:val="24"/>
          <w:lang w:val="en-GB"/>
        </w:rPr>
        <w:t>"[All Fields] OR "</w:t>
      </w:r>
      <w:proofErr w:type="spellStart"/>
      <w:r w:rsidRPr="00FF7C4F">
        <w:rPr>
          <w:rFonts w:ascii="Arial" w:hAnsi="Arial" w:cs="Arial"/>
          <w:sz w:val="20"/>
          <w:szCs w:val="24"/>
          <w:lang w:val="en-GB"/>
        </w:rPr>
        <w:t>responsivities</w:t>
      </w:r>
      <w:proofErr w:type="spellEnd"/>
      <w:r w:rsidRPr="00FF7C4F">
        <w:rPr>
          <w:rFonts w:ascii="Arial" w:hAnsi="Arial" w:cs="Arial"/>
          <w:sz w:val="20"/>
          <w:szCs w:val="24"/>
          <w:lang w:val="en-GB"/>
        </w:rPr>
        <w:t>"[All Fields] OR "</w:t>
      </w:r>
      <w:proofErr w:type="spellStart"/>
      <w:r w:rsidRPr="00FF7C4F">
        <w:rPr>
          <w:rFonts w:ascii="Arial" w:hAnsi="Arial" w:cs="Arial"/>
          <w:sz w:val="20"/>
          <w:szCs w:val="24"/>
          <w:lang w:val="en-GB"/>
        </w:rPr>
        <w:t>responsivity</w:t>
      </w:r>
      <w:proofErr w:type="spellEnd"/>
      <w:r w:rsidRPr="00FF7C4F">
        <w:rPr>
          <w:rFonts w:ascii="Arial" w:hAnsi="Arial" w:cs="Arial"/>
          <w:sz w:val="20"/>
          <w:szCs w:val="24"/>
          <w:lang w:val="en-GB"/>
        </w:rPr>
        <w:t>"[All Fields]) AND ("team s"[All Fields] OR "teamed"[All Fields] OR "teaming"[All Fields] OR "</w:t>
      </w:r>
      <w:proofErr w:type="spellStart"/>
      <w:r w:rsidRPr="00FF7C4F">
        <w:rPr>
          <w:rFonts w:ascii="Arial" w:hAnsi="Arial" w:cs="Arial"/>
          <w:sz w:val="20"/>
          <w:szCs w:val="24"/>
          <w:lang w:val="en-GB"/>
        </w:rPr>
        <w:t>teamness</w:t>
      </w:r>
      <w:proofErr w:type="spellEnd"/>
      <w:r w:rsidRPr="00FF7C4F">
        <w:rPr>
          <w:rFonts w:ascii="Arial" w:hAnsi="Arial" w:cs="Arial"/>
          <w:sz w:val="20"/>
          <w:szCs w:val="24"/>
          <w:lang w:val="en-GB"/>
        </w:rPr>
        <w:t>"[All Fields] OR "teams"[All Fields]))</w:t>
      </w:r>
    </w:p>
    <w:p w:rsidR="009E06DF" w:rsidRDefault="009E06DF" w:rsidP="009E06DF">
      <w:pPr>
        <w:rPr>
          <w:rFonts w:ascii="Arial" w:hAnsi="Arial" w:cs="Arial"/>
          <w:sz w:val="20"/>
          <w:szCs w:val="24"/>
          <w:lang w:val="en-GB"/>
        </w:rPr>
      </w:pPr>
      <w:r>
        <w:rPr>
          <w:rFonts w:ascii="Arial" w:hAnsi="Arial" w:cs="Arial"/>
          <w:sz w:val="20"/>
          <w:szCs w:val="24"/>
          <w:lang w:val="en-GB"/>
        </w:rPr>
        <w:br w:type="page"/>
      </w:r>
    </w:p>
    <w:p w:rsidR="009E06DF" w:rsidRDefault="009E06DF" w:rsidP="009E06DF">
      <w:pPr>
        <w:rPr>
          <w:rFonts w:ascii="Arial" w:hAnsi="Arial" w:cs="Arial"/>
          <w:b/>
          <w:color w:val="002060"/>
          <w:sz w:val="24"/>
          <w:szCs w:val="24"/>
          <w:lang w:val="en-GB"/>
        </w:rPr>
        <w:sectPr w:rsidR="009E06DF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9E06DF" w:rsidRPr="00FF7C4F" w:rsidRDefault="009E06DF" w:rsidP="009E06DF">
      <w:pPr>
        <w:rPr>
          <w:rFonts w:ascii="Arial" w:hAnsi="Arial" w:cs="Arial"/>
          <w:b/>
          <w:color w:val="002060"/>
          <w:sz w:val="24"/>
          <w:szCs w:val="24"/>
          <w:lang w:val="en-GB"/>
        </w:rPr>
      </w:pPr>
      <w:r w:rsidRPr="00FF7C4F">
        <w:rPr>
          <w:rFonts w:ascii="Arial" w:hAnsi="Arial" w:cs="Arial"/>
          <w:b/>
          <w:color w:val="002060"/>
          <w:sz w:val="24"/>
          <w:szCs w:val="24"/>
          <w:lang w:val="en-GB"/>
        </w:rPr>
        <w:lastRenderedPageBreak/>
        <w:t xml:space="preserve">Supplement 2 – </w:t>
      </w:r>
      <w:r>
        <w:rPr>
          <w:rFonts w:ascii="Arial" w:hAnsi="Arial" w:cs="Arial"/>
          <w:b/>
          <w:color w:val="002060"/>
          <w:sz w:val="24"/>
          <w:szCs w:val="24"/>
          <w:lang w:val="en-GB"/>
        </w:rPr>
        <w:t>Physician s</w:t>
      </w:r>
      <w:r w:rsidRPr="00FF7C4F">
        <w:rPr>
          <w:rFonts w:ascii="Arial" w:hAnsi="Arial" w:cs="Arial"/>
          <w:b/>
          <w:color w:val="002060"/>
          <w:sz w:val="24"/>
          <w:szCs w:val="24"/>
          <w:lang w:val="en-GB"/>
        </w:rPr>
        <w:t>urvey results</w:t>
      </w:r>
    </w:p>
    <w:tbl>
      <w:tblPr>
        <w:tblStyle w:val="Gitternetztabelle2"/>
        <w:tblW w:w="0" w:type="auto"/>
        <w:tblLook w:val="04A0" w:firstRow="1" w:lastRow="0" w:firstColumn="1" w:lastColumn="0" w:noHBand="0" w:noVBand="1"/>
      </w:tblPr>
      <w:tblGrid>
        <w:gridCol w:w="1149"/>
        <w:gridCol w:w="1858"/>
        <w:gridCol w:w="1252"/>
        <w:gridCol w:w="1200"/>
        <w:gridCol w:w="1397"/>
        <w:gridCol w:w="2069"/>
        <w:gridCol w:w="1918"/>
        <w:gridCol w:w="1947"/>
        <w:gridCol w:w="1497"/>
      </w:tblGrid>
      <w:tr w:rsidR="009E06DF" w:rsidRPr="00547F75" w:rsidTr="00146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:rsidR="009E06DF" w:rsidRPr="00547F75" w:rsidRDefault="009E06DF" w:rsidP="00146862">
            <w:pPr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  <w:t>Survey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E06DF" w:rsidRPr="00547F75" w:rsidRDefault="009E06DF" w:rsidP="001468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  <w:t>Description and scope of survey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E06DF" w:rsidRPr="00547F75" w:rsidRDefault="009E06DF" w:rsidP="001468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  <w:t>Timeframe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E06DF" w:rsidRPr="00547F75" w:rsidRDefault="009E06DF" w:rsidP="001468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  <w:t>Response rate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E06DF" w:rsidRPr="00547F75" w:rsidRDefault="009E06DF" w:rsidP="001468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  <w:t>Center description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E06DF" w:rsidRPr="00547F75" w:rsidRDefault="009E06DF" w:rsidP="001468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  <w:t>Specialty involvement</w:t>
            </w:r>
            <w:r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  <w:t xml:space="preserve"> in PERT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E06DF" w:rsidRDefault="009E06DF" w:rsidP="001468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  <w:t>Activation of PERT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E06DF" w:rsidRPr="00547F75" w:rsidRDefault="009E06DF" w:rsidP="001468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  <w:t>Use of advanced therapies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9E06DF" w:rsidRPr="00547F75" w:rsidRDefault="009E06DF" w:rsidP="001468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val="en-US" w:eastAsia="de-DE"/>
              </w:rPr>
              <w:t>Other survey results</w:t>
            </w:r>
          </w:p>
        </w:tc>
      </w:tr>
      <w:tr w:rsidR="009E06DF" w:rsidRPr="0095185E" w:rsidTr="00146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E06DF" w:rsidRPr="00547F75" w:rsidRDefault="009E06DF" w:rsidP="001468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 w:eastAsia="de-DE"/>
              </w:rPr>
              <w:t>Barnes et al. 2017</w:t>
            </w:r>
            <w:hyperlink w:anchor="_ENREF_12" w:tooltip="Barnes, 2017 #1054" w:history="1"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fldChar w:fldCharType="begin"/>
              </w:r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instrText xml:space="preserve"> ADDIN EN.CITE &lt;EndNote&gt;&lt;Cite&gt;&lt;Author&gt;Barnes&lt;/Author&gt;&lt;Year&gt;2017&lt;/Year&gt;&lt;RecNum&gt;1054&lt;/RecNum&gt;&lt;DisplayText&gt;&lt;style face="superscript"&gt;12&lt;/style&gt;&lt;/DisplayText&gt;&lt;record&gt;&lt;rec-number&gt;1054&lt;/rec-number&gt;&lt;foreign-keys&gt;&lt;key app="EN" db-id="w0vxta09qtvw58edpwxpsdxaarrwsxrp5e02" timestamp="1644917974"&gt;1054&lt;/key&gt;&lt;/foreign-keys&gt;&lt;ref-type name="Journal Article"&gt;17&lt;/ref-type&gt;&lt;contributors&gt;&lt;authors&gt;&lt;author&gt;Barnes, Geoffrey&lt;/author&gt;&lt;author&gt;Giri, Jay&lt;/author&gt;&lt;author&gt;Courtney, D Mark&lt;/author&gt;&lt;author&gt;Naydenov, Soophia&lt;/author&gt;&lt;author&gt;Wood, Todd&lt;/author&gt;&lt;author&gt;Rosovsky, Rachel&lt;/author&gt;&lt;author&gt;Rosenfield, Kenneth&lt;/author&gt;&lt;author&gt;Kabrhel, Christopher&lt;/author&gt;&lt;/authors&gt;&lt;/contributors&gt;&lt;titles&gt;&lt;title&gt;Nuts and bolts of running a pulmonary embolism response team: results from an organizational survey of the National PERT™ Consortium members&lt;/title&gt;&lt;secondary-title&gt;Hospital practice (1995)&lt;/secondary-title&gt;&lt;/titles&gt;&lt;periodical&gt;&lt;full-title&gt;Hospital practice (1995)&lt;/full-title&gt;&lt;/periodical&gt;&lt;pages&gt;76-80&lt;/pages&gt;&lt;volume&gt;45&lt;/volume&gt;&lt;number&gt;3&lt;/number&gt;&lt;keywords&gt;&lt;keyword&gt;Academic Medical Centers&lt;/keyword&gt;&lt;keyword&gt;Fibrinolytic Agents&lt;/keyword&gt;&lt;keyword&gt;Hospital Bed Capacity&lt;/keyword&gt;&lt;keyword&gt;Humans&lt;/keyword&gt;&lt;keyword&gt;Medicine&lt;/keyword&gt;&lt;keyword&gt;Patient Care Team&lt;/keyword&gt;&lt;keyword&gt;Pulmonary Embolism&lt;/keyword&gt;&lt;keyword&gt;Thrombectomy&lt;/keyword&gt;&lt;keyword&gt;Thrombolytic Therapy&lt;/keyword&gt;&lt;keyword&gt;Vena Cava Filters&lt;/keyword&gt;&lt;keyword&gt;administration &amp;amp; dosage&lt;/keyword&gt;&lt;keyword&gt;drug therapy&lt;/keyword&gt;&lt;keyword&gt;methods&lt;/keyword&gt;&lt;keyword&gt;organization &amp;amp; administration&lt;/keyword&gt;&lt;/keywords&gt;&lt;dates&gt;&lt;year&gt;2017&lt;/year&gt;&lt;pub-dates&gt;&lt;date&gt;2017-08&lt;/date&gt;&lt;/pub-dates&gt;&lt;/dates&gt;&lt;accession-num&gt;rayyan-766906152&lt;/accession-num&gt;&lt;urls&gt;&lt;/urls&gt;&lt;custom1&gt;RAYYAN-INCLUSION: {&amp;quot;Ioannis&amp;quot;=&amp;gt;&amp;quot;Included&amp;quot;} | RAYYAN-LABELS: survey | RAYYAN-INCLUSION: {&amp;quot;annannoulitsa&amp;quot;=&amp;gt;&amp;quot;Excluded&amp;quot;, &amp;quot;Ioannis&amp;quot;=&amp;gt;&amp;quot;Excluded&amp;quot;} | RAYYAN-LABELS: survey | RAYYAN-EXCLUSION-REASONS: wrong study design&lt;/custom1&gt;&lt;language&gt;eng&lt;/language&gt;&lt;/record&gt;&lt;/Cite&gt;&lt;/EndNote&gt;</w:instrText>
              </w:r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fldChar w:fldCharType="separate"/>
              </w:r>
              <w:r w:rsidRPr="0095185E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vertAlign w:val="superscript"/>
                  <w:lang w:val="en-US" w:eastAsia="de-DE"/>
                </w:rPr>
                <w:t>12</w:t>
              </w:r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fldChar w:fldCharType="end"/>
              </w:r>
            </w:hyperlink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Survey among participating centers to the PERT Consortium™ in order to describe the function of PERT.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April 2016 – June 2016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79.5% of centers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Hospitals with 300-499 (11%), 500-749 (42%), 750-999 (32%), and ≥1000 </w:t>
            </w:r>
          </w:p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(16%) hospital beds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Median 4 (IQR 3-6) specialties involved.</w:t>
            </w:r>
            <w:r w:rsidRPr="00547F75">
              <w:rPr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0.457). Pulmonary/critical care and at least one </w:t>
            </w: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catheter-based specialty (interventional cardio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logy, interventional radiology, </w:t>
            </w: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vascular surgery,</w:t>
            </w:r>
          </w:p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or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interventional vascular </w:t>
            </w: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m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edicine) were </w:t>
            </w: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involved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at all respondent institutions.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42% used a dedicated PERT service for activation. Appropriateness for activation includes criteria for sub-massive or massive PE. 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Availability of systemic thrombolysis (100%), inferior vena cava filter (100%), catheter-based therapy or catheter-based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thrombectomy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or surgical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embolectomy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(89%), extracorporeal membrane oxygenation (68%).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Follow-up for patients with PERT consultation was conducted in dedicated PERT clinic (47%) or personal clinic of a PERT physician (79%).</w:t>
            </w:r>
          </w:p>
        </w:tc>
      </w:tr>
      <w:tr w:rsidR="009E06DF" w:rsidRPr="0095185E" w:rsidTr="001468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E06DF" w:rsidRPr="00547F75" w:rsidRDefault="009E06DF" w:rsidP="001468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547F7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 w:eastAsia="de-DE"/>
              </w:rPr>
              <w:t>Brailovsky</w:t>
            </w:r>
            <w:proofErr w:type="spellEnd"/>
            <w:r w:rsidRPr="00547F7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 w:eastAsia="de-DE"/>
              </w:rPr>
              <w:t xml:space="preserve"> et al. 2020</w:t>
            </w:r>
            <w:hyperlink w:anchor="_ENREF_11" w:tooltip="Brailovsky, 2020 #1053" w:history="1"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fldChar w:fldCharType="begin"/>
              </w:r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instrText xml:space="preserve"> ADDIN EN.CITE &lt;EndNote&gt;&lt;Cite&gt;&lt;Author&gt;Brailovsky&lt;/Author&gt;&lt;Year&gt;2020&lt;/Year&gt;&lt;RecNum&gt;1053&lt;/RecNum&gt;&lt;DisplayText&gt;&lt;style face="superscript"&gt;11&lt;/style&gt;&lt;/DisplayText&gt;&lt;record&gt;&lt;rec-number&gt;1053&lt;/rec-number&gt;&lt;foreign-keys&gt;&lt;key app="EN" db-id="w0vxta09qtvw58edpwxpsdxaarrwsxrp5e02" timestamp="1644917974"&gt;1053&lt;/key&gt;&lt;/foreign-keys&gt;&lt;ref-type name="Journal Article"&gt;17&lt;/ref-type&gt;&lt;contributors&gt;&lt;authors&gt;&lt;author&gt;Brailovsky, Y&lt;/author&gt;&lt;author&gt;Kunchakarra, S&lt;/author&gt;&lt;author&gt;Lakhter, V&lt;/author&gt;&lt;author&gt;Barnes, G&lt;/author&gt;&lt;author&gt;Masic, D&lt;/author&gt;&lt;author&gt;Mancl, E&lt;/author&gt;&lt;author&gt;Porcaro, K&lt;/author&gt;&lt;author&gt;Bechara, C F&lt;/author&gt;&lt;author&gt;Lopez, J J&lt;/author&gt;&lt;author&gt;Simpson, K&lt;/author&gt;&lt;author&gt;Mathew, V&lt;/author&gt;&lt;author&gt;Fareed, J&lt;/author&gt;&lt;author&gt;Darki, A&lt;/author&gt;&lt;/authors&gt;&lt;/contributors&gt;&lt;titles&gt;&lt;title&gt;Pulmonary embolism response team implementation improves awareness and education among the house staff and faculty&lt;/title&gt;&lt;secondary-title&gt;JOURNAL OF THROMBOSIS AND THROMBOLYSIS&lt;/secondary-title&gt;&lt;/titles&gt;&lt;periodical&gt;&lt;full-title&gt;J Thromb Thrombolysis&lt;/full-title&gt;&lt;abbr-1&gt;Journal of thrombosis and thrombolysis&lt;/abbr-1&gt;&lt;/periodical&gt;&lt;pages&gt;54-58&lt;/pages&gt;&lt;volume&gt;49&lt;/volume&gt;&lt;number&gt;1&lt;/number&gt;&lt;keywords&gt;&lt;keyword&gt;Internship and Residency&lt;/keyword&gt;&lt;keyword&gt;Pulmonary Embolism&lt;/keyword&gt;&lt;keyword&gt;Embolism&lt;/keyword&gt;&lt;/keywords&gt;&lt;dates&gt;&lt;year&gt;2020&lt;/year&gt;&lt;pub-dates&gt;&lt;date&gt;2020&lt;/date&gt;&lt;/pub-dates&gt;&lt;/dates&gt;&lt;accession-num&gt;rayyan-766906162&lt;/accession-num&gt;&lt;urls&gt;&lt;/urls&gt;&lt;custom1&gt;RAYYAN-INCLUSION: {&amp;quot;Ioannis&amp;quot;=&amp;gt;&amp;quot;Included&amp;quot;} | RAYYAN-LABELS: survey | RAYYAN-INCLUSION: {&amp;quot;annannoulitsa&amp;quot;=&amp;gt;&amp;quot;Excluded&amp;quot;, &amp;quot;Ioannis&amp;quot;=&amp;gt;&amp;quot;Excluded&amp;quot;} | RAYYAN-LABELS: survey | RAYYAN-EXCLUSION-REASONS: wrong study design&lt;/custom1&gt;&lt;/record&gt;&lt;/Cite&gt;&lt;/EndNote&gt;</w:instrText>
              </w:r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fldChar w:fldCharType="separate"/>
              </w:r>
              <w:r w:rsidRPr="0095185E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vertAlign w:val="superscript"/>
                  <w:lang w:val="en-US" w:eastAsia="de-DE"/>
                </w:rPr>
                <w:t>11</w:t>
              </w:r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fldChar w:fldCharType="end"/>
              </w:r>
            </w:hyperlink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Survey among physicians of a tertiary care center in order to assess the impact of PERT implementation on house staff education.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August 2017 – June 2018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12.5%-13.2% of individuals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0" w:type="auto"/>
          </w:tcPr>
          <w:p w:rsidR="009E06DF" w:rsidRPr="004E7F57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S</w:t>
            </w: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elf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-</w:t>
            </w: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reported</w:t>
            </w:r>
          </w:p>
          <w:p w:rsidR="009E06DF" w:rsidRPr="004E7F57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comfort with explaining all available treatment</w:t>
            </w:r>
          </w:p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modalities to patients increased from 49.1 to 67.9%</w:t>
            </w:r>
          </w:p>
        </w:tc>
        <w:tc>
          <w:tcPr>
            <w:tcW w:w="0" w:type="auto"/>
          </w:tcPr>
          <w:p w:rsidR="009E06DF" w:rsidRPr="00B5041A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T</w:t>
            </w:r>
            <w:r w:rsidRPr="00B5041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argeted educational</w:t>
            </w:r>
          </w:p>
          <w:p w:rsidR="009E06DF" w:rsidRPr="00B5041A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efforts increased the awareness of the PERT</w:t>
            </w:r>
          </w:p>
          <w:p w:rsidR="009E06DF" w:rsidRPr="00B5041A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B5041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from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72.2 to 92.6% (p &lt; 0.01) and </w:t>
            </w:r>
            <w:r w:rsidRPr="00B5041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led to</w:t>
            </w:r>
          </w:p>
          <w:p w:rsidR="009E06DF" w:rsidRPr="00B5041A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a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r w:rsidRPr="00B5041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significant increase in PERT activations. (6.3 to 14.3 activations</w:t>
            </w:r>
          </w:p>
          <w:p w:rsidR="009E06DF" w:rsidRPr="00B5041A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B5041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lastRenderedPageBreak/>
              <w:t>per</w:t>
            </w:r>
            <w:proofErr w:type="gramEnd"/>
            <w:r w:rsidRPr="00B5041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month, p &lt; 0.01).</w:t>
            </w:r>
            <w:r w:rsidRPr="00B5041A">
              <w:rPr>
                <w:lang w:val="en-US"/>
              </w:rPr>
              <w:t xml:space="preserve"> </w:t>
            </w:r>
            <w:r w:rsidRPr="00B5041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Accurate clinical risk stratification of</w:t>
            </w:r>
          </w:p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B5041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acute</w:t>
            </w:r>
            <w:proofErr w:type="gramEnd"/>
            <w:r w:rsidRPr="00B5041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PE increased from 60.2% to 73.8% (p = 0.03)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.</w:t>
            </w:r>
          </w:p>
        </w:tc>
      </w:tr>
      <w:tr w:rsidR="009E06DF" w:rsidRPr="00547F75" w:rsidTr="001468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E06DF" w:rsidRPr="00547F75" w:rsidRDefault="009E06DF" w:rsidP="001468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547F7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 w:eastAsia="de-DE"/>
              </w:rPr>
              <w:lastRenderedPageBreak/>
              <w:t>Todoran</w:t>
            </w:r>
            <w:proofErr w:type="spellEnd"/>
            <w:r w:rsidRPr="00547F7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 w:eastAsia="de-DE"/>
              </w:rPr>
              <w:t xml:space="preserve"> et al. 2018</w:t>
            </w:r>
            <w:hyperlink w:anchor="_ENREF_10" w:tooltip="Todoran, 2018 #1052" w:history="1"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fldChar w:fldCharType="begin"/>
              </w:r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instrText xml:space="preserve"> ADDIN EN.CITE &lt;EndNote&gt;&lt;Cite&gt;&lt;Author&gt;Todoran&lt;/Author&gt;&lt;Year&gt;2018&lt;/Year&gt;&lt;RecNum&gt;1052&lt;/RecNum&gt;&lt;DisplayText&gt;&lt;style face="superscript"&gt;10&lt;/style&gt;&lt;/DisplayText&gt;&lt;record&gt;&lt;rec-number&gt;1052&lt;/rec-number&gt;&lt;foreign-keys&gt;&lt;key app="EN" db-id="w0vxta09qtvw58edpwxpsdxaarrwsxrp5e02" timestamp="1644917974"&gt;1052&lt;/key&gt;&lt;/foreign-keys&gt;&lt;ref-type name="Journal Article"&gt;17&lt;/ref-type&gt;&lt;contributors&gt;&lt;authors&gt;&lt;author&gt;Todoran, T M&lt;/author&gt;&lt;author&gt;Giri, J&lt;/author&gt;&lt;author&gt;Barnes, G D&lt;/author&gt;&lt;author&gt;Rosovsky, R P&lt;/author&gt;&lt;author&gt;Chang, Y C&lt;/author&gt;&lt;author&gt;Jaff, M R&lt;/author&gt;&lt;author&gt;Rosenfield, K&lt;/author&gt;&lt;author&gt;Kabrhel, C&lt;/author&gt;&lt;author&gt;Consortium, PERT&lt;/author&gt;&lt;/authors&gt;&lt;/contributors&gt;&lt;titles&gt;&lt;title&gt;Treatment of submassive and massive pulmonary embolism: a clinical practice survey from the second annual meeting of the Pulmonary Embolism Response Team Consortium&lt;/title&gt;&lt;secondary-title&gt;JOURNAL OF THROMBOSIS AND THROMBOLYSIS&lt;/secondary-title&gt;&lt;/titles&gt;&lt;periodical&gt;&lt;full-title&gt;J Thromb Thrombolysis&lt;/full-title&gt;&lt;abbr-1&gt;Journal of thrombosis and thrombolysis&lt;/abbr-1&gt;&lt;/periodical&gt;&lt;pages&gt;39-49&lt;/pages&gt;&lt;volume&gt;46&lt;/volume&gt;&lt;number&gt;1&lt;/number&gt;&lt;keywords&gt;&lt;keyword&gt;Pulmonary Embolism&lt;/keyword&gt;&lt;/keywords&gt;&lt;dates&gt;&lt;year&gt;2018&lt;/year&gt;&lt;pub-dates&gt;&lt;date&gt;2018&lt;/date&gt;&lt;/pub-dates&gt;&lt;/dates&gt;&lt;accession-num&gt;rayyan-766906160&lt;/accession-num&gt;&lt;urls&gt;&lt;/urls&gt;&lt;custom1&gt;RAYYAN-INCLUSION: {&amp;quot;Ioannis&amp;quot;=&amp;gt;&amp;quot;Included&amp;quot;} | RAYYAN-LABELS: survey | RAYYAN-INCLUSION: {&amp;quot;annannoulitsa&amp;quot;=&amp;gt;&amp;quot;Excluded&amp;quot;, &amp;quot;Ioannis&amp;quot;=&amp;gt;&amp;quot;Excluded&amp;quot;} | RAYYAN-LABELS: survey | RAYYAN-EXCLUSION-REASONS: wrong study design&lt;/custom1&gt;&lt;/record&gt;&lt;/Cite&gt;&lt;/EndNote&gt;</w:instrText>
              </w:r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fldChar w:fldCharType="separate"/>
              </w:r>
              <w:r w:rsidRPr="0095185E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vertAlign w:val="superscript"/>
                  <w:lang w:val="en-US" w:eastAsia="de-DE"/>
                </w:rPr>
                <w:t>10</w:t>
              </w:r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fldChar w:fldCharType="end"/>
              </w:r>
            </w:hyperlink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Survey among 100 physicians participating to the PERT Consortium™ in order to better record the risk stratification and treatment of patients with PE within the PERT.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June 2016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100%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70% academic centers, 66% hospitals with ≥500 beds</w:t>
            </w:r>
          </w:p>
        </w:tc>
        <w:tc>
          <w:tcPr>
            <w:tcW w:w="0" w:type="auto"/>
          </w:tcPr>
          <w:p w:rsidR="009E06DF" w:rsidRPr="00A279A8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Interventional cardiology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cr/>
              <w:t>(</w:t>
            </w:r>
            <w:r w:rsidRPr="00A279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27%), i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nterventional radiology (</w:t>
            </w:r>
            <w:r w:rsidRPr="00A279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20%),</w:t>
            </w:r>
          </w:p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critical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care (</w:t>
            </w:r>
            <w:r w:rsidRPr="00A279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17%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) and vascular medicine (</w:t>
            </w:r>
            <w:r w:rsidRPr="00A279A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15%).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  <w:tc>
          <w:tcPr>
            <w:tcW w:w="0" w:type="auto"/>
          </w:tcPr>
          <w:p w:rsidR="009E06DF" w:rsidRPr="004E7F57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T</w:t>
            </w: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reatment of choice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w</w:t>
            </w: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hen using a treat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ment other than anticoagulation</w:t>
            </w: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: catheter-directed thrombolysis</w:t>
            </w:r>
          </w:p>
          <w:p w:rsidR="009E06DF" w:rsidRPr="004E7F57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(</w:t>
            </w: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73%), full-dos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e systemic thrombolysis (</w:t>
            </w: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12%), other no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n-thrombolytic approach (</w:t>
            </w: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10%), half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-</w:t>
            </w: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dose</w:t>
            </w:r>
          </w:p>
          <w:p w:rsidR="009E06DF" w:rsidRPr="004E7F57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systemic thrombolysis (5%), </w:t>
            </w: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other thrombolytic</w:t>
            </w:r>
          </w:p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approach</w:t>
            </w:r>
            <w:proofErr w:type="gram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(</w:t>
            </w: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1%)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.</w:t>
            </w:r>
          </w:p>
        </w:tc>
        <w:tc>
          <w:tcPr>
            <w:tcW w:w="0" w:type="auto"/>
          </w:tcPr>
          <w:p w:rsidR="009E06DF" w:rsidRPr="00547F75" w:rsidRDefault="009E06DF" w:rsidP="00146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N/A</w:t>
            </w:r>
          </w:p>
        </w:tc>
      </w:tr>
      <w:tr w:rsidR="009E06DF" w:rsidRPr="00547F75" w:rsidTr="001468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</w:tcPr>
          <w:p w:rsidR="009E06DF" w:rsidRPr="00547F75" w:rsidRDefault="009E06DF" w:rsidP="001468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val="en-US" w:eastAsia="de-DE"/>
              </w:rPr>
              <w:t>Wang et al. 2021</w:t>
            </w:r>
            <w:hyperlink w:anchor="_ENREF_9" w:tooltip="Wang, 2021 #1051" w:history="1"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fldChar w:fldCharType="begin"/>
              </w:r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instrText xml:space="preserve"> ADDIN EN.CITE &lt;EndNote&gt;&lt;Cite&gt;&lt;Author&gt;Wang&lt;/Author&gt;&lt;Year&gt;2021&lt;/Year&gt;&lt;RecNum&gt;1051&lt;/RecNum&gt;&lt;DisplayText&gt;&lt;style face="superscript"&gt;9&lt;/style&gt;&lt;/DisplayText&gt;&lt;record&gt;&lt;rec-number&gt;1051&lt;/rec-number&gt;&lt;foreign-keys&gt;&lt;key app="EN" db-id="w0vxta09qtvw58edpwxpsdxaarrwsxrp5e02" timestamp="1644917974"&gt;1051&lt;/key&gt;&lt;/foreign-keys&gt;&lt;ref-type name="Journal Article"&gt;17&lt;/ref-type&gt;&lt;contributors&gt;&lt;authors&gt;&lt;author&gt;Wang, X&lt;/author&gt;&lt;author&gt;Ji, Q W&lt;/author&gt;&lt;author&gt;Rosenfield, K&lt;/author&gt;&lt;author&gt;Tapson, V&lt;/author&gt;&lt;author&gt;Nie, S P&lt;/author&gt;&lt;/authors&gt;&lt;/contributors&gt;&lt;titles&gt;&lt;title&gt;Multidisciplinary pulmonary embolism response team in China: A nationwide survey&lt;/title&gt;&lt;secondary-title&gt;RESPIROLOGY&lt;/secondary-title&gt;&lt;/titles&gt;&lt;periodical&gt;&lt;full-title&gt;RESPIROLOGY&lt;/full-title&gt;&lt;/periodical&gt;&lt;pages&gt;392-393&lt;/pages&gt;&lt;volume&gt;26&lt;/volume&gt;&lt;number&gt;4&lt;/number&gt;&lt;keywords&gt;&lt;keyword&gt;Pulmonary Embolism&lt;/keyword&gt;&lt;keyword&gt;China&lt;/keyword&gt;&lt;/keywords&gt;&lt;dates&gt;&lt;year&gt;2021&lt;/year&gt;&lt;pub-dates&gt;&lt;date&gt;2021&lt;/date&gt;&lt;/pub-dates&gt;&lt;/dates&gt;&lt;accession-num&gt;rayyan-766906184&lt;/accession-num&gt;&lt;urls&gt;&lt;/urls&gt;&lt;custom1&gt;RAYYAN-INCLUSION: {&amp;quot;Ioannis&amp;quot;=&amp;gt;&amp;quot;Included&amp;quot;} | RAYYAN-LABELS: survey | RAYYAN-INCLUSION: {&amp;quot;annannoulitsa&amp;quot;=&amp;gt;&amp;quot;Excluded&amp;quot;, &amp;quot;Ioannis&amp;quot;=&amp;gt;&amp;quot;Excluded&amp;quot;} | RAYYAN-LABELS: survey | RAYYAN-EXCLUSION-REASONS: wrong study design&lt;/custom1&gt;&lt;/record&gt;&lt;/Cite&gt;&lt;/EndNote&gt;</w:instrText>
              </w:r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fldChar w:fldCharType="separate"/>
              </w:r>
              <w:r w:rsidRPr="0095185E">
                <w:rPr>
                  <w:rFonts w:ascii="Arial" w:eastAsia="Times New Roman" w:hAnsi="Arial" w:cs="Arial"/>
                  <w:noProof/>
                  <w:color w:val="000000"/>
                  <w:sz w:val="20"/>
                  <w:szCs w:val="20"/>
                  <w:vertAlign w:val="superscript"/>
                  <w:lang w:val="en-US" w:eastAsia="de-DE"/>
                </w:rPr>
                <w:t>9</w:t>
              </w:r>
              <w: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en-US" w:eastAsia="de-DE"/>
                </w:rPr>
                <w:fldChar w:fldCharType="end"/>
              </w:r>
            </w:hyperlink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Nationwide survey of the China Consortium of PERT and the Pulmonary Vascular Disease Group of Chinese Society of Cardiology to record the current </w:t>
            </w: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lastRenderedPageBreak/>
              <w:t>status of PERT practice in China.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lastRenderedPageBreak/>
              <w:t>September 2019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91.8%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88% with ≥5 specialties.</w:t>
            </w:r>
          </w:p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Specialties more commonly involved were general cardiology</w:t>
            </w:r>
          </w:p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547F7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(96%), emergency medicine (82%) and pulmonary/critical care (82%)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96% used telephone alerts and 37% a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Wechat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software to activate the PERT. Appropriate activation included high-risk (89%) and intermediate-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lastRenderedPageBreak/>
              <w:t xml:space="preserve">high risk (89%) PE.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06DF" w:rsidRPr="004E7F57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lastRenderedPageBreak/>
              <w:t xml:space="preserve">Availability: systemic thrombolysis (93%), </w:t>
            </w: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inferior vena</w:t>
            </w:r>
          </w:p>
          <w:p w:rsidR="009E06DF" w:rsidRPr="004E7F57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cava filter placement (</w:t>
            </w: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96%)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, catheter-based therapy (82%), surgical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lastRenderedPageBreak/>
              <w:t>embolectomy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 xml:space="preserve"> (61%) </w:t>
            </w: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and</w:t>
            </w:r>
          </w:p>
          <w:p w:rsidR="009E06DF" w:rsidRPr="004E7F57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extracorporeal</w:t>
            </w:r>
          </w:p>
          <w:p w:rsidR="009E06DF" w:rsidRPr="004E7F57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membrane</w:t>
            </w:r>
          </w:p>
          <w:p w:rsidR="009E06DF" w:rsidRPr="004E7F57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 w:rsidRPr="004E7F5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oxygenation</w:t>
            </w:r>
          </w:p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t>(86%).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E06DF" w:rsidRPr="00547F75" w:rsidRDefault="009E06DF" w:rsidP="00146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de-DE"/>
              </w:rPr>
              <w:lastRenderedPageBreak/>
              <w:t>N/A</w:t>
            </w:r>
          </w:p>
        </w:tc>
      </w:tr>
    </w:tbl>
    <w:p w:rsidR="009E06DF" w:rsidRDefault="009E06DF" w:rsidP="009E06DF">
      <w:pPr>
        <w:rPr>
          <w:rFonts w:ascii="Arial" w:hAnsi="Arial" w:cs="Arial"/>
          <w:sz w:val="20"/>
          <w:szCs w:val="24"/>
          <w:lang w:val="en-GB"/>
        </w:rPr>
        <w:sectPr w:rsidR="009E06DF" w:rsidSect="000F3775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 w:rsidRPr="00DA7882">
        <w:rPr>
          <w:rFonts w:ascii="Arial" w:hAnsi="Arial" w:cs="Arial"/>
          <w:sz w:val="20"/>
          <w:szCs w:val="24"/>
          <w:lang w:val="en-GB"/>
        </w:rPr>
        <w:lastRenderedPageBreak/>
        <w:t>PE: pulmonary embolism; PERT: pulmonary embolism response team</w:t>
      </w:r>
      <w:r>
        <w:rPr>
          <w:rFonts w:ascii="Arial" w:hAnsi="Arial" w:cs="Arial"/>
          <w:sz w:val="20"/>
          <w:szCs w:val="24"/>
          <w:lang w:val="en-GB"/>
        </w:rPr>
        <w:br w:type="page"/>
      </w:r>
    </w:p>
    <w:p w:rsidR="009E06DF" w:rsidRPr="00FF7C4F" w:rsidRDefault="009E06DF" w:rsidP="009E06DF">
      <w:pPr>
        <w:rPr>
          <w:rFonts w:ascii="Arial" w:hAnsi="Arial" w:cs="Arial"/>
          <w:b/>
          <w:color w:val="002060"/>
          <w:sz w:val="24"/>
          <w:szCs w:val="24"/>
          <w:lang w:val="en-GB"/>
        </w:rPr>
      </w:pPr>
      <w:r w:rsidRPr="00FF7C4F">
        <w:rPr>
          <w:rFonts w:ascii="Arial" w:hAnsi="Arial" w:cs="Arial"/>
          <w:b/>
          <w:color w:val="002060"/>
          <w:sz w:val="24"/>
          <w:szCs w:val="24"/>
          <w:lang w:val="en-GB"/>
        </w:rPr>
        <w:lastRenderedPageBreak/>
        <w:t>Supplement 3 – Quality assessment</w:t>
      </w:r>
    </w:p>
    <w:p w:rsidR="009E06DF" w:rsidRDefault="009E06DF" w:rsidP="009E06DF">
      <w:pPr>
        <w:rPr>
          <w:rFonts w:ascii="Arial" w:hAnsi="Arial" w:cs="Arial"/>
          <w:sz w:val="20"/>
          <w:szCs w:val="24"/>
          <w:lang w:val="en-GB"/>
        </w:rPr>
      </w:pPr>
      <w:r w:rsidRPr="00724EA8">
        <w:rPr>
          <w:rFonts w:ascii="Arial" w:hAnsi="Arial" w:cs="Arial"/>
          <w:b/>
          <w:sz w:val="20"/>
          <w:szCs w:val="24"/>
          <w:lang w:val="en-GB"/>
        </w:rPr>
        <w:t>Figure S1.</w:t>
      </w:r>
      <w:r>
        <w:rPr>
          <w:rFonts w:ascii="Arial" w:hAnsi="Arial" w:cs="Arial"/>
          <w:sz w:val="20"/>
          <w:szCs w:val="24"/>
          <w:lang w:val="en-GB"/>
        </w:rPr>
        <w:t xml:space="preserve"> Overall risk of bias across included controlled studies</w:t>
      </w:r>
    </w:p>
    <w:p w:rsidR="009E06DF" w:rsidRDefault="009E06DF" w:rsidP="009E06DF">
      <w:pPr>
        <w:rPr>
          <w:rFonts w:ascii="Arial" w:hAnsi="Arial" w:cs="Arial"/>
          <w:sz w:val="20"/>
          <w:szCs w:val="24"/>
          <w:lang w:val="en-GB"/>
        </w:rPr>
      </w:pPr>
      <w:r w:rsidRPr="00544F7B">
        <w:rPr>
          <w:rFonts w:ascii="Arial" w:hAnsi="Arial" w:cs="Arial"/>
          <w:noProof/>
          <w:sz w:val="20"/>
          <w:szCs w:val="24"/>
          <w:lang w:eastAsia="de-DE"/>
        </w:rPr>
        <w:drawing>
          <wp:inline distT="0" distB="0" distL="0" distR="0" wp14:anchorId="3E9394B7" wp14:editId="3EBD115D">
            <wp:extent cx="5760720" cy="28746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6DF" w:rsidRPr="00335B89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335B89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5E507A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E63760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E63760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216B37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A63C65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8136C6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8136C6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8136C6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8136C6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8136C6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8136C6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8136C6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8136C6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8136C6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8136C6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8136C6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Pr="008136C6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9E06DF" w:rsidRDefault="009E06DF" w:rsidP="009E06DF">
      <w:pPr>
        <w:rPr>
          <w:rFonts w:ascii="Arial" w:hAnsi="Arial" w:cs="Arial"/>
          <w:sz w:val="20"/>
          <w:szCs w:val="24"/>
          <w:lang w:val="en-GB"/>
        </w:rPr>
      </w:pPr>
      <w:r w:rsidRPr="00724EA8">
        <w:rPr>
          <w:rFonts w:ascii="Arial" w:hAnsi="Arial" w:cs="Arial"/>
          <w:b/>
          <w:sz w:val="20"/>
          <w:szCs w:val="24"/>
          <w:lang w:val="en-GB"/>
        </w:rPr>
        <w:lastRenderedPageBreak/>
        <w:t>Figure S2.</w:t>
      </w:r>
      <w:r>
        <w:rPr>
          <w:rFonts w:ascii="Arial" w:hAnsi="Arial" w:cs="Arial"/>
          <w:sz w:val="20"/>
          <w:szCs w:val="24"/>
          <w:lang w:val="en-GB"/>
        </w:rPr>
        <w:t xml:space="preserve"> Traffic-light plot of individual included controlled studies</w:t>
      </w:r>
    </w:p>
    <w:p w:rsidR="009E06DF" w:rsidRDefault="009E06DF" w:rsidP="009E06DF">
      <w:pPr>
        <w:rPr>
          <w:rFonts w:ascii="Arial" w:hAnsi="Arial" w:cs="Arial"/>
          <w:sz w:val="20"/>
          <w:szCs w:val="24"/>
          <w:lang w:val="en-GB"/>
        </w:rPr>
      </w:pPr>
      <w:r w:rsidRPr="00544F7B">
        <w:rPr>
          <w:rFonts w:ascii="Arial" w:hAnsi="Arial" w:cs="Arial"/>
          <w:noProof/>
          <w:sz w:val="20"/>
          <w:szCs w:val="24"/>
          <w:lang w:eastAsia="de-DE"/>
        </w:rPr>
        <w:drawing>
          <wp:inline distT="0" distB="0" distL="0" distR="0" wp14:anchorId="764FF14D" wp14:editId="73E912FA">
            <wp:extent cx="5180063" cy="8310067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2126" cy="831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6DF" w:rsidRDefault="009E06DF" w:rsidP="009E06DF">
      <w:pPr>
        <w:rPr>
          <w:rFonts w:ascii="Arial" w:hAnsi="Arial" w:cs="Arial"/>
          <w:sz w:val="20"/>
          <w:szCs w:val="24"/>
          <w:lang w:val="en-GB"/>
        </w:rPr>
      </w:pPr>
      <w:r>
        <w:rPr>
          <w:rFonts w:ascii="Arial" w:hAnsi="Arial" w:cs="Arial"/>
          <w:sz w:val="20"/>
          <w:szCs w:val="24"/>
          <w:lang w:val="en-GB"/>
        </w:rPr>
        <w:br w:type="page"/>
      </w:r>
    </w:p>
    <w:p w:rsidR="009E06DF" w:rsidRDefault="009E06DF" w:rsidP="009E06DF">
      <w:pPr>
        <w:rPr>
          <w:rFonts w:ascii="Arial" w:hAnsi="Arial" w:cs="Arial"/>
          <w:b/>
          <w:color w:val="002060"/>
          <w:sz w:val="24"/>
          <w:szCs w:val="24"/>
          <w:lang w:val="en-GB"/>
        </w:rPr>
      </w:pPr>
      <w:r>
        <w:rPr>
          <w:rFonts w:ascii="Arial" w:hAnsi="Arial" w:cs="Arial"/>
          <w:b/>
          <w:color w:val="002060"/>
          <w:sz w:val="24"/>
          <w:szCs w:val="24"/>
          <w:lang w:val="en-GB"/>
        </w:rPr>
        <w:lastRenderedPageBreak/>
        <w:t>Supplement 4 – Publication bias – Funnel plot</w:t>
      </w:r>
    </w:p>
    <w:p w:rsidR="009E06DF" w:rsidRPr="00724EA8" w:rsidRDefault="009E06DF" w:rsidP="009E06DF">
      <w:pPr>
        <w:rPr>
          <w:rFonts w:ascii="Arial" w:hAnsi="Arial" w:cs="Arial"/>
          <w:b/>
          <w:color w:val="002060"/>
          <w:sz w:val="20"/>
          <w:szCs w:val="20"/>
          <w:lang w:val="en-GB"/>
        </w:rPr>
      </w:pPr>
      <w:r w:rsidRPr="00724EA8">
        <w:rPr>
          <w:rFonts w:ascii="Arial" w:hAnsi="Arial" w:cs="Arial"/>
          <w:b/>
          <w:color w:val="002060"/>
          <w:sz w:val="20"/>
          <w:szCs w:val="20"/>
          <w:lang w:val="en-GB"/>
        </w:rPr>
        <w:t xml:space="preserve">Figure S3. </w:t>
      </w:r>
      <w:r w:rsidRPr="00724EA8">
        <w:rPr>
          <w:rFonts w:ascii="Arial" w:hAnsi="Arial" w:cs="Arial"/>
          <w:color w:val="002060"/>
          <w:sz w:val="20"/>
          <w:szCs w:val="20"/>
          <w:lang w:val="en-GB"/>
        </w:rPr>
        <w:t>Funnel plot of controlled studies with mortality outcome</w:t>
      </w:r>
    </w:p>
    <w:p w:rsidR="009E06DF" w:rsidRPr="00FF7C4F" w:rsidRDefault="009E06DF" w:rsidP="009E06DF">
      <w:pPr>
        <w:rPr>
          <w:rFonts w:ascii="Arial" w:hAnsi="Arial" w:cs="Arial"/>
          <w:b/>
          <w:color w:val="002060"/>
          <w:sz w:val="24"/>
          <w:szCs w:val="24"/>
          <w:lang w:val="en-GB"/>
        </w:rPr>
      </w:pPr>
      <w:r>
        <w:rPr>
          <w:rFonts w:ascii="Arial" w:hAnsi="Arial" w:cs="Arial"/>
          <w:b/>
          <w:noProof/>
          <w:color w:val="002060"/>
          <w:sz w:val="24"/>
          <w:szCs w:val="24"/>
          <w:lang w:eastAsia="de-DE"/>
        </w:rPr>
        <w:drawing>
          <wp:inline distT="0" distB="0" distL="0" distR="0">
            <wp:extent cx="5748655" cy="6480175"/>
            <wp:effectExtent l="0" t="0" r="4445" b="0"/>
            <wp:docPr id="1" name="Grafik 1" descr="fun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nn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6DF" w:rsidRPr="00FF7C4F" w:rsidRDefault="009E06DF" w:rsidP="009E06DF">
      <w:pPr>
        <w:rPr>
          <w:rFonts w:ascii="Arial" w:hAnsi="Arial" w:cs="Arial"/>
          <w:sz w:val="20"/>
          <w:szCs w:val="24"/>
          <w:lang w:val="en-GB"/>
        </w:rPr>
      </w:pPr>
    </w:p>
    <w:p w:rsidR="001E00F9" w:rsidRDefault="001E00F9">
      <w:bookmarkStart w:id="0" w:name="_GoBack"/>
      <w:bookmarkEnd w:id="0"/>
    </w:p>
    <w:sectPr w:rsidR="001E00F9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838" w:rsidRDefault="00526838" w:rsidP="009E06DF">
      <w:pPr>
        <w:spacing w:after="0" w:line="240" w:lineRule="auto"/>
      </w:pPr>
      <w:r>
        <w:separator/>
      </w:r>
    </w:p>
  </w:endnote>
  <w:endnote w:type="continuationSeparator" w:id="0">
    <w:p w:rsidR="00526838" w:rsidRDefault="00526838" w:rsidP="009E0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838" w:rsidRDefault="00526838" w:rsidP="009E06DF">
      <w:pPr>
        <w:spacing w:after="0" w:line="240" w:lineRule="auto"/>
      </w:pPr>
      <w:r>
        <w:separator/>
      </w:r>
    </w:p>
  </w:footnote>
  <w:footnote w:type="continuationSeparator" w:id="0">
    <w:p w:rsidR="00526838" w:rsidRDefault="00526838" w:rsidP="009E0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6DF" w:rsidRPr="0095185E" w:rsidRDefault="009E06DF" w:rsidP="009E06DF">
    <w:pPr>
      <w:spacing w:after="0" w:line="360" w:lineRule="auto"/>
      <w:rPr>
        <w:rFonts w:ascii="Arial" w:hAnsi="Arial" w:cs="Arial"/>
        <w:sz w:val="24"/>
        <w:szCs w:val="24"/>
        <w:lang w:val="en-GB"/>
      </w:rPr>
    </w:pPr>
    <w:r>
      <w:rPr>
        <w:rFonts w:ascii="Arial" w:hAnsi="Arial" w:cs="Arial"/>
        <w:sz w:val="24"/>
        <w:szCs w:val="24"/>
        <w:lang w:val="en-GB"/>
      </w:rPr>
      <w:t xml:space="preserve">Hobohm L et al. </w:t>
    </w:r>
    <w:r w:rsidRPr="0095185E">
      <w:rPr>
        <w:rFonts w:ascii="Arial" w:hAnsi="Arial" w:cs="Arial"/>
        <w:sz w:val="24"/>
        <w:szCs w:val="24"/>
        <w:lang w:val="en-GB"/>
      </w:rPr>
      <w:t>PERT: a scoping review and meta-analysis</w:t>
    </w:r>
  </w:p>
  <w:p w:rsidR="009E06DF" w:rsidRPr="009E06DF" w:rsidRDefault="009E06DF">
    <w:pPr>
      <w:pStyle w:val="Kopfzeile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6DF"/>
    <w:rsid w:val="001E00F9"/>
    <w:rsid w:val="00526838"/>
    <w:rsid w:val="009E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957AF-1F54-4FDA-8E40-3E38A669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06D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E0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E06DF"/>
  </w:style>
  <w:style w:type="paragraph" w:styleId="Fuzeile">
    <w:name w:val="footer"/>
    <w:basedOn w:val="Standard"/>
    <w:link w:val="FuzeileZchn"/>
    <w:uiPriority w:val="99"/>
    <w:unhideWhenUsed/>
    <w:rsid w:val="009E0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E06DF"/>
  </w:style>
  <w:style w:type="table" w:styleId="Gitternetztabelle2">
    <w:name w:val="Grid Table 2"/>
    <w:basedOn w:val="NormaleTabelle"/>
    <w:uiPriority w:val="47"/>
    <w:rsid w:val="009E06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1594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Hobohm</dc:creator>
  <cp:keywords/>
  <dc:description/>
  <cp:lastModifiedBy>Lukas Hobohm</cp:lastModifiedBy>
  <cp:revision>1</cp:revision>
  <dcterms:created xsi:type="dcterms:W3CDTF">2022-04-03T18:58:00Z</dcterms:created>
  <dcterms:modified xsi:type="dcterms:W3CDTF">2022-04-03T18:59:00Z</dcterms:modified>
</cp:coreProperties>
</file>