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1C918" w14:textId="008F2938" w:rsidR="00F153D4" w:rsidRPr="008E7D70" w:rsidRDefault="00F153D4" w:rsidP="00F153D4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25378978"/>
      <w:r w:rsidRPr="008E7D70">
        <w:rPr>
          <w:rFonts w:ascii="Times New Roman" w:hAnsi="Times New Roman" w:cs="Times New Roman"/>
          <w:b/>
          <w:bCs/>
          <w:sz w:val="20"/>
          <w:szCs w:val="20"/>
        </w:rPr>
        <w:t>Supplemental Information</w:t>
      </w:r>
    </w:p>
    <w:p w14:paraId="0F2CEFA3" w14:textId="77777777" w:rsidR="00F153D4" w:rsidRPr="008E7D70" w:rsidRDefault="00F153D4" w:rsidP="00F153D4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95E0AD" w14:textId="0117F940" w:rsidR="00F153D4" w:rsidRPr="008E7D70" w:rsidRDefault="00F153D4" w:rsidP="00F153D4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E7D70">
        <w:rPr>
          <w:rFonts w:ascii="Times New Roman" w:hAnsi="Times New Roman" w:cs="Times New Roman"/>
          <w:b/>
          <w:bCs/>
          <w:sz w:val="20"/>
          <w:szCs w:val="20"/>
        </w:rPr>
        <w:t>A simply calculated nutritional index provides clinical implications in patients undergoing transcatheter aortic valve replacement</w:t>
      </w:r>
    </w:p>
    <w:bookmarkEnd w:id="0"/>
    <w:p w14:paraId="6DD8FCE0" w14:textId="10210F3A" w:rsidR="00F153D4" w:rsidRPr="008E7D70" w:rsidRDefault="00F153D4" w:rsidP="00F153D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86A07C6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" w:name="_Hlk125986782"/>
      <w:r w:rsidRPr="008E7D70">
        <w:rPr>
          <w:rFonts w:ascii="Times New Roman" w:hAnsi="Times New Roman" w:cs="Times New Roman"/>
          <w:sz w:val="20"/>
          <w:szCs w:val="20"/>
        </w:rPr>
        <w:t xml:space="preserve">Mitsumasa Sudo, MD </w:t>
      </w:r>
      <w:r w:rsidRPr="008E7D70">
        <w:rPr>
          <w:rFonts w:ascii="Times New Roman" w:hAnsi="Times New Roman" w:cs="Times New Roman"/>
          <w:sz w:val="20"/>
          <w:szCs w:val="20"/>
          <w:vertAlign w:val="superscript"/>
        </w:rPr>
        <w:t>1, 2</w:t>
      </w:r>
      <w:r w:rsidRPr="008E7D70">
        <w:rPr>
          <w:rFonts w:ascii="Times New Roman" w:hAnsi="Times New Roman" w:cs="Times New Roman"/>
          <w:sz w:val="20"/>
          <w:szCs w:val="20"/>
        </w:rPr>
        <w:t xml:space="preserve">; Jasmin Shamekhi, MD </w:t>
      </w:r>
      <w:r w:rsidRPr="008E7D7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7D70">
        <w:rPr>
          <w:rFonts w:ascii="Times New Roman" w:hAnsi="Times New Roman" w:cs="Times New Roman"/>
          <w:sz w:val="20"/>
          <w:szCs w:val="20"/>
        </w:rPr>
        <w:t xml:space="preserve">; Adem Aksoy, MD </w:t>
      </w:r>
      <w:r w:rsidRPr="008E7D7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7D70">
        <w:rPr>
          <w:rFonts w:ascii="Times New Roman" w:hAnsi="Times New Roman" w:cs="Times New Roman"/>
          <w:sz w:val="20"/>
          <w:szCs w:val="20"/>
        </w:rPr>
        <w:t xml:space="preserve">; Baravan Al-Kassou, MD </w:t>
      </w:r>
      <w:r w:rsidRPr="008E7D7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7D70">
        <w:rPr>
          <w:rFonts w:ascii="Times New Roman" w:hAnsi="Times New Roman" w:cs="Times New Roman"/>
          <w:sz w:val="20"/>
          <w:szCs w:val="20"/>
        </w:rPr>
        <w:t xml:space="preserve">; Tetsu Tanaka, MD </w:t>
      </w:r>
      <w:r w:rsidRPr="008E7D7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7D70">
        <w:rPr>
          <w:rFonts w:ascii="Times New Roman" w:hAnsi="Times New Roman" w:cs="Times New Roman"/>
          <w:sz w:val="20"/>
          <w:szCs w:val="20"/>
        </w:rPr>
        <w:t xml:space="preserve">, Miriam Silaschi, MD </w:t>
      </w:r>
      <w:r w:rsidRPr="008E7D70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E7D70">
        <w:rPr>
          <w:rFonts w:ascii="Times New Roman" w:hAnsi="Times New Roman" w:cs="Times New Roman"/>
          <w:sz w:val="20"/>
          <w:szCs w:val="20"/>
        </w:rPr>
        <w:t xml:space="preserve">; Marcel Weber, MD </w:t>
      </w:r>
      <w:r w:rsidRPr="008E7D7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7D70">
        <w:rPr>
          <w:rFonts w:ascii="Times New Roman" w:hAnsi="Times New Roman" w:cs="Times New Roman"/>
          <w:sz w:val="20"/>
          <w:szCs w:val="20"/>
        </w:rPr>
        <w:t xml:space="preserve">; Georg Nickenig, MD </w:t>
      </w:r>
      <w:r w:rsidRPr="008E7D7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7D70">
        <w:rPr>
          <w:rFonts w:ascii="Times New Roman" w:hAnsi="Times New Roman" w:cs="Times New Roman"/>
          <w:sz w:val="20"/>
          <w:szCs w:val="20"/>
        </w:rPr>
        <w:t xml:space="preserve">; Sebastian Zimmer, MD </w:t>
      </w:r>
      <w:r w:rsidRPr="008E7D70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bookmarkEnd w:id="1"/>
    <w:p w14:paraId="56B9199C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EF3F7A6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>1 Heart Center Bonn, Department of Internal Medicine II, University Hospital Bonn, Germany</w:t>
      </w:r>
    </w:p>
    <w:p w14:paraId="30706F60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>2 Division of Cardiology, Department of Medicine, Nihon University School of Medicine, Tokyo, Japan</w:t>
      </w:r>
    </w:p>
    <w:p w14:paraId="646D8812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>3 Heart Center Bonn, Department of Cardiac Surgery, University Hospital Bonn, Germany</w:t>
      </w:r>
    </w:p>
    <w:p w14:paraId="5909FE58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F6F4DB5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C050D7F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Address for correspondence: </w:t>
      </w:r>
    </w:p>
    <w:p w14:paraId="08E3749E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>Mitsumasa Sudo, MD</w:t>
      </w:r>
    </w:p>
    <w:p w14:paraId="18FD7CB6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>Heart Center Bonn, Department of Medicine II, University Hospital Bonn</w:t>
      </w:r>
    </w:p>
    <w:p w14:paraId="4FA60525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>Venusberg-Campus 1, 53127 Bonn, Germany</w:t>
      </w:r>
    </w:p>
    <w:p w14:paraId="2F202AAB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>Phone +49-228-287-16139, Fax +49-228-287-14983</w:t>
      </w:r>
    </w:p>
    <w:p w14:paraId="0011ADE1" w14:textId="77777777" w:rsidR="00F153D4" w:rsidRPr="008E7D70" w:rsidRDefault="00F153D4" w:rsidP="00F153D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>E-mail address: m.s-sudo@fine.ocn.ne.jp</w:t>
      </w:r>
    </w:p>
    <w:p w14:paraId="20DF23B8" w14:textId="77777777" w:rsidR="004965BA" w:rsidRPr="008E7D70" w:rsidRDefault="004965BA" w:rsidP="009B793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CB07D0F" w14:textId="77777777" w:rsidR="004965BA" w:rsidRPr="008E7D70" w:rsidRDefault="004965BA" w:rsidP="009B793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0C64B1F" w14:textId="5C7C6EB8" w:rsidR="004965BA" w:rsidRPr="008E7D70" w:rsidRDefault="004965BA" w:rsidP="009B793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7D70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E9B61C0" w14:textId="77777777" w:rsidR="000D01E1" w:rsidRDefault="000D01E1" w:rsidP="000D01E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7D70">
        <w:rPr>
          <w:rFonts w:ascii="Times New Roman" w:hAnsi="Times New Roman" w:cs="Times New Roman"/>
          <w:b/>
          <w:bCs/>
          <w:sz w:val="20"/>
          <w:szCs w:val="20"/>
        </w:rPr>
        <w:lastRenderedPageBreak/>
        <w:t>Online 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. Association of </w:t>
      </w:r>
      <w:r>
        <w:rPr>
          <w:rFonts w:ascii="Times New Roman" w:hAnsi="Times New Roman" w:cs="Times New Roman"/>
          <w:b/>
          <w:bCs/>
          <w:sz w:val="20"/>
          <w:szCs w:val="20"/>
        </w:rPr>
        <w:t>baseline demographic patient characteristics</w:t>
      </w:r>
      <w:r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 with </w:t>
      </w:r>
      <w:r>
        <w:rPr>
          <w:rFonts w:ascii="Times New Roman" w:hAnsi="Times New Roman" w:cs="Times New Roman"/>
          <w:b/>
          <w:bCs/>
          <w:sz w:val="20"/>
          <w:szCs w:val="20"/>
        </w:rPr>
        <w:t>a low</w:t>
      </w:r>
      <w:r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 TCBI</w:t>
      </w:r>
    </w:p>
    <w:tbl>
      <w:tblPr>
        <w:tblStyle w:val="21"/>
        <w:tblW w:w="889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134"/>
        <w:gridCol w:w="1701"/>
        <w:gridCol w:w="952"/>
      </w:tblGrid>
      <w:tr w:rsidR="000D01E1" w:rsidRPr="003219D2" w14:paraId="3FB98DD3" w14:textId="77777777" w:rsidTr="00732E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8BBC1C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rPr>
                <w:rFonts w:ascii="Times New Roman" w:eastAsia="MS PGothic" w:hAnsi="Times New Roman" w:cs="Times New Roman"/>
                <w:b w:val="0"/>
                <w:bCs w:val="0"/>
                <w:strike/>
                <w:color w:val="000000" w:themeColor="text1"/>
                <w:kern w:val="0"/>
                <w:sz w:val="20"/>
                <w:szCs w:val="20"/>
              </w:rPr>
            </w:pPr>
            <w:bookmarkStart w:id="2" w:name="_Hlk132298693"/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BC7A8E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Univariate analysis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B66125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Multivariable analysis</w:t>
            </w:r>
          </w:p>
        </w:tc>
      </w:tr>
      <w:tr w:rsidR="000D01E1" w:rsidRPr="003219D2" w14:paraId="27157730" w14:textId="77777777" w:rsidTr="00732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82B922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053341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OR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8C1FA7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3219D2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A717BE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OR (95% CI)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0F46B835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0D01E1" w:rsidRPr="003219D2" w14:paraId="32B7F6BF" w14:textId="77777777" w:rsidTr="00732EB9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</w:tcBorders>
            <w:hideMark/>
          </w:tcPr>
          <w:p w14:paraId="7D8A2D2C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rPr>
                <w:rFonts w:ascii="Times New Roman" w:eastAsia="MS PGothic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</w:pPr>
            <w:r w:rsidRPr="003219D2">
              <w:rPr>
                <w:rFonts w:ascii="Times New Roman" w:eastAsia="MS PGothic" w:hAnsi="Times New Roman" w:cs="Times New Roman" w:hint="eastAsia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A</w:t>
            </w:r>
            <w:r w:rsidRPr="003219D2">
              <w:rPr>
                <w:rFonts w:ascii="Times New Roman" w:eastAsia="MS PGothic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ge (per 1 year increase)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14:paraId="38F3EECA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1.03 (1.01 – 1.05)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011C9454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0.04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14:paraId="4072FEEE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 xml:space="preserve">1.03 (1.00 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– </w:t>
            </w: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1.05)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14:paraId="16AAD4F2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219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0"/>
                <w:szCs w:val="20"/>
              </w:rPr>
              <w:t>0.02</w:t>
            </w:r>
          </w:p>
        </w:tc>
      </w:tr>
      <w:tr w:rsidR="000D01E1" w:rsidRPr="003219D2" w14:paraId="17F94B70" w14:textId="77777777" w:rsidTr="00732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681C504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M</w:t>
            </w:r>
            <w:r w:rsidRPr="003219D2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ale</w:t>
            </w:r>
          </w:p>
        </w:tc>
        <w:tc>
          <w:tcPr>
            <w:tcW w:w="1701" w:type="dxa"/>
          </w:tcPr>
          <w:p w14:paraId="4B701D2B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1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.30 (1.02 – 1.64)</w:t>
            </w:r>
          </w:p>
        </w:tc>
        <w:tc>
          <w:tcPr>
            <w:tcW w:w="1134" w:type="dxa"/>
          </w:tcPr>
          <w:p w14:paraId="271BD7FC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0.03</w:t>
            </w:r>
          </w:p>
        </w:tc>
        <w:tc>
          <w:tcPr>
            <w:tcW w:w="1701" w:type="dxa"/>
          </w:tcPr>
          <w:p w14:paraId="72399E75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 xml:space="preserve">1.23 (0.95 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– 1.61)</w:t>
            </w:r>
          </w:p>
        </w:tc>
        <w:tc>
          <w:tcPr>
            <w:tcW w:w="952" w:type="dxa"/>
          </w:tcPr>
          <w:p w14:paraId="2780EC63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.12</w:t>
            </w:r>
          </w:p>
        </w:tc>
      </w:tr>
      <w:tr w:rsidR="000D01E1" w:rsidRPr="003219D2" w14:paraId="21C7ACA4" w14:textId="77777777" w:rsidTr="00732EB9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1CFC760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Diabetes mellitus</w:t>
            </w:r>
          </w:p>
        </w:tc>
        <w:tc>
          <w:tcPr>
            <w:tcW w:w="1701" w:type="dxa"/>
          </w:tcPr>
          <w:p w14:paraId="2B2096DA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0.69 (0.53 – 0.90)</w:t>
            </w:r>
          </w:p>
        </w:tc>
        <w:tc>
          <w:tcPr>
            <w:tcW w:w="1134" w:type="dxa"/>
          </w:tcPr>
          <w:p w14:paraId="1C47EF08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&lt;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0.01</w:t>
            </w:r>
          </w:p>
        </w:tc>
        <w:tc>
          <w:tcPr>
            <w:tcW w:w="1701" w:type="dxa"/>
          </w:tcPr>
          <w:p w14:paraId="0EA9C47A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0.65 (0.48 – 0.87)</w:t>
            </w:r>
          </w:p>
        </w:tc>
        <w:tc>
          <w:tcPr>
            <w:tcW w:w="952" w:type="dxa"/>
          </w:tcPr>
          <w:p w14:paraId="21E32323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0D01E1" w:rsidRPr="003219D2" w14:paraId="41F9E523" w14:textId="77777777" w:rsidTr="00732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436C887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A</w:t>
            </w:r>
            <w:r w:rsidRPr="003219D2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trial fibrillation</w:t>
            </w:r>
          </w:p>
        </w:tc>
        <w:tc>
          <w:tcPr>
            <w:tcW w:w="1701" w:type="dxa"/>
          </w:tcPr>
          <w:p w14:paraId="44B79851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1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.40 (1.10 – 1.77)</w:t>
            </w:r>
          </w:p>
        </w:tc>
        <w:tc>
          <w:tcPr>
            <w:tcW w:w="1134" w:type="dxa"/>
          </w:tcPr>
          <w:p w14:paraId="525B3AE2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&lt;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0.01</w:t>
            </w:r>
          </w:p>
        </w:tc>
        <w:tc>
          <w:tcPr>
            <w:tcW w:w="1701" w:type="dxa"/>
          </w:tcPr>
          <w:p w14:paraId="10EED9AE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.31 (1.01 – 1.70)</w:t>
            </w:r>
          </w:p>
        </w:tc>
        <w:tc>
          <w:tcPr>
            <w:tcW w:w="952" w:type="dxa"/>
          </w:tcPr>
          <w:p w14:paraId="36219911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0D01E1" w:rsidRPr="003219D2" w14:paraId="6E989E88" w14:textId="77777777" w:rsidTr="00732EB9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AD83FE4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C</w:t>
            </w:r>
            <w:r w:rsidRPr="003219D2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ABG</w:t>
            </w:r>
          </w:p>
        </w:tc>
        <w:tc>
          <w:tcPr>
            <w:tcW w:w="1701" w:type="dxa"/>
          </w:tcPr>
          <w:p w14:paraId="4517CEF1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1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.32 (0.95 – 1.83)</w:t>
            </w:r>
          </w:p>
        </w:tc>
        <w:tc>
          <w:tcPr>
            <w:tcW w:w="1134" w:type="dxa"/>
          </w:tcPr>
          <w:p w14:paraId="3D6AC779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0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.09</w:t>
            </w:r>
          </w:p>
        </w:tc>
        <w:tc>
          <w:tcPr>
            <w:tcW w:w="1701" w:type="dxa"/>
          </w:tcPr>
          <w:p w14:paraId="44733137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.94 (0.61 – 1.45)</w:t>
            </w:r>
          </w:p>
        </w:tc>
        <w:tc>
          <w:tcPr>
            <w:tcW w:w="952" w:type="dxa"/>
          </w:tcPr>
          <w:p w14:paraId="1233F708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.78</w:t>
            </w:r>
          </w:p>
        </w:tc>
      </w:tr>
      <w:tr w:rsidR="000D01E1" w:rsidRPr="003219D2" w14:paraId="29FC3527" w14:textId="77777777" w:rsidTr="00732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006C32F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N</w:t>
            </w:r>
            <w:r w:rsidRPr="003219D2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YHA III or IV</w:t>
            </w:r>
          </w:p>
        </w:tc>
        <w:tc>
          <w:tcPr>
            <w:tcW w:w="1701" w:type="dxa"/>
          </w:tcPr>
          <w:p w14:paraId="4E7AE4F9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1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.50 (0.95 – 2.37)</w:t>
            </w:r>
          </w:p>
        </w:tc>
        <w:tc>
          <w:tcPr>
            <w:tcW w:w="1134" w:type="dxa"/>
          </w:tcPr>
          <w:p w14:paraId="5BAF0AE2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0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.08</w:t>
            </w:r>
          </w:p>
        </w:tc>
        <w:tc>
          <w:tcPr>
            <w:tcW w:w="1701" w:type="dxa"/>
          </w:tcPr>
          <w:p w14:paraId="6541658D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.35 (0.83 – 2.18)</w:t>
            </w:r>
          </w:p>
        </w:tc>
        <w:tc>
          <w:tcPr>
            <w:tcW w:w="952" w:type="dxa"/>
          </w:tcPr>
          <w:p w14:paraId="18E1D02E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.22</w:t>
            </w:r>
          </w:p>
        </w:tc>
      </w:tr>
      <w:tr w:rsidR="000D01E1" w:rsidRPr="003219D2" w14:paraId="740FCFBA" w14:textId="77777777" w:rsidTr="00732EB9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B8FD4BC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E</w:t>
            </w:r>
            <w:r w:rsidRPr="003219D2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uroSCORE II (per 1% increase)</w:t>
            </w:r>
          </w:p>
        </w:tc>
        <w:tc>
          <w:tcPr>
            <w:tcW w:w="1701" w:type="dxa"/>
          </w:tcPr>
          <w:p w14:paraId="67E119A5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1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.04 (1.02 – 1.06)</w:t>
            </w:r>
          </w:p>
        </w:tc>
        <w:tc>
          <w:tcPr>
            <w:tcW w:w="1134" w:type="dxa"/>
          </w:tcPr>
          <w:p w14:paraId="41A1B79E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&lt;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0.01</w:t>
            </w:r>
          </w:p>
        </w:tc>
        <w:tc>
          <w:tcPr>
            <w:tcW w:w="1701" w:type="dxa"/>
          </w:tcPr>
          <w:p w14:paraId="740DF8B8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.03 (1.01 – 1.06)</w:t>
            </w:r>
          </w:p>
        </w:tc>
        <w:tc>
          <w:tcPr>
            <w:tcW w:w="952" w:type="dxa"/>
          </w:tcPr>
          <w:p w14:paraId="570BA041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.01</w:t>
            </w:r>
          </w:p>
        </w:tc>
      </w:tr>
      <w:tr w:rsidR="000D01E1" w:rsidRPr="003219D2" w14:paraId="5933135B" w14:textId="77777777" w:rsidTr="00732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bottom w:val="single" w:sz="4" w:space="0" w:color="auto"/>
            </w:tcBorders>
          </w:tcPr>
          <w:p w14:paraId="1DA104EA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S</w:t>
            </w:r>
            <w:r w:rsidRPr="003219D2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tatin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463FAD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1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.60 (1.21 – 2.11)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05B24E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3219D2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&lt;</w:t>
            </w:r>
            <w:r w:rsidRPr="003219D2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0.01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9627BC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1.63 (1.23 – 2.18)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14:paraId="277F497D" w14:textId="77777777" w:rsidR="000D01E1" w:rsidRPr="003219D2" w:rsidRDefault="000D01E1" w:rsidP="00732EB9">
            <w:pPr>
              <w:tabs>
                <w:tab w:val="left" w:pos="144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</w:pPr>
            <w:r w:rsidRPr="003219D2">
              <w:rPr>
                <w:rFonts w:ascii="Times New Roman" w:eastAsia="Yu Mincho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3219D2">
              <w:rPr>
                <w:rFonts w:ascii="Times New Roman" w:eastAsia="Yu Mincho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</w:tbl>
    <w:bookmarkEnd w:id="2"/>
    <w:p w14:paraId="6901AD4D" w14:textId="47667592" w:rsidR="003A74D0" w:rsidRPr="003A74D0" w:rsidRDefault="003A74D0" w:rsidP="000D01E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425EC">
        <w:rPr>
          <w:rFonts w:ascii="Times New Roman" w:hAnsi="Times New Roman" w:cs="Times New Roman"/>
          <w:sz w:val="20"/>
          <w:szCs w:val="20"/>
        </w:rPr>
        <w:t>A multivariable analysis was conducted using covariates of p&lt;0.</w:t>
      </w:r>
      <w:r w:rsidR="00C77AF1">
        <w:rPr>
          <w:rFonts w:ascii="Times New Roman" w:hAnsi="Times New Roman" w:cs="Times New Roman"/>
          <w:sz w:val="20"/>
          <w:szCs w:val="20"/>
        </w:rPr>
        <w:t>10</w:t>
      </w:r>
      <w:r w:rsidRPr="003425EC">
        <w:rPr>
          <w:rFonts w:ascii="Times New Roman" w:hAnsi="Times New Roman" w:cs="Times New Roman"/>
          <w:sz w:val="20"/>
          <w:szCs w:val="20"/>
        </w:rPr>
        <w:t xml:space="preserve"> in the univariate analysis.</w:t>
      </w:r>
    </w:p>
    <w:p w14:paraId="0BE306C6" w14:textId="063822ED" w:rsidR="000D01E1" w:rsidRPr="005E40A9" w:rsidRDefault="000D01E1" w:rsidP="000D01E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E40A9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3425EC">
        <w:rPr>
          <w:rFonts w:ascii="Times New Roman" w:hAnsi="Times New Roman" w:cs="Times New Roman"/>
          <w:sz w:val="20"/>
          <w:szCs w:val="20"/>
        </w:rPr>
        <w:t xml:space="preserve">CABG: coronary artery bypass graft; CI, confidence interval; </w:t>
      </w:r>
      <w:r w:rsidRPr="005E40A9">
        <w:rPr>
          <w:rFonts w:ascii="Times New Roman" w:hAnsi="Times New Roman" w:cs="Times New Roman"/>
          <w:sz w:val="20"/>
          <w:szCs w:val="20"/>
        </w:rPr>
        <w:t>NYHA, New York Heart Association</w:t>
      </w:r>
      <w:r w:rsidR="003A74D0">
        <w:rPr>
          <w:rFonts w:ascii="Times New Roman" w:hAnsi="Times New Roman" w:cs="Times New Roman"/>
          <w:sz w:val="20"/>
          <w:szCs w:val="20"/>
        </w:rPr>
        <w:t>; OR, odds ratio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9311D1E" w14:textId="77777777" w:rsidR="000D01E1" w:rsidRPr="003A74D0" w:rsidRDefault="000D01E1" w:rsidP="003A77D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9D93E14" w14:textId="77777777" w:rsidR="000D01E1" w:rsidRDefault="000D01E1" w:rsidP="003A77D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22F3E98" w14:textId="77777777" w:rsidR="000D01E1" w:rsidRDefault="000D01E1" w:rsidP="003A77D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8E7CC10" w14:textId="50CEBDAA" w:rsidR="003A77DD" w:rsidRPr="008E7D70" w:rsidRDefault="00F153D4" w:rsidP="003A77D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Online </w:t>
      </w:r>
      <w:r w:rsidR="003A77DD" w:rsidRPr="008E7D70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0D01E1">
        <w:rPr>
          <w:rFonts w:ascii="Times New Roman" w:hAnsi="Times New Roman" w:cs="Times New Roman"/>
          <w:b/>
          <w:bCs/>
          <w:sz w:val="20"/>
          <w:szCs w:val="20"/>
        </w:rPr>
        <w:t xml:space="preserve"> 2</w:t>
      </w:r>
      <w:r w:rsidR="003A77DD" w:rsidRPr="008E7D70">
        <w:rPr>
          <w:rFonts w:ascii="Times New Roman" w:hAnsi="Times New Roman" w:cs="Times New Roman"/>
          <w:b/>
          <w:bCs/>
          <w:sz w:val="20"/>
          <w:szCs w:val="20"/>
        </w:rPr>
        <w:t>. Association of all-cause mortality with components of the TCB</w:t>
      </w:r>
      <w:r w:rsidR="00D91505" w:rsidRPr="008E7D70">
        <w:rPr>
          <w:rFonts w:ascii="Times New Roman" w:hAnsi="Times New Roman" w:cs="Times New Roman"/>
          <w:b/>
          <w:bCs/>
          <w:sz w:val="20"/>
          <w:szCs w:val="20"/>
        </w:rPr>
        <w:t>I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985"/>
        <w:gridCol w:w="850"/>
        <w:gridCol w:w="1985"/>
        <w:gridCol w:w="850"/>
      </w:tblGrid>
      <w:tr w:rsidR="00BA242E" w:rsidRPr="008E7D70" w14:paraId="2BFDE9D3" w14:textId="77777777" w:rsidTr="003425EC">
        <w:trPr>
          <w:trHeight w:val="552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14:paraId="7F179B0E" w14:textId="4BEB075D" w:rsidR="00BA242E" w:rsidRPr="008E7D70" w:rsidRDefault="00BA242E" w:rsidP="003A77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Components of the TCBI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A8B1E7" w14:textId="6636D693" w:rsidR="00BA242E" w:rsidRPr="008E7D70" w:rsidRDefault="00BA242E" w:rsidP="00FD19F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Univariable analysis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35DA21" w14:textId="10CFBA0A" w:rsidR="00BA242E" w:rsidRPr="008E7D70" w:rsidRDefault="00BA242E" w:rsidP="0084522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Multivariable analysis</w:t>
            </w:r>
          </w:p>
        </w:tc>
      </w:tr>
      <w:tr w:rsidR="00BA242E" w:rsidRPr="008E7D70" w14:paraId="539E89FE" w14:textId="77777777" w:rsidTr="003425EC">
        <w:trPr>
          <w:trHeight w:val="552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14:paraId="5F0DC0D8" w14:textId="77777777" w:rsidR="00BA242E" w:rsidRPr="008E7D70" w:rsidRDefault="00BA242E" w:rsidP="003A77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DD48DF" w14:textId="51798D26" w:rsidR="00BA242E" w:rsidRPr="008E7D70" w:rsidRDefault="00BA242E" w:rsidP="003A77D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AC14B5" w14:textId="3BC5B95A" w:rsidR="00BA242E" w:rsidRPr="008E7D70" w:rsidRDefault="00BA242E" w:rsidP="003A77D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550229" w14:textId="6C988553" w:rsidR="00BA242E" w:rsidRPr="008E7D70" w:rsidRDefault="00BA242E" w:rsidP="00A56F3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 xml:space="preserve">HR (95% CI)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5C9A77" w14:textId="323FAF39" w:rsidR="00BA242E" w:rsidRPr="008E7D70" w:rsidRDefault="00BA242E" w:rsidP="00A56F3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BA242E" w:rsidRPr="008E7D70" w14:paraId="56903541" w14:textId="77777777" w:rsidTr="003425EC">
        <w:tc>
          <w:tcPr>
            <w:tcW w:w="3652" w:type="dxa"/>
            <w:tcBorders>
              <w:top w:val="single" w:sz="4" w:space="0" w:color="auto"/>
            </w:tcBorders>
          </w:tcPr>
          <w:p w14:paraId="47000238" w14:textId="5D136A68" w:rsidR="00BA242E" w:rsidRPr="008E7D70" w:rsidRDefault="00BA242E" w:rsidP="00845229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Triglyceride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(per 1 mg/dL increase)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8E17485" w14:textId="5E5116C8" w:rsidR="00BA242E" w:rsidRPr="008E7D70" w:rsidRDefault="00BA242E" w:rsidP="003A77D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0.999 (0.998 – 1.000)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2FE651" w14:textId="27CE4A9B" w:rsidR="00BA242E" w:rsidRPr="008E7D70" w:rsidRDefault="00BA242E" w:rsidP="003A77D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661EB85" w14:textId="64AA16D8" w:rsidR="00BA242E" w:rsidRPr="008E7D70" w:rsidRDefault="00BA242E" w:rsidP="0084522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1.000 (0.999 – 1.001)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952A9A" w14:textId="11EC5193" w:rsidR="00BA242E" w:rsidRPr="008E7D70" w:rsidRDefault="00BA242E" w:rsidP="0084522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BA242E" w:rsidRPr="008E7D70" w14:paraId="68C85A79" w14:textId="77777777" w:rsidTr="003425EC">
        <w:tc>
          <w:tcPr>
            <w:tcW w:w="3652" w:type="dxa"/>
          </w:tcPr>
          <w:p w14:paraId="7557DA3F" w14:textId="76F797EF" w:rsidR="00BA242E" w:rsidRPr="008E7D70" w:rsidRDefault="00BA242E" w:rsidP="00845229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Total Cholestero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 (per </w:t>
            </w: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mg/dL increase)</w:t>
            </w:r>
          </w:p>
        </w:tc>
        <w:tc>
          <w:tcPr>
            <w:tcW w:w="1985" w:type="dxa"/>
          </w:tcPr>
          <w:p w14:paraId="7A42787C" w14:textId="79189139" w:rsidR="00BA242E" w:rsidRPr="008E7D70" w:rsidRDefault="00BA242E" w:rsidP="003A77D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0.994 (0.992 – 0.996)</w:t>
            </w:r>
          </w:p>
        </w:tc>
        <w:tc>
          <w:tcPr>
            <w:tcW w:w="850" w:type="dxa"/>
          </w:tcPr>
          <w:p w14:paraId="02CB9738" w14:textId="7453E5C7" w:rsidR="00BA242E" w:rsidRPr="008E7D70" w:rsidRDefault="00BA242E" w:rsidP="003A77D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1985" w:type="dxa"/>
          </w:tcPr>
          <w:p w14:paraId="465CA8B5" w14:textId="3A2BB482" w:rsidR="00BA242E" w:rsidRPr="008E7D70" w:rsidRDefault="00BA242E" w:rsidP="0084522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0.993 (0.991 – 0.996)</w:t>
            </w:r>
          </w:p>
        </w:tc>
        <w:tc>
          <w:tcPr>
            <w:tcW w:w="850" w:type="dxa"/>
          </w:tcPr>
          <w:p w14:paraId="6BC1117A" w14:textId="7EDD2EC7" w:rsidR="00BA242E" w:rsidRPr="008E7D70" w:rsidRDefault="00BA242E" w:rsidP="0084522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A242E" w:rsidRPr="008E7D70" w14:paraId="04CE174C" w14:textId="77777777" w:rsidTr="003425EC">
        <w:tc>
          <w:tcPr>
            <w:tcW w:w="3652" w:type="dxa"/>
            <w:tcBorders>
              <w:bottom w:val="single" w:sz="4" w:space="0" w:color="auto"/>
            </w:tcBorders>
          </w:tcPr>
          <w:p w14:paraId="6943B630" w14:textId="1DDDC7F5" w:rsidR="00BA242E" w:rsidRPr="008E7D70" w:rsidRDefault="00BA242E" w:rsidP="00845229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Body Weight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(per 1mg/dL increase)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F925545" w14:textId="68DE5BF1" w:rsidR="00BA242E" w:rsidRPr="008E7D70" w:rsidRDefault="00BA242E" w:rsidP="003A77D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0.998 (0.993 – 1.001)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663608" w14:textId="2228A457" w:rsidR="00BA242E" w:rsidRPr="008E7D70" w:rsidRDefault="00BA242E" w:rsidP="003A77D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5B12E4B" w14:textId="7D86DF85" w:rsidR="00BA242E" w:rsidRPr="008E7D70" w:rsidRDefault="00BA242E" w:rsidP="0084522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0.989 (0.989 – 1.001)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949F1CC" w14:textId="13900C83" w:rsidR="00BA242E" w:rsidRPr="008E7D70" w:rsidRDefault="00BA242E" w:rsidP="0084522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70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</w:tbl>
    <w:p w14:paraId="7C975628" w14:textId="0CEC6238" w:rsidR="003A77DD" w:rsidRPr="008E7D70" w:rsidRDefault="003A77DD" w:rsidP="0084522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3425EC">
        <w:rPr>
          <w:rFonts w:ascii="Times New Roman" w:hAnsi="Times New Roman" w:cs="Times New Roman"/>
          <w:sz w:val="20"/>
          <w:szCs w:val="20"/>
        </w:rPr>
        <w:t xml:space="preserve">CI, confidence interval; HR, hazard ratio; </w:t>
      </w:r>
      <w:r w:rsidR="004E3C71" w:rsidRPr="008E7D70">
        <w:rPr>
          <w:rFonts w:ascii="Times New Roman" w:hAnsi="Times New Roman" w:cs="Times New Roman"/>
          <w:sz w:val="20"/>
          <w:szCs w:val="20"/>
        </w:rPr>
        <w:t>TCBI, Triglyceride × Total Cholesterol × Body Weight Index</w:t>
      </w:r>
    </w:p>
    <w:p w14:paraId="5F791E9C" w14:textId="2DAC6805" w:rsidR="000D01E1" w:rsidRDefault="000D01E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CE148CC" w14:textId="498AC102" w:rsidR="004965BA" w:rsidRPr="008E7D70" w:rsidRDefault="00F153D4" w:rsidP="009B793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7D7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Online </w:t>
      </w:r>
      <w:r w:rsidR="004965BA" w:rsidRPr="008E7D70">
        <w:rPr>
          <w:rFonts w:ascii="Times New Roman" w:hAnsi="Times New Roman" w:cs="Times New Roman"/>
          <w:b/>
          <w:bCs/>
          <w:sz w:val="20"/>
          <w:szCs w:val="20"/>
        </w:rPr>
        <w:t>Fig. 1. The distribution of the TCBI</w:t>
      </w:r>
    </w:p>
    <w:p w14:paraId="4B9D33A9" w14:textId="1BA7C73A" w:rsidR="004965BA" w:rsidRPr="008E7D70" w:rsidRDefault="004965BA" w:rsidP="009B793D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E7D70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0E92CD98" wp14:editId="231DAAA5">
            <wp:extent cx="3218688" cy="2688336"/>
            <wp:effectExtent l="0" t="0" r="127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688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B2E45" w14:textId="20E13855" w:rsidR="004965BA" w:rsidRDefault="004965BA" w:rsidP="004965BA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>Abbreviations: TCBI, Triglyceride × Total Cholesterol × Body Weight Index.</w:t>
      </w:r>
    </w:p>
    <w:p w14:paraId="7B3AE593" w14:textId="21A9F1C9" w:rsidR="00B21A77" w:rsidRDefault="00B21A77" w:rsidP="004965BA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4C2E441F" w14:textId="77777777" w:rsidR="00B21A77" w:rsidRDefault="00B21A77" w:rsidP="003425E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642AC13" w14:textId="0E7822DA" w:rsidR="00B21A77" w:rsidRDefault="00B21A77" w:rsidP="00B21A77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nline Fig. 2. </w:t>
      </w:r>
      <w:r w:rsidRPr="00B21A77">
        <w:rPr>
          <w:rFonts w:ascii="Times New Roman" w:hAnsi="Times New Roman" w:cs="Times New Roman"/>
          <w:b/>
          <w:bCs/>
          <w:sz w:val="20"/>
          <w:szCs w:val="20"/>
        </w:rPr>
        <w:t xml:space="preserve">Correlation between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Pr="00B21A77">
        <w:rPr>
          <w:rFonts w:ascii="Times New Roman" w:hAnsi="Times New Roman" w:cs="Times New Roman"/>
          <w:b/>
          <w:bCs/>
          <w:sz w:val="20"/>
          <w:szCs w:val="20"/>
        </w:rPr>
        <w:t>TCBI and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the </w:t>
      </w:r>
      <w:r w:rsidRPr="00B21A77">
        <w:rPr>
          <w:rFonts w:ascii="Times New Roman" w:hAnsi="Times New Roman" w:cs="Times New Roman"/>
          <w:b/>
          <w:bCs/>
          <w:sz w:val="20"/>
          <w:szCs w:val="20"/>
        </w:rPr>
        <w:t>GNRI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31DDC736" w14:textId="61DD8FF3" w:rsidR="00B21A77" w:rsidRPr="003425EC" w:rsidRDefault="00F95E11" w:rsidP="003425EC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de-DE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0BE84488" wp14:editId="20DBD37C">
            <wp:extent cx="3520440" cy="3172968"/>
            <wp:effectExtent l="0" t="0" r="3810" b="889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317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8634A" w14:textId="1D481204" w:rsidR="00F95E11" w:rsidRDefault="00F95E11" w:rsidP="00F95E11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 xml:space="preserve">Abbreviations: </w:t>
      </w:r>
      <w:r>
        <w:rPr>
          <w:rFonts w:ascii="Times New Roman" w:hAnsi="Times New Roman" w:cs="Times New Roman"/>
          <w:sz w:val="20"/>
          <w:szCs w:val="20"/>
        </w:rPr>
        <w:t xml:space="preserve">GNRI, </w:t>
      </w:r>
      <w:r w:rsidRPr="00F95E11">
        <w:rPr>
          <w:rFonts w:ascii="Times New Roman" w:hAnsi="Times New Roman" w:cs="Times New Roman"/>
          <w:sz w:val="20"/>
          <w:szCs w:val="20"/>
        </w:rPr>
        <w:t>Geriatric Nutritional Risk Index</w:t>
      </w:r>
      <w:r>
        <w:rPr>
          <w:rFonts w:ascii="Times New Roman" w:hAnsi="Times New Roman" w:cs="Times New Roman" w:hint="eastAsia"/>
          <w:sz w:val="20"/>
          <w:szCs w:val="20"/>
        </w:rPr>
        <w:t>;</w:t>
      </w:r>
      <w:r w:rsidRPr="00F95E11">
        <w:rPr>
          <w:rFonts w:ascii="Times New Roman" w:hAnsi="Times New Roman" w:cs="Times New Roman"/>
          <w:sz w:val="20"/>
          <w:szCs w:val="20"/>
        </w:rPr>
        <w:t xml:space="preserve"> </w:t>
      </w:r>
      <w:r w:rsidRPr="008E7D70">
        <w:rPr>
          <w:rFonts w:ascii="Times New Roman" w:hAnsi="Times New Roman" w:cs="Times New Roman"/>
          <w:sz w:val="20"/>
          <w:szCs w:val="20"/>
        </w:rPr>
        <w:t>TCBI, Triglyceride × Total Cholesterol × Body Weight Index.</w:t>
      </w:r>
    </w:p>
    <w:p w14:paraId="235E84AC" w14:textId="6F7D9149" w:rsidR="00B21A77" w:rsidRPr="00F95E11" w:rsidRDefault="00B21A77" w:rsidP="00B21A77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F3B9EAF" w14:textId="77777777" w:rsidR="00B21A77" w:rsidRDefault="00B21A77" w:rsidP="003425E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3B12769" w14:textId="4D4B3D02" w:rsidR="00270384" w:rsidRPr="008E7D70" w:rsidRDefault="00F153D4" w:rsidP="00B21A77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Online </w:t>
      </w:r>
      <w:r w:rsidR="00270384" w:rsidRPr="008E7D70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4965BA"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B21A77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4965BA" w:rsidRPr="008E7D7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70384"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 The receiver operating characteristic curve of the TCB</w:t>
      </w:r>
      <w:r w:rsidR="005C2582" w:rsidRPr="008E7D70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270384"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 for predicting all-cause death within three years after TAVR</w:t>
      </w:r>
    </w:p>
    <w:p w14:paraId="46811E62" w14:textId="5B078A43" w:rsidR="00270384" w:rsidRPr="008E7D70" w:rsidRDefault="00270384" w:rsidP="0084522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E7D70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4B501564" wp14:editId="006154CD">
            <wp:extent cx="2843784" cy="2752344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784" cy="2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BB147" w14:textId="0F9762D6" w:rsidR="00270384" w:rsidRPr="008E7D70" w:rsidRDefault="00576332" w:rsidP="0027038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>The a</w:t>
      </w:r>
      <w:r w:rsidR="00270384" w:rsidRPr="008E7D70">
        <w:rPr>
          <w:rFonts w:ascii="Times New Roman" w:hAnsi="Times New Roman" w:cs="Times New Roman"/>
          <w:sz w:val="20"/>
          <w:szCs w:val="20"/>
        </w:rPr>
        <w:t>rea under the curve was 0.55 (95%CI 0.52 – 0.59, p &lt; 0.01). The optimal cut-off value of the TCB</w:t>
      </w:r>
      <w:r w:rsidR="004E3C71" w:rsidRPr="008E7D70">
        <w:rPr>
          <w:rFonts w:ascii="Times New Roman" w:hAnsi="Times New Roman" w:cs="Times New Roman"/>
          <w:sz w:val="20"/>
          <w:szCs w:val="20"/>
        </w:rPr>
        <w:t>I</w:t>
      </w:r>
      <w:r w:rsidR="00270384" w:rsidRPr="008E7D70">
        <w:rPr>
          <w:rFonts w:ascii="Times New Roman" w:hAnsi="Times New Roman" w:cs="Times New Roman"/>
          <w:sz w:val="20"/>
          <w:szCs w:val="20"/>
        </w:rPr>
        <w:t xml:space="preserve"> for predicting three-year all-cause death was 985.3.</w:t>
      </w:r>
    </w:p>
    <w:p w14:paraId="7A078BBF" w14:textId="5FC113F7" w:rsidR="00270384" w:rsidRPr="008E7D70" w:rsidRDefault="00270384" w:rsidP="0027038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C91823">
        <w:rPr>
          <w:rFonts w:ascii="Times New Roman" w:hAnsi="Times New Roman" w:cs="Times New Roman"/>
          <w:sz w:val="20"/>
          <w:szCs w:val="20"/>
        </w:rPr>
        <w:t xml:space="preserve">CI, confidence interval; </w:t>
      </w:r>
      <w:r w:rsidR="004E3C71" w:rsidRPr="008E7D70">
        <w:rPr>
          <w:rFonts w:ascii="Times New Roman" w:hAnsi="Times New Roman" w:cs="Times New Roman"/>
          <w:sz w:val="20"/>
          <w:szCs w:val="20"/>
        </w:rPr>
        <w:t>TCBI, Triglyceride × Total Cholesterol × Body Weight Index</w:t>
      </w:r>
      <w:r w:rsidRPr="008E7D70">
        <w:rPr>
          <w:rFonts w:ascii="Times New Roman" w:hAnsi="Times New Roman" w:cs="Times New Roman"/>
          <w:sz w:val="20"/>
          <w:szCs w:val="20"/>
        </w:rPr>
        <w:t>; TAVR, transcatheter aortic valve replacement.</w:t>
      </w:r>
      <w:bookmarkStart w:id="3" w:name="_GoBack"/>
      <w:bookmarkEnd w:id="3"/>
    </w:p>
    <w:p w14:paraId="7E9EECCC" w14:textId="19DDBA50" w:rsidR="00270384" w:rsidRPr="008E7D70" w:rsidRDefault="00270384" w:rsidP="00845229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BDDD07D" w14:textId="5BF5FB2A" w:rsidR="00253BF5" w:rsidRPr="008E7D70" w:rsidRDefault="003A74D0" w:rsidP="006929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Online</w:t>
      </w:r>
      <w:r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965BA"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674459"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 w:rsidR="004965BA" w:rsidRPr="008E7D7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51C64"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135B4"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The Kaplan-Meyer curves for all-cause </w:t>
      </w:r>
      <w:r w:rsidR="004E3C71" w:rsidRPr="008E7D70">
        <w:rPr>
          <w:rFonts w:ascii="Times New Roman" w:hAnsi="Times New Roman" w:cs="Times New Roman"/>
          <w:b/>
          <w:bCs/>
          <w:sz w:val="20"/>
          <w:szCs w:val="20"/>
        </w:rPr>
        <w:t xml:space="preserve">mortality </w:t>
      </w:r>
      <w:r w:rsidR="00C135B4" w:rsidRPr="008E7D70">
        <w:rPr>
          <w:rFonts w:ascii="Times New Roman" w:hAnsi="Times New Roman" w:cs="Times New Roman"/>
          <w:b/>
          <w:bCs/>
          <w:sz w:val="20"/>
          <w:szCs w:val="20"/>
        </w:rPr>
        <w:t>based on tertiles of the TCB</w:t>
      </w:r>
      <w:r w:rsidR="005C2582" w:rsidRPr="008E7D70">
        <w:rPr>
          <w:rFonts w:ascii="Times New Roman" w:hAnsi="Times New Roman" w:cs="Times New Roman"/>
          <w:b/>
          <w:bCs/>
          <w:sz w:val="20"/>
          <w:szCs w:val="20"/>
        </w:rPr>
        <w:t>I</w:t>
      </w:r>
    </w:p>
    <w:p w14:paraId="53CCB282" w14:textId="62FD0E5B" w:rsidR="00253BF5" w:rsidRPr="008E7D70" w:rsidRDefault="004E3C71" w:rsidP="00253BF5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E7D70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7FDF3282" wp14:editId="717BDB94">
            <wp:extent cx="4572000" cy="2569464"/>
            <wp:effectExtent l="0" t="0" r="0" b="254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6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011C4" w14:textId="309C1021" w:rsidR="00C135B4" w:rsidRPr="008E7D70" w:rsidRDefault="00D91505" w:rsidP="00C135B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 xml:space="preserve">The </w:t>
      </w:r>
      <w:r w:rsidR="00507CB2" w:rsidRPr="008E7D70">
        <w:rPr>
          <w:rFonts w:ascii="Times New Roman" w:hAnsi="Times New Roman" w:cs="Times New Roman"/>
          <w:sz w:val="20"/>
          <w:szCs w:val="20"/>
        </w:rPr>
        <w:t>Kaplan</w:t>
      </w:r>
      <w:r w:rsidR="004E3C71" w:rsidRPr="008E7D70">
        <w:rPr>
          <w:rFonts w:ascii="Times New Roman" w:hAnsi="Times New Roman" w:cs="Times New Roman"/>
          <w:sz w:val="20"/>
          <w:szCs w:val="20"/>
        </w:rPr>
        <w:t>-Meyer curves showed that the cumulative three-year all-cause mortality rate was higher in the first tertile than in the combined second and third tertiles (39.0% vs. 32.3%, p = 0.01</w:t>
      </w:r>
      <w:r w:rsidRPr="008E7D70">
        <w:rPr>
          <w:rFonts w:ascii="Times New Roman" w:hAnsi="Times New Roman" w:cs="Times New Roman"/>
          <w:sz w:val="20"/>
          <w:szCs w:val="20"/>
        </w:rPr>
        <w:t>)</w:t>
      </w:r>
      <w:r w:rsidR="00C135B4" w:rsidRPr="008E7D70">
        <w:rPr>
          <w:rFonts w:ascii="Times New Roman" w:hAnsi="Times New Roman" w:cs="Times New Roman"/>
          <w:sz w:val="20"/>
          <w:szCs w:val="20"/>
        </w:rPr>
        <w:t>.</w:t>
      </w:r>
    </w:p>
    <w:p w14:paraId="272DCD92" w14:textId="16386078" w:rsidR="00692984" w:rsidRPr="008E7D70" w:rsidRDefault="00C135B4" w:rsidP="00F153D4">
      <w:pPr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8E7D70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4E3C71" w:rsidRPr="008E7D70">
        <w:rPr>
          <w:rFonts w:ascii="Times New Roman" w:hAnsi="Times New Roman" w:cs="Times New Roman"/>
          <w:sz w:val="20"/>
          <w:szCs w:val="20"/>
        </w:rPr>
        <w:t>TCBI, Triglyceride × Total Cholesterol × Body Weight Index</w:t>
      </w:r>
    </w:p>
    <w:sectPr w:rsidR="00692984" w:rsidRPr="008E7D70" w:rsidSect="00230E9A"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15C37" w14:textId="77777777" w:rsidR="00062349" w:rsidRDefault="00062349" w:rsidP="006F213E">
      <w:r>
        <w:separator/>
      </w:r>
    </w:p>
  </w:endnote>
  <w:endnote w:type="continuationSeparator" w:id="0">
    <w:p w14:paraId="7C5270F0" w14:textId="77777777" w:rsidR="00062349" w:rsidRDefault="00062349" w:rsidP="006F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531C6" w14:textId="77777777" w:rsidR="00062349" w:rsidRDefault="00062349" w:rsidP="006F213E">
      <w:r>
        <w:separator/>
      </w:r>
    </w:p>
  </w:footnote>
  <w:footnote w:type="continuationSeparator" w:id="0">
    <w:p w14:paraId="197CED66" w14:textId="77777777" w:rsidR="00062349" w:rsidRDefault="00062349" w:rsidP="006F2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8537F"/>
    <w:multiLevelType w:val="hybridMultilevel"/>
    <w:tmpl w:val="6D3E7D0A"/>
    <w:lvl w:ilvl="0" w:tplc="4BE2868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" w15:restartNumberingAfterBreak="0">
    <w:nsid w:val="4AE860EA"/>
    <w:multiLevelType w:val="hybridMultilevel"/>
    <w:tmpl w:val="818C65E8"/>
    <w:lvl w:ilvl="0" w:tplc="D52204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ollege Cardiolog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225rwsfq5wz0ve5rfsxxswnswrs9dtp5vz9&quot;&gt;My EndNote Library ver.20&lt;record-ids&gt;&lt;item&gt;4&lt;/item&gt;&lt;item&gt;109&lt;/item&gt;&lt;item&gt;110&lt;/item&gt;&lt;item&gt;111&lt;/item&gt;&lt;item&gt;113&lt;/item&gt;&lt;item&gt;208&lt;/item&gt;&lt;item&gt;209&lt;/item&gt;&lt;item&gt;211&lt;/item&gt;&lt;item&gt;217&lt;/item&gt;&lt;item&gt;219&lt;/item&gt;&lt;item&gt;222&lt;/item&gt;&lt;item&gt;225&lt;/item&gt;&lt;item&gt;254&lt;/item&gt;&lt;item&gt;258&lt;/item&gt;&lt;item&gt;260&lt;/item&gt;&lt;item&gt;261&lt;/item&gt;&lt;item&gt;263&lt;/item&gt;&lt;item&gt;264&lt;/item&gt;&lt;item&gt;265&lt;/item&gt;&lt;item&gt;266&lt;/item&gt;&lt;item&gt;268&lt;/item&gt;&lt;item&gt;269&lt;/item&gt;&lt;item&gt;274&lt;/item&gt;&lt;item&gt;291&lt;/item&gt;&lt;item&gt;292&lt;/item&gt;&lt;item&gt;294&lt;/item&gt;&lt;item&gt;296&lt;/item&gt;&lt;/record-ids&gt;&lt;/item&gt;&lt;/Libraries&gt;"/>
  </w:docVars>
  <w:rsids>
    <w:rsidRoot w:val="00202860"/>
    <w:rsid w:val="000015E2"/>
    <w:rsid w:val="00002337"/>
    <w:rsid w:val="000050ED"/>
    <w:rsid w:val="0000640F"/>
    <w:rsid w:val="00011424"/>
    <w:rsid w:val="00016FD3"/>
    <w:rsid w:val="00025C74"/>
    <w:rsid w:val="00027041"/>
    <w:rsid w:val="000312E2"/>
    <w:rsid w:val="000326A0"/>
    <w:rsid w:val="00037269"/>
    <w:rsid w:val="00037BBE"/>
    <w:rsid w:val="0004112D"/>
    <w:rsid w:val="000415B9"/>
    <w:rsid w:val="00044928"/>
    <w:rsid w:val="00047BE8"/>
    <w:rsid w:val="00056D30"/>
    <w:rsid w:val="00057719"/>
    <w:rsid w:val="00062349"/>
    <w:rsid w:val="0006328F"/>
    <w:rsid w:val="00065D75"/>
    <w:rsid w:val="0007004C"/>
    <w:rsid w:val="0007791F"/>
    <w:rsid w:val="00082BCD"/>
    <w:rsid w:val="000835FB"/>
    <w:rsid w:val="00094B80"/>
    <w:rsid w:val="000A0EB8"/>
    <w:rsid w:val="000B156F"/>
    <w:rsid w:val="000B2AF7"/>
    <w:rsid w:val="000B369C"/>
    <w:rsid w:val="000B3715"/>
    <w:rsid w:val="000B4CE5"/>
    <w:rsid w:val="000B618B"/>
    <w:rsid w:val="000B73F9"/>
    <w:rsid w:val="000C6A8D"/>
    <w:rsid w:val="000C7485"/>
    <w:rsid w:val="000D01E1"/>
    <w:rsid w:val="000D1554"/>
    <w:rsid w:val="000D6560"/>
    <w:rsid w:val="000E3AE4"/>
    <w:rsid w:val="000E3D85"/>
    <w:rsid w:val="000E4059"/>
    <w:rsid w:val="000E479D"/>
    <w:rsid w:val="000E50BF"/>
    <w:rsid w:val="000E6603"/>
    <w:rsid w:val="000E6960"/>
    <w:rsid w:val="000F4A03"/>
    <w:rsid w:val="001124B1"/>
    <w:rsid w:val="00112E3E"/>
    <w:rsid w:val="00113184"/>
    <w:rsid w:val="001147BB"/>
    <w:rsid w:val="001222DF"/>
    <w:rsid w:val="001319F5"/>
    <w:rsid w:val="00135A05"/>
    <w:rsid w:val="00147954"/>
    <w:rsid w:val="00150E13"/>
    <w:rsid w:val="001515A3"/>
    <w:rsid w:val="0015399D"/>
    <w:rsid w:val="00162E50"/>
    <w:rsid w:val="00166B41"/>
    <w:rsid w:val="001679C9"/>
    <w:rsid w:val="00167F34"/>
    <w:rsid w:val="00170EBA"/>
    <w:rsid w:val="0017187F"/>
    <w:rsid w:val="00173C2C"/>
    <w:rsid w:val="00173E9D"/>
    <w:rsid w:val="00180DDC"/>
    <w:rsid w:val="00183CF4"/>
    <w:rsid w:val="00183EC3"/>
    <w:rsid w:val="001906E3"/>
    <w:rsid w:val="00195A0E"/>
    <w:rsid w:val="0019725D"/>
    <w:rsid w:val="001A099F"/>
    <w:rsid w:val="001A161C"/>
    <w:rsid w:val="001B0FF7"/>
    <w:rsid w:val="001B202A"/>
    <w:rsid w:val="001B21CB"/>
    <w:rsid w:val="001B54BB"/>
    <w:rsid w:val="001C1543"/>
    <w:rsid w:val="001C58B0"/>
    <w:rsid w:val="001D0E99"/>
    <w:rsid w:val="001D3C3C"/>
    <w:rsid w:val="001D6583"/>
    <w:rsid w:val="001E30A5"/>
    <w:rsid w:val="001E6B89"/>
    <w:rsid w:val="001F0017"/>
    <w:rsid w:val="001F02B1"/>
    <w:rsid w:val="001F0B9A"/>
    <w:rsid w:val="001F16E0"/>
    <w:rsid w:val="00202860"/>
    <w:rsid w:val="00203A23"/>
    <w:rsid w:val="002053CF"/>
    <w:rsid w:val="00205F89"/>
    <w:rsid w:val="00206765"/>
    <w:rsid w:val="002069A7"/>
    <w:rsid w:val="00207629"/>
    <w:rsid w:val="002168CC"/>
    <w:rsid w:val="00224283"/>
    <w:rsid w:val="00230E9A"/>
    <w:rsid w:val="00232DCC"/>
    <w:rsid w:val="00234137"/>
    <w:rsid w:val="002407DE"/>
    <w:rsid w:val="00244E22"/>
    <w:rsid w:val="002450A3"/>
    <w:rsid w:val="00250B9B"/>
    <w:rsid w:val="00251651"/>
    <w:rsid w:val="00252692"/>
    <w:rsid w:val="00253BF5"/>
    <w:rsid w:val="00254076"/>
    <w:rsid w:val="002600E7"/>
    <w:rsid w:val="00270384"/>
    <w:rsid w:val="002745EC"/>
    <w:rsid w:val="002764C0"/>
    <w:rsid w:val="00287C15"/>
    <w:rsid w:val="00293C7B"/>
    <w:rsid w:val="002950F6"/>
    <w:rsid w:val="00297BF7"/>
    <w:rsid w:val="002A3C3A"/>
    <w:rsid w:val="002A5D76"/>
    <w:rsid w:val="002A7D75"/>
    <w:rsid w:val="002C0810"/>
    <w:rsid w:val="002C3369"/>
    <w:rsid w:val="002C3875"/>
    <w:rsid w:val="002C39E5"/>
    <w:rsid w:val="002D0145"/>
    <w:rsid w:val="002D1D0F"/>
    <w:rsid w:val="002D2B1E"/>
    <w:rsid w:val="002D4B18"/>
    <w:rsid w:val="002E07FA"/>
    <w:rsid w:val="002F00C9"/>
    <w:rsid w:val="002F029F"/>
    <w:rsid w:val="002F0983"/>
    <w:rsid w:val="002F24CB"/>
    <w:rsid w:val="002F360C"/>
    <w:rsid w:val="002F403A"/>
    <w:rsid w:val="002F71D6"/>
    <w:rsid w:val="00304272"/>
    <w:rsid w:val="0030682A"/>
    <w:rsid w:val="00317BA4"/>
    <w:rsid w:val="00322808"/>
    <w:rsid w:val="00323944"/>
    <w:rsid w:val="00330C85"/>
    <w:rsid w:val="00331F87"/>
    <w:rsid w:val="0033588A"/>
    <w:rsid w:val="003405D6"/>
    <w:rsid w:val="00340753"/>
    <w:rsid w:val="00341B51"/>
    <w:rsid w:val="003425EC"/>
    <w:rsid w:val="00345269"/>
    <w:rsid w:val="00345758"/>
    <w:rsid w:val="0034790F"/>
    <w:rsid w:val="00352785"/>
    <w:rsid w:val="003556EC"/>
    <w:rsid w:val="003559F8"/>
    <w:rsid w:val="00360640"/>
    <w:rsid w:val="00363543"/>
    <w:rsid w:val="003675A5"/>
    <w:rsid w:val="0037208C"/>
    <w:rsid w:val="00374FAE"/>
    <w:rsid w:val="0039058E"/>
    <w:rsid w:val="00392DC4"/>
    <w:rsid w:val="00397EC0"/>
    <w:rsid w:val="003A12B1"/>
    <w:rsid w:val="003A36C4"/>
    <w:rsid w:val="003A404D"/>
    <w:rsid w:val="003A74D0"/>
    <w:rsid w:val="003A77DD"/>
    <w:rsid w:val="003B0A73"/>
    <w:rsid w:val="003B2250"/>
    <w:rsid w:val="003B3BCC"/>
    <w:rsid w:val="003B3E90"/>
    <w:rsid w:val="003B706C"/>
    <w:rsid w:val="003B7381"/>
    <w:rsid w:val="003C7E39"/>
    <w:rsid w:val="003D157F"/>
    <w:rsid w:val="003D1962"/>
    <w:rsid w:val="003D6A05"/>
    <w:rsid w:val="003E132A"/>
    <w:rsid w:val="003E61F7"/>
    <w:rsid w:val="00400280"/>
    <w:rsid w:val="004144A0"/>
    <w:rsid w:val="00417588"/>
    <w:rsid w:val="00421850"/>
    <w:rsid w:val="00425A1E"/>
    <w:rsid w:val="004339F5"/>
    <w:rsid w:val="00440637"/>
    <w:rsid w:val="004453CC"/>
    <w:rsid w:val="0044615B"/>
    <w:rsid w:val="004531A5"/>
    <w:rsid w:val="00455E24"/>
    <w:rsid w:val="00463306"/>
    <w:rsid w:val="00463D26"/>
    <w:rsid w:val="00465AE2"/>
    <w:rsid w:val="00466B58"/>
    <w:rsid w:val="00470FE6"/>
    <w:rsid w:val="00471C60"/>
    <w:rsid w:val="00474F0A"/>
    <w:rsid w:val="00492EE6"/>
    <w:rsid w:val="004958CA"/>
    <w:rsid w:val="004965BA"/>
    <w:rsid w:val="00497E80"/>
    <w:rsid w:val="004A17B8"/>
    <w:rsid w:val="004A3826"/>
    <w:rsid w:val="004A4510"/>
    <w:rsid w:val="004A77C1"/>
    <w:rsid w:val="004B2F68"/>
    <w:rsid w:val="004C016C"/>
    <w:rsid w:val="004C3C49"/>
    <w:rsid w:val="004E07E3"/>
    <w:rsid w:val="004E3C71"/>
    <w:rsid w:val="004E3FEB"/>
    <w:rsid w:val="004F0D7F"/>
    <w:rsid w:val="004F5975"/>
    <w:rsid w:val="00501606"/>
    <w:rsid w:val="00501625"/>
    <w:rsid w:val="005016C3"/>
    <w:rsid w:val="00503825"/>
    <w:rsid w:val="00507CB2"/>
    <w:rsid w:val="00514410"/>
    <w:rsid w:val="0051781F"/>
    <w:rsid w:val="00520125"/>
    <w:rsid w:val="005235FF"/>
    <w:rsid w:val="00527830"/>
    <w:rsid w:val="00530A12"/>
    <w:rsid w:val="0053255B"/>
    <w:rsid w:val="005332A9"/>
    <w:rsid w:val="0053712D"/>
    <w:rsid w:val="00537F35"/>
    <w:rsid w:val="005502B7"/>
    <w:rsid w:val="005515F2"/>
    <w:rsid w:val="00560206"/>
    <w:rsid w:val="0056066C"/>
    <w:rsid w:val="00560987"/>
    <w:rsid w:val="00562082"/>
    <w:rsid w:val="0056234C"/>
    <w:rsid w:val="00564AE8"/>
    <w:rsid w:val="00566F27"/>
    <w:rsid w:val="00572D79"/>
    <w:rsid w:val="0057443B"/>
    <w:rsid w:val="00576332"/>
    <w:rsid w:val="0058300D"/>
    <w:rsid w:val="00587DA2"/>
    <w:rsid w:val="00597976"/>
    <w:rsid w:val="005A6E64"/>
    <w:rsid w:val="005A7F12"/>
    <w:rsid w:val="005B16C6"/>
    <w:rsid w:val="005C1C0F"/>
    <w:rsid w:val="005C2582"/>
    <w:rsid w:val="005C5468"/>
    <w:rsid w:val="005C57E5"/>
    <w:rsid w:val="005C7485"/>
    <w:rsid w:val="005D0A0D"/>
    <w:rsid w:val="005D1D05"/>
    <w:rsid w:val="005D4C58"/>
    <w:rsid w:val="005E27EA"/>
    <w:rsid w:val="005E44E7"/>
    <w:rsid w:val="005E6664"/>
    <w:rsid w:val="005E7A9A"/>
    <w:rsid w:val="005F3D14"/>
    <w:rsid w:val="006014B9"/>
    <w:rsid w:val="00611B91"/>
    <w:rsid w:val="00612719"/>
    <w:rsid w:val="0061387E"/>
    <w:rsid w:val="00613908"/>
    <w:rsid w:val="00623912"/>
    <w:rsid w:val="00623F5C"/>
    <w:rsid w:val="00630F6F"/>
    <w:rsid w:val="00636489"/>
    <w:rsid w:val="0064349F"/>
    <w:rsid w:val="00650F56"/>
    <w:rsid w:val="0065397A"/>
    <w:rsid w:val="00655CC5"/>
    <w:rsid w:val="00662CCB"/>
    <w:rsid w:val="00664CAA"/>
    <w:rsid w:val="006717C9"/>
    <w:rsid w:val="00674459"/>
    <w:rsid w:val="00692984"/>
    <w:rsid w:val="00695B19"/>
    <w:rsid w:val="006B3DDF"/>
    <w:rsid w:val="006B4DC0"/>
    <w:rsid w:val="006B53A1"/>
    <w:rsid w:val="006B6D72"/>
    <w:rsid w:val="006B7D3E"/>
    <w:rsid w:val="006C55C0"/>
    <w:rsid w:val="006D2141"/>
    <w:rsid w:val="006D2875"/>
    <w:rsid w:val="006E1F97"/>
    <w:rsid w:val="006F0E31"/>
    <w:rsid w:val="006F213E"/>
    <w:rsid w:val="0070287B"/>
    <w:rsid w:val="00703CD7"/>
    <w:rsid w:val="00704E25"/>
    <w:rsid w:val="00706375"/>
    <w:rsid w:val="00715486"/>
    <w:rsid w:val="00716B42"/>
    <w:rsid w:val="00723172"/>
    <w:rsid w:val="007262BF"/>
    <w:rsid w:val="0073070E"/>
    <w:rsid w:val="0073488C"/>
    <w:rsid w:val="00734B04"/>
    <w:rsid w:val="00737F3B"/>
    <w:rsid w:val="0074109E"/>
    <w:rsid w:val="00741FC6"/>
    <w:rsid w:val="0074226A"/>
    <w:rsid w:val="00745208"/>
    <w:rsid w:val="00745526"/>
    <w:rsid w:val="007520E7"/>
    <w:rsid w:val="00765540"/>
    <w:rsid w:val="00775BF9"/>
    <w:rsid w:val="007825BB"/>
    <w:rsid w:val="00785F3B"/>
    <w:rsid w:val="00785F7A"/>
    <w:rsid w:val="00786D0B"/>
    <w:rsid w:val="00797D8C"/>
    <w:rsid w:val="007A0D90"/>
    <w:rsid w:val="007A4CBC"/>
    <w:rsid w:val="007A50AA"/>
    <w:rsid w:val="007A62E1"/>
    <w:rsid w:val="007A753B"/>
    <w:rsid w:val="007B7C40"/>
    <w:rsid w:val="007C2632"/>
    <w:rsid w:val="007C2910"/>
    <w:rsid w:val="007C2C6D"/>
    <w:rsid w:val="007C59DB"/>
    <w:rsid w:val="007C6DA2"/>
    <w:rsid w:val="007D0010"/>
    <w:rsid w:val="007E070B"/>
    <w:rsid w:val="007E257F"/>
    <w:rsid w:val="007E72FF"/>
    <w:rsid w:val="00805C5B"/>
    <w:rsid w:val="00816B88"/>
    <w:rsid w:val="008222E4"/>
    <w:rsid w:val="00825085"/>
    <w:rsid w:val="0082590E"/>
    <w:rsid w:val="00845229"/>
    <w:rsid w:val="008521F3"/>
    <w:rsid w:val="00881914"/>
    <w:rsid w:val="008845C0"/>
    <w:rsid w:val="00886B76"/>
    <w:rsid w:val="0088742B"/>
    <w:rsid w:val="00887C8C"/>
    <w:rsid w:val="00890FA0"/>
    <w:rsid w:val="00893DCA"/>
    <w:rsid w:val="0089719F"/>
    <w:rsid w:val="00897B0D"/>
    <w:rsid w:val="008A16A7"/>
    <w:rsid w:val="008A1AED"/>
    <w:rsid w:val="008B1C95"/>
    <w:rsid w:val="008B2FFB"/>
    <w:rsid w:val="008B38DB"/>
    <w:rsid w:val="008B421B"/>
    <w:rsid w:val="008B5F87"/>
    <w:rsid w:val="008B612F"/>
    <w:rsid w:val="008C0EFA"/>
    <w:rsid w:val="008C1EA4"/>
    <w:rsid w:val="008C67A5"/>
    <w:rsid w:val="008E213B"/>
    <w:rsid w:val="008E2DF3"/>
    <w:rsid w:val="008E63C8"/>
    <w:rsid w:val="008E7D70"/>
    <w:rsid w:val="008F3107"/>
    <w:rsid w:val="008F70B0"/>
    <w:rsid w:val="009003D2"/>
    <w:rsid w:val="00903385"/>
    <w:rsid w:val="00911B9A"/>
    <w:rsid w:val="00924D75"/>
    <w:rsid w:val="009346EE"/>
    <w:rsid w:val="0094083A"/>
    <w:rsid w:val="00941EAC"/>
    <w:rsid w:val="009460E0"/>
    <w:rsid w:val="009514DD"/>
    <w:rsid w:val="00951C64"/>
    <w:rsid w:val="00956AE3"/>
    <w:rsid w:val="00956C19"/>
    <w:rsid w:val="00957662"/>
    <w:rsid w:val="0096443B"/>
    <w:rsid w:val="00964EF9"/>
    <w:rsid w:val="009719DB"/>
    <w:rsid w:val="00974E11"/>
    <w:rsid w:val="00976958"/>
    <w:rsid w:val="00984FB9"/>
    <w:rsid w:val="00985B26"/>
    <w:rsid w:val="00986329"/>
    <w:rsid w:val="00992331"/>
    <w:rsid w:val="00992554"/>
    <w:rsid w:val="009937E0"/>
    <w:rsid w:val="00993E5E"/>
    <w:rsid w:val="009A1AAF"/>
    <w:rsid w:val="009B38A9"/>
    <w:rsid w:val="009B44BF"/>
    <w:rsid w:val="009B793D"/>
    <w:rsid w:val="009C0718"/>
    <w:rsid w:val="009C236E"/>
    <w:rsid w:val="009E0BF3"/>
    <w:rsid w:val="009E71DF"/>
    <w:rsid w:val="009F12CE"/>
    <w:rsid w:val="009F38D4"/>
    <w:rsid w:val="009F6880"/>
    <w:rsid w:val="009F7C83"/>
    <w:rsid w:val="00A108BE"/>
    <w:rsid w:val="00A10B5F"/>
    <w:rsid w:val="00A11631"/>
    <w:rsid w:val="00A13348"/>
    <w:rsid w:val="00A22EEB"/>
    <w:rsid w:val="00A261AA"/>
    <w:rsid w:val="00A31742"/>
    <w:rsid w:val="00A31BF4"/>
    <w:rsid w:val="00A328CD"/>
    <w:rsid w:val="00A334A0"/>
    <w:rsid w:val="00A35050"/>
    <w:rsid w:val="00A35BD9"/>
    <w:rsid w:val="00A429B1"/>
    <w:rsid w:val="00A46E9F"/>
    <w:rsid w:val="00A53375"/>
    <w:rsid w:val="00A55834"/>
    <w:rsid w:val="00A55D55"/>
    <w:rsid w:val="00A56F3D"/>
    <w:rsid w:val="00A65DB4"/>
    <w:rsid w:val="00A714C8"/>
    <w:rsid w:val="00A7559B"/>
    <w:rsid w:val="00A7578A"/>
    <w:rsid w:val="00A77157"/>
    <w:rsid w:val="00A810C9"/>
    <w:rsid w:val="00A86E41"/>
    <w:rsid w:val="00A91447"/>
    <w:rsid w:val="00A929E6"/>
    <w:rsid w:val="00A93CF8"/>
    <w:rsid w:val="00A94454"/>
    <w:rsid w:val="00A95219"/>
    <w:rsid w:val="00AA1C5D"/>
    <w:rsid w:val="00AA62A6"/>
    <w:rsid w:val="00AB32EA"/>
    <w:rsid w:val="00AB3F17"/>
    <w:rsid w:val="00AB4151"/>
    <w:rsid w:val="00AB6452"/>
    <w:rsid w:val="00AD49E9"/>
    <w:rsid w:val="00AD7EE4"/>
    <w:rsid w:val="00AE0067"/>
    <w:rsid w:val="00AE2563"/>
    <w:rsid w:val="00AE4AF3"/>
    <w:rsid w:val="00AE6939"/>
    <w:rsid w:val="00AE7581"/>
    <w:rsid w:val="00AF0E03"/>
    <w:rsid w:val="00AF118A"/>
    <w:rsid w:val="00AF23EB"/>
    <w:rsid w:val="00AF46E5"/>
    <w:rsid w:val="00AF5042"/>
    <w:rsid w:val="00B02664"/>
    <w:rsid w:val="00B02ECF"/>
    <w:rsid w:val="00B035C1"/>
    <w:rsid w:val="00B03646"/>
    <w:rsid w:val="00B046FB"/>
    <w:rsid w:val="00B04F9E"/>
    <w:rsid w:val="00B11F9C"/>
    <w:rsid w:val="00B21A77"/>
    <w:rsid w:val="00B24476"/>
    <w:rsid w:val="00B24CBD"/>
    <w:rsid w:val="00B27646"/>
    <w:rsid w:val="00B3095F"/>
    <w:rsid w:val="00B31346"/>
    <w:rsid w:val="00B33265"/>
    <w:rsid w:val="00B40211"/>
    <w:rsid w:val="00B41965"/>
    <w:rsid w:val="00B47CE1"/>
    <w:rsid w:val="00B5040F"/>
    <w:rsid w:val="00B50B3E"/>
    <w:rsid w:val="00B545FB"/>
    <w:rsid w:val="00B576FE"/>
    <w:rsid w:val="00B615C5"/>
    <w:rsid w:val="00B63CE5"/>
    <w:rsid w:val="00B64DF5"/>
    <w:rsid w:val="00B7482F"/>
    <w:rsid w:val="00B8079D"/>
    <w:rsid w:val="00B8200A"/>
    <w:rsid w:val="00BA1268"/>
    <w:rsid w:val="00BA13D7"/>
    <w:rsid w:val="00BA242E"/>
    <w:rsid w:val="00BA7364"/>
    <w:rsid w:val="00BB079D"/>
    <w:rsid w:val="00BC22C6"/>
    <w:rsid w:val="00BC507C"/>
    <w:rsid w:val="00BD79FE"/>
    <w:rsid w:val="00BE1B9A"/>
    <w:rsid w:val="00BE44F5"/>
    <w:rsid w:val="00BE63AC"/>
    <w:rsid w:val="00BE7735"/>
    <w:rsid w:val="00BE79B0"/>
    <w:rsid w:val="00BF16C3"/>
    <w:rsid w:val="00BF42D3"/>
    <w:rsid w:val="00BF4DFD"/>
    <w:rsid w:val="00BF588D"/>
    <w:rsid w:val="00BF7B8F"/>
    <w:rsid w:val="00C135B4"/>
    <w:rsid w:val="00C152F8"/>
    <w:rsid w:val="00C16CD4"/>
    <w:rsid w:val="00C31DCF"/>
    <w:rsid w:val="00C32A5F"/>
    <w:rsid w:val="00C346F8"/>
    <w:rsid w:val="00C4007B"/>
    <w:rsid w:val="00C40698"/>
    <w:rsid w:val="00C41464"/>
    <w:rsid w:val="00C47440"/>
    <w:rsid w:val="00C57EDB"/>
    <w:rsid w:val="00C748AE"/>
    <w:rsid w:val="00C777B3"/>
    <w:rsid w:val="00C777BC"/>
    <w:rsid w:val="00C77AF1"/>
    <w:rsid w:val="00C808E9"/>
    <w:rsid w:val="00C81097"/>
    <w:rsid w:val="00C90A22"/>
    <w:rsid w:val="00C91823"/>
    <w:rsid w:val="00C93DC8"/>
    <w:rsid w:val="00C95003"/>
    <w:rsid w:val="00C962D7"/>
    <w:rsid w:val="00CA324A"/>
    <w:rsid w:val="00CA54D3"/>
    <w:rsid w:val="00CA5583"/>
    <w:rsid w:val="00CA6A7A"/>
    <w:rsid w:val="00CB6F72"/>
    <w:rsid w:val="00CB7FE3"/>
    <w:rsid w:val="00CC0CFF"/>
    <w:rsid w:val="00CC60ED"/>
    <w:rsid w:val="00CC63D0"/>
    <w:rsid w:val="00CD7439"/>
    <w:rsid w:val="00CE31D8"/>
    <w:rsid w:val="00CE3B84"/>
    <w:rsid w:val="00CE52AA"/>
    <w:rsid w:val="00CF14ED"/>
    <w:rsid w:val="00CF7B2E"/>
    <w:rsid w:val="00D0648F"/>
    <w:rsid w:val="00D06C91"/>
    <w:rsid w:val="00D13CAE"/>
    <w:rsid w:val="00D256E5"/>
    <w:rsid w:val="00D2656C"/>
    <w:rsid w:val="00D33658"/>
    <w:rsid w:val="00D337E3"/>
    <w:rsid w:val="00D34050"/>
    <w:rsid w:val="00D35784"/>
    <w:rsid w:val="00D40EC8"/>
    <w:rsid w:val="00D44C5B"/>
    <w:rsid w:val="00D46FD5"/>
    <w:rsid w:val="00D512B5"/>
    <w:rsid w:val="00D520C7"/>
    <w:rsid w:val="00D5414B"/>
    <w:rsid w:val="00D54430"/>
    <w:rsid w:val="00D60A85"/>
    <w:rsid w:val="00D626D0"/>
    <w:rsid w:val="00D6405D"/>
    <w:rsid w:val="00D6789D"/>
    <w:rsid w:val="00D73D2E"/>
    <w:rsid w:val="00D75B5F"/>
    <w:rsid w:val="00D77F34"/>
    <w:rsid w:val="00D817F5"/>
    <w:rsid w:val="00D83EB2"/>
    <w:rsid w:val="00D91505"/>
    <w:rsid w:val="00D92604"/>
    <w:rsid w:val="00D926DD"/>
    <w:rsid w:val="00D92B5A"/>
    <w:rsid w:val="00D95A85"/>
    <w:rsid w:val="00DA13EA"/>
    <w:rsid w:val="00DA356D"/>
    <w:rsid w:val="00DA448F"/>
    <w:rsid w:val="00DA504F"/>
    <w:rsid w:val="00DB7D2E"/>
    <w:rsid w:val="00DC1A2D"/>
    <w:rsid w:val="00DC5C63"/>
    <w:rsid w:val="00DD0B29"/>
    <w:rsid w:val="00DD0ECC"/>
    <w:rsid w:val="00DD1D43"/>
    <w:rsid w:val="00DD296D"/>
    <w:rsid w:val="00DD3047"/>
    <w:rsid w:val="00DD40A1"/>
    <w:rsid w:val="00DD6358"/>
    <w:rsid w:val="00DE33E2"/>
    <w:rsid w:val="00DF4433"/>
    <w:rsid w:val="00E10F1C"/>
    <w:rsid w:val="00E12984"/>
    <w:rsid w:val="00E13B6A"/>
    <w:rsid w:val="00E200F5"/>
    <w:rsid w:val="00E23411"/>
    <w:rsid w:val="00E2631F"/>
    <w:rsid w:val="00E27759"/>
    <w:rsid w:val="00E41718"/>
    <w:rsid w:val="00E4287B"/>
    <w:rsid w:val="00E4502F"/>
    <w:rsid w:val="00E46C5B"/>
    <w:rsid w:val="00E51BFD"/>
    <w:rsid w:val="00E55713"/>
    <w:rsid w:val="00E55BCB"/>
    <w:rsid w:val="00E6088A"/>
    <w:rsid w:val="00E63F85"/>
    <w:rsid w:val="00E6476C"/>
    <w:rsid w:val="00E676EB"/>
    <w:rsid w:val="00E74A68"/>
    <w:rsid w:val="00E753BD"/>
    <w:rsid w:val="00E77855"/>
    <w:rsid w:val="00E80FFB"/>
    <w:rsid w:val="00E81D59"/>
    <w:rsid w:val="00E83BC8"/>
    <w:rsid w:val="00E8490E"/>
    <w:rsid w:val="00E84D7B"/>
    <w:rsid w:val="00E8722F"/>
    <w:rsid w:val="00E94C2A"/>
    <w:rsid w:val="00EA1FF9"/>
    <w:rsid w:val="00EA5672"/>
    <w:rsid w:val="00EA5D04"/>
    <w:rsid w:val="00EA66AE"/>
    <w:rsid w:val="00EB2044"/>
    <w:rsid w:val="00EB2986"/>
    <w:rsid w:val="00EC2C5A"/>
    <w:rsid w:val="00EC5DE7"/>
    <w:rsid w:val="00EC74BD"/>
    <w:rsid w:val="00ED3DAE"/>
    <w:rsid w:val="00ED7B7A"/>
    <w:rsid w:val="00EE2B87"/>
    <w:rsid w:val="00EE2E5A"/>
    <w:rsid w:val="00EE3A33"/>
    <w:rsid w:val="00EE3FCE"/>
    <w:rsid w:val="00EE4912"/>
    <w:rsid w:val="00EE6A61"/>
    <w:rsid w:val="00EF20B8"/>
    <w:rsid w:val="00F01E0D"/>
    <w:rsid w:val="00F153D4"/>
    <w:rsid w:val="00F1565C"/>
    <w:rsid w:val="00F16EF8"/>
    <w:rsid w:val="00F21628"/>
    <w:rsid w:val="00F3498B"/>
    <w:rsid w:val="00F35F7A"/>
    <w:rsid w:val="00F43127"/>
    <w:rsid w:val="00F4392D"/>
    <w:rsid w:val="00F4576F"/>
    <w:rsid w:val="00F54CFD"/>
    <w:rsid w:val="00F62213"/>
    <w:rsid w:val="00F67F3C"/>
    <w:rsid w:val="00F73C03"/>
    <w:rsid w:val="00F7521D"/>
    <w:rsid w:val="00F800CF"/>
    <w:rsid w:val="00F8168E"/>
    <w:rsid w:val="00F8300F"/>
    <w:rsid w:val="00F856D7"/>
    <w:rsid w:val="00F87997"/>
    <w:rsid w:val="00F94C7A"/>
    <w:rsid w:val="00F9529D"/>
    <w:rsid w:val="00F95E11"/>
    <w:rsid w:val="00F97356"/>
    <w:rsid w:val="00FA4684"/>
    <w:rsid w:val="00FB5876"/>
    <w:rsid w:val="00FC5A11"/>
    <w:rsid w:val="00FD0600"/>
    <w:rsid w:val="00FD19F3"/>
    <w:rsid w:val="00FD7353"/>
    <w:rsid w:val="00FF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65ECBE"/>
  <w15:docId w15:val="{FFC9EA80-92B9-44EA-B80A-8364E102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8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02860"/>
  </w:style>
  <w:style w:type="paragraph" w:styleId="Header">
    <w:name w:val="header"/>
    <w:basedOn w:val="Normal"/>
    <w:link w:val="HeaderChar"/>
    <w:uiPriority w:val="99"/>
    <w:unhideWhenUsed/>
    <w:rsid w:val="006F213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F213E"/>
  </w:style>
  <w:style w:type="paragraph" w:styleId="Footer">
    <w:name w:val="footer"/>
    <w:basedOn w:val="Normal"/>
    <w:link w:val="FooterChar"/>
    <w:uiPriority w:val="99"/>
    <w:unhideWhenUsed/>
    <w:rsid w:val="006F213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F213E"/>
  </w:style>
  <w:style w:type="table" w:customStyle="1" w:styleId="21">
    <w:name w:val="標準の表 21"/>
    <w:basedOn w:val="TableNormal"/>
    <w:uiPriority w:val="42"/>
    <w:rsid w:val="00D5414B"/>
    <w:pPr>
      <w:widowControl/>
      <w:jc w:val="left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F443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443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200F5"/>
    <w:rPr>
      <w:color w:val="808080"/>
    </w:rPr>
  </w:style>
  <w:style w:type="paragraph" w:styleId="ListParagraph">
    <w:name w:val="List Paragraph"/>
    <w:basedOn w:val="Normal"/>
    <w:uiPriority w:val="34"/>
    <w:qFormat/>
    <w:rsid w:val="00893DCA"/>
    <w:pPr>
      <w:ind w:leftChars="400" w:left="840"/>
    </w:pPr>
  </w:style>
  <w:style w:type="paragraph" w:customStyle="1" w:styleId="EndNoteBibliographyTitle">
    <w:name w:val="EndNote Bibliography Title"/>
    <w:basedOn w:val="Normal"/>
    <w:link w:val="EndNoteBibliographyTitle0"/>
    <w:rsid w:val="00692984"/>
    <w:pPr>
      <w:jc w:val="center"/>
    </w:pPr>
    <w:rPr>
      <w:rFonts w:ascii="Yu Mincho" w:eastAsia="Yu Mincho" w:hAnsi="Yu Mincho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692984"/>
    <w:rPr>
      <w:rFonts w:ascii="Yu Mincho" w:eastAsia="Yu Mincho" w:hAnsi="Yu Mincho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92984"/>
    <w:rPr>
      <w:rFonts w:ascii="Yu Mincho" w:eastAsia="Yu Mincho" w:hAnsi="Yu Mincho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692984"/>
    <w:rPr>
      <w:rFonts w:ascii="Yu Mincho" w:eastAsia="Yu Mincho" w:hAnsi="Yu Mincho"/>
      <w:noProof/>
      <w:sz w:val="20"/>
    </w:rPr>
  </w:style>
  <w:style w:type="paragraph" w:styleId="Revision">
    <w:name w:val="Revision"/>
    <w:hidden/>
    <w:uiPriority w:val="99"/>
    <w:semiHidden/>
    <w:rsid w:val="00F3498B"/>
    <w:pPr>
      <w:widowControl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887C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C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C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C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3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4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7DCDE-A5DD-4936-B657-27E7BA10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522</Words>
  <Characters>2981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Mitsumasa Sudo</dc:creator>
  <cp:keywords/>
  <dc:description/>
  <cp:lastModifiedBy>Indhu Arumugasamy</cp:lastModifiedBy>
  <cp:revision>11</cp:revision>
  <dcterms:created xsi:type="dcterms:W3CDTF">2023-02-24T15:59:00Z</dcterms:created>
  <dcterms:modified xsi:type="dcterms:W3CDTF">2023-05-05T03:03:00Z</dcterms:modified>
</cp:coreProperties>
</file>