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21A" w:rsidRDefault="0065021A" w:rsidP="0065021A">
      <w:pPr>
        <w:tabs>
          <w:tab w:val="left" w:pos="1515"/>
        </w:tabs>
        <w:rPr>
          <w:b/>
          <w:lang w:val="en-US"/>
        </w:rPr>
      </w:pPr>
      <w:r w:rsidRPr="00954279">
        <w:rPr>
          <w:b/>
          <w:lang w:val="en-US"/>
        </w:rPr>
        <w:t>Supplementary Tables</w:t>
      </w:r>
    </w:p>
    <w:tbl>
      <w:tblPr>
        <w:tblStyle w:val="Tabelraster"/>
        <w:tblpPr w:leftFromText="141" w:rightFromText="141" w:horzAnchor="margin" w:tblpY="585"/>
        <w:tblW w:w="9468" w:type="dxa"/>
        <w:tblLook w:val="04A0" w:firstRow="1" w:lastRow="0" w:firstColumn="1" w:lastColumn="0" w:noHBand="0" w:noVBand="1"/>
      </w:tblPr>
      <w:tblGrid>
        <w:gridCol w:w="9468"/>
      </w:tblGrid>
      <w:tr w:rsidR="0065021A" w:rsidRPr="0065021A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65021A" w:rsidRDefault="0065021A" w:rsidP="003C1889">
            <w:pPr>
              <w:rPr>
                <w:rFonts w:eastAsia="Calibri" w:cs="Arial"/>
                <w:b/>
                <w:lang w:val="en-US"/>
              </w:rPr>
            </w:pPr>
            <w:r w:rsidRPr="0065021A">
              <w:rPr>
                <w:rFonts w:eastAsia="Calibri" w:cs="Arial"/>
                <w:b/>
                <w:lang w:val="en-US"/>
              </w:rPr>
              <w:t>S1. Inclusion Criteria</w:t>
            </w:r>
          </w:p>
        </w:tc>
      </w:tr>
      <w:tr w:rsidR="0065021A" w:rsidRPr="0065021A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65021A" w:rsidRDefault="0065021A" w:rsidP="003C1889">
            <w:pPr>
              <w:rPr>
                <w:rFonts w:eastAsia="Calibri" w:cs="Arial"/>
                <w:lang w:val="en-US"/>
              </w:rPr>
            </w:pPr>
            <w:r w:rsidRPr="0065021A">
              <w:rPr>
                <w:rFonts w:eastAsia="Calibri" w:cs="Arial"/>
                <w:lang w:val="en-US"/>
              </w:rPr>
              <w:t>Age ≥ 18 years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 xml:space="preserve">Eligible for </w:t>
            </w:r>
            <w:proofErr w:type="spellStart"/>
            <w:r w:rsidRPr="003C510B">
              <w:rPr>
                <w:rFonts w:eastAsia="Calibri" w:cs="Arial"/>
                <w:lang w:val="en-US"/>
              </w:rPr>
              <w:t>transfemoral</w:t>
            </w:r>
            <w:proofErr w:type="spellEnd"/>
            <w:r w:rsidRPr="003C510B">
              <w:rPr>
                <w:rFonts w:eastAsia="Calibri" w:cs="Arial"/>
                <w:lang w:val="en-US"/>
              </w:rPr>
              <w:t xml:space="preserve"> </w:t>
            </w:r>
            <w:proofErr w:type="spellStart"/>
            <w:r w:rsidRPr="003C510B">
              <w:rPr>
                <w:rFonts w:eastAsia="Calibri" w:cs="Arial"/>
                <w:lang w:val="en-US"/>
              </w:rPr>
              <w:t>Transcatheter</w:t>
            </w:r>
            <w:proofErr w:type="spellEnd"/>
            <w:r w:rsidRPr="003C510B">
              <w:rPr>
                <w:rFonts w:eastAsia="Calibri" w:cs="Arial"/>
                <w:lang w:val="en-US"/>
              </w:rPr>
              <w:t xml:space="preserve"> Aortic Valve Implantation with the ACURATE Neo platform 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Able to provide written informed consent</w:t>
            </w:r>
          </w:p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spacing w:line="276" w:lineRule="auto"/>
              <w:rPr>
                <w:rFonts w:eastAsia="Calibri" w:cs="Arial"/>
                <w:b/>
              </w:rPr>
            </w:pPr>
            <w:proofErr w:type="spellStart"/>
            <w:r w:rsidRPr="003C510B">
              <w:rPr>
                <w:rFonts w:eastAsia="Calibri" w:cs="Arial"/>
                <w:b/>
              </w:rPr>
              <w:t>Exclusion</w:t>
            </w:r>
            <w:proofErr w:type="spellEnd"/>
            <w:r w:rsidRPr="003C510B">
              <w:rPr>
                <w:rFonts w:eastAsia="Calibri" w:cs="Arial"/>
                <w:b/>
              </w:rPr>
              <w:t xml:space="preserve"> Criteria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spacing w:line="276" w:lineRule="auto"/>
              <w:rPr>
                <w:rFonts w:eastAsia="Calibri" w:cs="Arial"/>
                <w:b/>
              </w:rPr>
            </w:pPr>
            <w:proofErr w:type="spellStart"/>
            <w:r w:rsidRPr="003C510B">
              <w:rPr>
                <w:rFonts w:eastAsia="Calibri" w:cs="Arial"/>
                <w:b/>
              </w:rPr>
              <w:t>Cardiac</w:t>
            </w:r>
            <w:proofErr w:type="spellEnd"/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</w:rPr>
            </w:pPr>
            <w:proofErr w:type="spellStart"/>
            <w:r w:rsidRPr="003C510B">
              <w:rPr>
                <w:rFonts w:eastAsia="Calibri" w:cs="Arial"/>
              </w:rPr>
              <w:t>Left</w:t>
            </w:r>
            <w:proofErr w:type="spellEnd"/>
            <w:r w:rsidRPr="003C510B">
              <w:rPr>
                <w:rFonts w:eastAsia="Calibri" w:cs="Arial"/>
              </w:rPr>
              <w:t xml:space="preserve"> </w:t>
            </w:r>
            <w:proofErr w:type="spellStart"/>
            <w:r w:rsidRPr="003C510B">
              <w:rPr>
                <w:rFonts w:eastAsia="Calibri" w:cs="Arial"/>
              </w:rPr>
              <w:t>ventricular</w:t>
            </w:r>
            <w:proofErr w:type="spellEnd"/>
            <w:r w:rsidRPr="003C510B">
              <w:rPr>
                <w:rFonts w:eastAsia="Calibri" w:cs="Arial"/>
              </w:rPr>
              <w:t xml:space="preserve"> </w:t>
            </w:r>
            <w:proofErr w:type="spellStart"/>
            <w:r w:rsidRPr="003C510B">
              <w:rPr>
                <w:rFonts w:eastAsia="Calibri" w:cs="Arial"/>
              </w:rPr>
              <w:t>ejection</w:t>
            </w:r>
            <w:proofErr w:type="spellEnd"/>
            <w:r w:rsidRPr="003C510B">
              <w:rPr>
                <w:rFonts w:eastAsia="Calibri" w:cs="Arial"/>
              </w:rPr>
              <w:t xml:space="preserve"> </w:t>
            </w:r>
            <w:proofErr w:type="spellStart"/>
            <w:r w:rsidRPr="003C510B">
              <w:rPr>
                <w:rFonts w:eastAsia="Calibri" w:cs="Arial"/>
              </w:rPr>
              <w:t>fraction</w:t>
            </w:r>
            <w:proofErr w:type="spellEnd"/>
            <w:r w:rsidRPr="003C510B">
              <w:rPr>
                <w:rFonts w:eastAsia="Calibri" w:cs="Arial"/>
              </w:rPr>
              <w:t xml:space="preserve"> &lt;35%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 xml:space="preserve">More than moderate mitral regurgitation 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Severe pulmonary hypertension (</w:t>
            </w:r>
            <w:proofErr w:type="spellStart"/>
            <w:r w:rsidRPr="003C510B">
              <w:rPr>
                <w:rFonts w:eastAsia="Calibri" w:cs="Arial"/>
                <w:lang w:val="en-US"/>
              </w:rPr>
              <w:t>sPAP</w:t>
            </w:r>
            <w:proofErr w:type="spellEnd"/>
            <w:r w:rsidRPr="003C510B">
              <w:rPr>
                <w:rFonts w:eastAsia="Calibri" w:cs="Arial"/>
                <w:lang w:val="en-US"/>
              </w:rPr>
              <w:t xml:space="preserve"> &gt;60mmHg)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spacing w:line="276" w:lineRule="auto"/>
              <w:rPr>
                <w:rFonts w:eastAsia="Calibri" w:cs="Arial"/>
                <w:i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Unresolved complex coronary artery disease</w:t>
            </w:r>
            <w:r w:rsidRPr="003C510B">
              <w:rPr>
                <w:rFonts w:eastAsia="Calibri" w:cs="Arial"/>
                <w:lang w:val="en-US"/>
              </w:rPr>
              <w:br/>
            </w:r>
            <w:r w:rsidRPr="003C510B">
              <w:rPr>
                <w:rFonts w:eastAsia="Calibri" w:cs="Arial"/>
                <w:i/>
                <w:lang w:val="en-US"/>
              </w:rPr>
              <w:t xml:space="preserve">defined as: </w:t>
            </w:r>
            <w:proofErr w:type="spellStart"/>
            <w:r w:rsidRPr="003C510B">
              <w:rPr>
                <w:rFonts w:eastAsia="Calibri" w:cs="Arial"/>
                <w:i/>
                <w:lang w:val="en-US"/>
              </w:rPr>
              <w:t>multivessel</w:t>
            </w:r>
            <w:proofErr w:type="spellEnd"/>
            <w:r w:rsidRPr="003C510B">
              <w:rPr>
                <w:rFonts w:eastAsia="Calibri" w:cs="Arial"/>
                <w:i/>
                <w:lang w:val="en-US"/>
              </w:rPr>
              <w:t xml:space="preserve"> disease, left main lesions, bifurcation lesions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Untreated high degree atrioventricular block or right bundle branch block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b/>
              </w:rPr>
            </w:pPr>
            <w:proofErr w:type="spellStart"/>
            <w:r w:rsidRPr="003C510B">
              <w:rPr>
                <w:rFonts w:eastAsia="Calibri" w:cs="Arial"/>
                <w:b/>
              </w:rPr>
              <w:t>Other</w:t>
            </w:r>
            <w:proofErr w:type="spellEnd"/>
            <w:r w:rsidRPr="003C510B">
              <w:rPr>
                <w:rFonts w:eastAsia="Calibri" w:cs="Arial"/>
                <w:b/>
              </w:rPr>
              <w:t xml:space="preserve"> </w:t>
            </w:r>
            <w:proofErr w:type="spellStart"/>
            <w:r w:rsidRPr="003C510B">
              <w:rPr>
                <w:rFonts w:eastAsia="Calibri" w:cs="Arial"/>
                <w:b/>
              </w:rPr>
              <w:t>comorbidities</w:t>
            </w:r>
            <w:proofErr w:type="spellEnd"/>
            <w:r w:rsidRPr="003C510B">
              <w:rPr>
                <w:rFonts w:eastAsia="Calibri" w:cs="Arial"/>
                <w:b/>
              </w:rPr>
              <w:t>/</w:t>
            </w:r>
            <w:proofErr w:type="spellStart"/>
            <w:r w:rsidRPr="003C510B">
              <w:rPr>
                <w:rFonts w:eastAsia="Calibri" w:cs="Arial"/>
                <w:b/>
              </w:rPr>
              <w:t>conditions</w:t>
            </w:r>
            <w:proofErr w:type="spellEnd"/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Body Mass Index &gt; 35 kg/m</w:t>
            </w:r>
            <w:r w:rsidRPr="003C510B">
              <w:rPr>
                <w:rFonts w:eastAsia="Calibri" w:cs="Arial"/>
                <w:vertAlign w:val="superscript"/>
                <w:lang w:val="en-US"/>
              </w:rPr>
              <w:t>2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</w:rPr>
            </w:pPr>
            <w:proofErr w:type="spellStart"/>
            <w:r w:rsidRPr="003C510B">
              <w:rPr>
                <w:rFonts w:eastAsia="Calibri" w:cs="Arial"/>
              </w:rPr>
              <w:t>Pregnancy</w:t>
            </w:r>
            <w:proofErr w:type="spellEnd"/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Chronic Obstructive Pulmonary Disease class &gt; II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Chronic kidney dysfunction (</w:t>
            </w:r>
            <w:proofErr w:type="spellStart"/>
            <w:r w:rsidRPr="003C510B">
              <w:rPr>
                <w:rFonts w:eastAsia="Calibri" w:cs="Arial"/>
                <w:lang w:val="en-US"/>
              </w:rPr>
              <w:t>eGFR</w:t>
            </w:r>
            <w:proofErr w:type="spellEnd"/>
            <w:r w:rsidRPr="003C510B">
              <w:rPr>
                <w:rFonts w:eastAsia="Calibri" w:cs="Arial"/>
                <w:lang w:val="en-US"/>
              </w:rPr>
              <w:t xml:space="preserve"> &lt; 35ml/min)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Frailty per multi-disciplinary heart team evaluation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Walking aid dependent for mobilization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Inappropriate social support and/or familial care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234C78">
            <w:pPr>
              <w:rPr>
                <w:rFonts w:eastAsia="Calibri" w:cs="Arial"/>
                <w:b/>
              </w:rPr>
            </w:pPr>
            <w:r w:rsidRPr="003C510B">
              <w:rPr>
                <w:rFonts w:eastAsia="Calibri" w:cs="Arial"/>
                <w:b/>
              </w:rPr>
              <w:t>TAV</w:t>
            </w:r>
            <w:r w:rsidR="00234C78">
              <w:rPr>
                <w:rFonts w:eastAsia="Calibri" w:cs="Arial"/>
                <w:b/>
              </w:rPr>
              <w:t>I</w:t>
            </w:r>
            <w:bookmarkStart w:id="0" w:name="_GoBack"/>
            <w:bookmarkEnd w:id="0"/>
            <w:r w:rsidRPr="003C510B">
              <w:rPr>
                <w:rFonts w:eastAsia="Calibri" w:cs="Arial"/>
                <w:b/>
              </w:rPr>
              <w:t xml:space="preserve"> </w:t>
            </w:r>
            <w:proofErr w:type="spellStart"/>
            <w:r w:rsidRPr="003C510B">
              <w:rPr>
                <w:rFonts w:eastAsia="Calibri" w:cs="Arial"/>
                <w:b/>
              </w:rPr>
              <w:t>strategy</w:t>
            </w:r>
            <w:proofErr w:type="spellEnd"/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i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Severe peripheral artery disease (History)</w:t>
            </w:r>
            <w:r w:rsidRPr="003C510B">
              <w:rPr>
                <w:rFonts w:eastAsia="Calibri" w:cs="Arial"/>
                <w:lang w:val="en-US"/>
              </w:rPr>
              <w:br/>
            </w:r>
            <w:r w:rsidRPr="003C510B">
              <w:rPr>
                <w:rFonts w:eastAsia="Calibri" w:cs="Arial"/>
                <w:i/>
                <w:lang w:val="en-US"/>
              </w:rPr>
              <w:t xml:space="preserve">defined as: claudication within &lt;200m, previous </w:t>
            </w:r>
            <w:proofErr w:type="spellStart"/>
            <w:r w:rsidRPr="003C510B">
              <w:rPr>
                <w:rFonts w:eastAsia="Calibri" w:cs="Arial"/>
                <w:i/>
                <w:lang w:val="en-US"/>
              </w:rPr>
              <w:t>thromboendarterectomy</w:t>
            </w:r>
            <w:proofErr w:type="spellEnd"/>
            <w:r w:rsidRPr="003C510B">
              <w:rPr>
                <w:rFonts w:eastAsia="Calibri" w:cs="Arial"/>
                <w:i/>
                <w:lang w:val="en-US"/>
              </w:rPr>
              <w:t xml:space="preserve">, plastic patch in situ of common femoral artery, </w:t>
            </w:r>
            <w:proofErr w:type="spellStart"/>
            <w:r w:rsidRPr="003C510B">
              <w:rPr>
                <w:rFonts w:eastAsia="Calibri" w:cs="Arial"/>
                <w:i/>
                <w:lang w:val="en-US"/>
              </w:rPr>
              <w:t>uni</w:t>
            </w:r>
            <w:proofErr w:type="spellEnd"/>
            <w:r w:rsidRPr="003C510B">
              <w:rPr>
                <w:rFonts w:eastAsia="Calibri" w:cs="Arial"/>
                <w:i/>
                <w:lang w:val="en-US"/>
              </w:rPr>
              <w:t>-/bilateral lower extremity amputation</w:t>
            </w:r>
          </w:p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Severe peripheral artery disease (Computed Tomography)</w:t>
            </w:r>
          </w:p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i/>
                <w:lang w:val="en-US"/>
              </w:rPr>
              <w:t>defined as: protrusion of calcium into the arterial lumen and/or circumferential distribution at the level of intended access site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</w:rPr>
            </w:pPr>
            <w:r w:rsidRPr="003C510B">
              <w:rPr>
                <w:rFonts w:eastAsia="Calibri" w:cs="Arial"/>
              </w:rPr>
              <w:t>Non-</w:t>
            </w:r>
            <w:proofErr w:type="spellStart"/>
            <w:r w:rsidRPr="003C510B">
              <w:rPr>
                <w:rFonts w:eastAsia="Calibri" w:cs="Arial"/>
              </w:rPr>
              <w:t>transfemoral</w:t>
            </w:r>
            <w:proofErr w:type="spellEnd"/>
            <w:r w:rsidRPr="003C510B">
              <w:rPr>
                <w:rFonts w:eastAsia="Calibri" w:cs="Arial"/>
              </w:rPr>
              <w:t xml:space="preserve"> access TAV</w:t>
            </w:r>
            <w:r w:rsidR="00234C78">
              <w:rPr>
                <w:rFonts w:eastAsia="Calibri" w:cs="Arial"/>
              </w:rPr>
              <w:t>I</w:t>
            </w:r>
          </w:p>
        </w:tc>
      </w:tr>
      <w:tr w:rsidR="0065021A" w:rsidRPr="00056A8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</w:rPr>
            </w:pPr>
            <w:r w:rsidRPr="003C510B">
              <w:rPr>
                <w:rFonts w:eastAsia="Calibri" w:cs="Arial"/>
                <w:b/>
              </w:rPr>
              <w:t>Follow-up</w:t>
            </w:r>
          </w:p>
        </w:tc>
      </w:tr>
      <w:tr w:rsidR="0065021A" w:rsidRPr="00234C78" w:rsidTr="003C1889">
        <w:trPr>
          <w:trHeight w:val="17"/>
        </w:trPr>
        <w:tc>
          <w:tcPr>
            <w:tcW w:w="9468" w:type="dxa"/>
            <w:shd w:val="clear" w:color="auto" w:fill="FFFFFF" w:themeFill="background1"/>
          </w:tcPr>
          <w:p w:rsidR="0065021A" w:rsidRPr="003C510B" w:rsidRDefault="0065021A" w:rsidP="003C1889">
            <w:pPr>
              <w:rPr>
                <w:rFonts w:eastAsia="Calibri" w:cs="Arial"/>
                <w:lang w:val="en-US"/>
              </w:rPr>
            </w:pPr>
            <w:r w:rsidRPr="003C510B">
              <w:rPr>
                <w:rFonts w:eastAsia="Calibri" w:cs="Arial"/>
                <w:lang w:val="en-US"/>
              </w:rPr>
              <w:t>Inability to adhere to planned follow-up of one year</w:t>
            </w:r>
          </w:p>
        </w:tc>
      </w:tr>
    </w:tbl>
    <w:p w:rsidR="0065021A" w:rsidRDefault="0065021A" w:rsidP="0065021A">
      <w:pPr>
        <w:tabs>
          <w:tab w:val="left" w:pos="1515"/>
        </w:tabs>
        <w:rPr>
          <w:b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19"/>
        <w:gridCol w:w="2520"/>
        <w:gridCol w:w="2094"/>
        <w:gridCol w:w="1829"/>
      </w:tblGrid>
      <w:tr w:rsidR="0065021A" w:rsidRPr="00234C78" w:rsidTr="003C1889">
        <w:tc>
          <w:tcPr>
            <w:tcW w:w="2619" w:type="dxa"/>
          </w:tcPr>
          <w:p w:rsidR="0065021A" w:rsidRPr="003863EE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 xml:space="preserve">S2 - </w:t>
            </w:r>
            <w:r w:rsidRPr="003863EE">
              <w:rPr>
                <w:b/>
                <w:lang w:val="en-US"/>
              </w:rPr>
              <w:t>Geography</w:t>
            </w:r>
          </w:p>
        </w:tc>
        <w:tc>
          <w:tcPr>
            <w:tcW w:w="2520" w:type="dxa"/>
          </w:tcPr>
          <w:p w:rsidR="0065021A" w:rsidRPr="003863EE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3863EE">
              <w:rPr>
                <w:b/>
                <w:lang w:val="en-US"/>
              </w:rPr>
              <w:t>Early discharge (%)</w:t>
            </w:r>
          </w:p>
        </w:tc>
        <w:tc>
          <w:tcPr>
            <w:tcW w:w="2094" w:type="dxa"/>
          </w:tcPr>
          <w:p w:rsidR="0065021A" w:rsidRPr="003863EE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Composite of death and all-cause </w:t>
            </w:r>
            <w:proofErr w:type="spellStart"/>
            <w:r>
              <w:rPr>
                <w:b/>
                <w:lang w:val="en-US"/>
              </w:rPr>
              <w:t>rehospitalization</w:t>
            </w:r>
            <w:proofErr w:type="spellEnd"/>
            <w:r>
              <w:rPr>
                <w:b/>
                <w:lang w:val="en-US"/>
              </w:rPr>
              <w:t xml:space="preserve"> at 30 days (%)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t>Median KCCQ OSS change at 30 days [25</w:t>
            </w:r>
            <w:r w:rsidRPr="00954279"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>-75</w:t>
            </w:r>
            <w:r w:rsidRPr="00954279">
              <w:rPr>
                <w:b/>
                <w:vertAlign w:val="superscript"/>
                <w:lang w:val="en-US"/>
              </w:rPr>
              <w:t>th</w:t>
            </w:r>
            <w:r>
              <w:rPr>
                <w:b/>
                <w:lang w:val="en-US"/>
              </w:rPr>
              <w:t xml:space="preserve"> percentile]</w:t>
            </w:r>
          </w:p>
        </w:tc>
      </w:tr>
      <w:tr w:rsidR="0065021A" w:rsidTr="003C1889">
        <w:tc>
          <w:tcPr>
            <w:tcW w:w="261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Netherlands</w:t>
            </w:r>
          </w:p>
        </w:tc>
        <w:tc>
          <w:tcPr>
            <w:tcW w:w="25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77/130 (59)</w:t>
            </w:r>
          </w:p>
        </w:tc>
        <w:tc>
          <w:tcPr>
            <w:tcW w:w="209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8/130 (6)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13 [2-27]</w:t>
            </w:r>
          </w:p>
        </w:tc>
      </w:tr>
      <w:tr w:rsidR="0065021A" w:rsidTr="003C1889">
        <w:tc>
          <w:tcPr>
            <w:tcW w:w="261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Belgium</w:t>
            </w:r>
          </w:p>
        </w:tc>
        <w:tc>
          <w:tcPr>
            <w:tcW w:w="25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33/51 (65)</w:t>
            </w:r>
          </w:p>
        </w:tc>
        <w:tc>
          <w:tcPr>
            <w:tcW w:w="209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6/51 (12)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10 [0-27]</w:t>
            </w:r>
          </w:p>
        </w:tc>
      </w:tr>
      <w:tr w:rsidR="0065021A" w:rsidTr="003C1889">
        <w:tc>
          <w:tcPr>
            <w:tcW w:w="261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Canada</w:t>
            </w:r>
          </w:p>
        </w:tc>
        <w:tc>
          <w:tcPr>
            <w:tcW w:w="25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34/39 (87)</w:t>
            </w:r>
          </w:p>
        </w:tc>
        <w:tc>
          <w:tcPr>
            <w:tcW w:w="209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4/39 (10)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 [-1-20]</w:t>
            </w:r>
          </w:p>
        </w:tc>
      </w:tr>
      <w:tr w:rsidR="0065021A" w:rsidTr="003C1889">
        <w:tc>
          <w:tcPr>
            <w:tcW w:w="261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United Kingdom</w:t>
            </w:r>
          </w:p>
        </w:tc>
        <w:tc>
          <w:tcPr>
            <w:tcW w:w="25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29/32 (91)</w:t>
            </w:r>
          </w:p>
        </w:tc>
        <w:tc>
          <w:tcPr>
            <w:tcW w:w="209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2/31 (6)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21 [7-40]</w:t>
            </w:r>
          </w:p>
        </w:tc>
      </w:tr>
      <w:tr w:rsidR="0065021A" w:rsidTr="003C1889">
        <w:tc>
          <w:tcPr>
            <w:tcW w:w="2619" w:type="dxa"/>
          </w:tcPr>
          <w:p w:rsidR="0065021A" w:rsidRPr="00954279" w:rsidRDefault="0065021A" w:rsidP="003C1889">
            <w:pPr>
              <w:tabs>
                <w:tab w:val="left" w:pos="1515"/>
              </w:tabs>
              <w:rPr>
                <w:i/>
                <w:lang w:val="en-US"/>
              </w:rPr>
            </w:pPr>
            <w:r w:rsidRPr="00954279">
              <w:rPr>
                <w:i/>
                <w:lang w:val="en-US"/>
              </w:rPr>
              <w:t>p-value</w:t>
            </w:r>
          </w:p>
        </w:tc>
        <w:tc>
          <w:tcPr>
            <w:tcW w:w="25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&lt;0.01</w:t>
            </w:r>
          </w:p>
        </w:tc>
        <w:tc>
          <w:tcPr>
            <w:tcW w:w="209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0.58</w:t>
            </w:r>
          </w:p>
        </w:tc>
        <w:tc>
          <w:tcPr>
            <w:tcW w:w="1829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</w:tr>
    </w:tbl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20"/>
        <w:gridCol w:w="1155"/>
        <w:gridCol w:w="1155"/>
        <w:gridCol w:w="917"/>
        <w:gridCol w:w="1214"/>
        <w:gridCol w:w="1214"/>
        <w:gridCol w:w="987"/>
      </w:tblGrid>
      <w:tr w:rsidR="0065021A" w:rsidRPr="000718DF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S3. </w:t>
            </w:r>
            <w:r w:rsidRPr="003C0F99">
              <w:rPr>
                <w:b/>
                <w:lang w:val="en-US"/>
              </w:rPr>
              <w:t>Secondary outcomes</w:t>
            </w:r>
            <w:r>
              <w:rPr>
                <w:b/>
                <w:lang w:val="en-US"/>
              </w:rPr>
              <w:t xml:space="preserve"> at 30 days</w:t>
            </w:r>
          </w:p>
        </w:tc>
        <w:tc>
          <w:tcPr>
            <w:tcW w:w="3227" w:type="dxa"/>
            <w:gridSpan w:val="3"/>
            <w:tcBorders>
              <w:right w:val="single" w:sz="4" w:space="0" w:color="auto"/>
            </w:tcBorders>
          </w:tcPr>
          <w:p w:rsidR="0065021A" w:rsidRPr="0065021A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65021A">
              <w:rPr>
                <w:b/>
                <w:lang w:val="en-US"/>
              </w:rPr>
              <w:t>Prior to landmark</w:t>
            </w:r>
            <w:r>
              <w:rPr>
                <w:b/>
                <w:lang w:val="en-US"/>
              </w:rPr>
              <w:t xml:space="preserve"> – 48hrs</w:t>
            </w:r>
          </w:p>
        </w:tc>
        <w:tc>
          <w:tcPr>
            <w:tcW w:w="3415" w:type="dxa"/>
            <w:gridSpan w:val="3"/>
            <w:tcBorders>
              <w:left w:val="single" w:sz="4" w:space="0" w:color="auto"/>
            </w:tcBorders>
          </w:tcPr>
          <w:p w:rsidR="0065021A" w:rsidRPr="0065021A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65021A">
              <w:rPr>
                <w:b/>
                <w:lang w:val="en-US"/>
              </w:rPr>
              <w:t>After landmark</w:t>
            </w:r>
            <w:r>
              <w:rPr>
                <w:b/>
                <w:lang w:val="en-US"/>
              </w:rPr>
              <w:t xml:space="preserve"> – 48hrs</w:t>
            </w:r>
          </w:p>
        </w:tc>
      </w:tr>
      <w:tr w:rsidR="0065021A" w:rsidRPr="000718DF" w:rsidTr="003C1889">
        <w:tc>
          <w:tcPr>
            <w:tcW w:w="2420" w:type="dxa"/>
          </w:tcPr>
          <w:p w:rsidR="0065021A" w:rsidRPr="003C0F99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Early discharge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n=173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No early discharge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n=79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Pr="000718DF" w:rsidRDefault="0065021A" w:rsidP="003C1889">
            <w:pPr>
              <w:tabs>
                <w:tab w:val="left" w:pos="1515"/>
              </w:tabs>
              <w:rPr>
                <w:i/>
                <w:lang w:val="en-US"/>
              </w:rPr>
            </w:pPr>
            <w:r w:rsidRPr="000718DF">
              <w:rPr>
                <w:i/>
                <w:lang w:val="en-US"/>
              </w:rPr>
              <w:t>p-value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Early discharge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n=172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No early discharge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n=78</w:t>
            </w:r>
          </w:p>
        </w:tc>
        <w:tc>
          <w:tcPr>
            <w:tcW w:w="987" w:type="dxa"/>
          </w:tcPr>
          <w:p w:rsidR="0065021A" w:rsidRPr="000718DF" w:rsidRDefault="0065021A" w:rsidP="003C1889">
            <w:pPr>
              <w:tabs>
                <w:tab w:val="left" w:pos="1515"/>
              </w:tabs>
              <w:rPr>
                <w:i/>
                <w:lang w:val="en-US"/>
              </w:rPr>
            </w:pPr>
            <w:r w:rsidRPr="000718DF">
              <w:rPr>
                <w:i/>
                <w:lang w:val="en-US"/>
              </w:rPr>
              <w:t>p-value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All-cause death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Cardiovascular death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Stroke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(3)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0.53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VARC 2-4 bleeding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6 (8)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&lt;0.01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(1)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AKI stage 3-4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Major vascular*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(1)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 (6)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 (4)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Major access related 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0.32</w:t>
            </w:r>
          </w:p>
        </w:tc>
      </w:tr>
      <w:tr w:rsidR="0065021A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Major cardiac structural 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(3)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5021A" w:rsidTr="003C1889">
        <w:tc>
          <w:tcPr>
            <w:tcW w:w="2420" w:type="dxa"/>
          </w:tcPr>
          <w:p w:rsidR="0065021A" w:rsidRDefault="00F91286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New PPI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 (5)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 (2)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(3)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0.65</w:t>
            </w:r>
          </w:p>
        </w:tc>
      </w:tr>
      <w:tr w:rsidR="0065021A" w:rsidRPr="004E2330" w:rsidTr="003C1889">
        <w:tc>
          <w:tcPr>
            <w:tcW w:w="2420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lang w:val="en-US"/>
              </w:rPr>
              <w:t>Surgery or intervention related to THV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5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 (3)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1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8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65021A" w:rsidRDefault="0065021A" w:rsidP="0065021A">
      <w:pPr>
        <w:tabs>
          <w:tab w:val="left" w:pos="1515"/>
        </w:tabs>
        <w:rPr>
          <w:lang w:val="en-US"/>
        </w:rPr>
      </w:pPr>
      <w:r>
        <w:rPr>
          <w:lang w:val="en-US"/>
        </w:rPr>
        <w:t>Values are numbers with (%). *One patient had 2 major vascular events, one before landmark, one after landmark. Therefore, here a total of 11 major vascular events are reported whereas 10 are reported at 30 days.</w:t>
      </w: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93"/>
        <w:gridCol w:w="1786"/>
        <w:gridCol w:w="1288"/>
        <w:gridCol w:w="1310"/>
        <w:gridCol w:w="1185"/>
      </w:tblGrid>
      <w:tr w:rsidR="0065021A" w:rsidRPr="00DF1AC3" w:rsidTr="003C1889">
        <w:tc>
          <w:tcPr>
            <w:tcW w:w="3493" w:type="dxa"/>
          </w:tcPr>
          <w:p w:rsidR="0065021A" w:rsidRPr="003C0F99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 xml:space="preserve">S4 - </w:t>
            </w:r>
            <w:r w:rsidRPr="003C0F99">
              <w:rPr>
                <w:b/>
                <w:lang w:val="en-US"/>
              </w:rPr>
              <w:t>Prosthetic valve performance</w:t>
            </w:r>
            <w:r>
              <w:rPr>
                <w:b/>
                <w:lang w:val="en-US"/>
              </w:rPr>
              <w:t xml:space="preserve"> on echocardiography</w:t>
            </w:r>
          </w:p>
        </w:tc>
        <w:tc>
          <w:tcPr>
            <w:tcW w:w="1786" w:type="dxa"/>
          </w:tcPr>
          <w:p w:rsidR="0065021A" w:rsidRPr="00951B34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951B34">
              <w:rPr>
                <w:b/>
                <w:lang w:val="en-US"/>
              </w:rPr>
              <w:t xml:space="preserve">Overall </w:t>
            </w:r>
          </w:p>
        </w:tc>
        <w:tc>
          <w:tcPr>
            <w:tcW w:w="1288" w:type="dxa"/>
          </w:tcPr>
          <w:p w:rsidR="0065021A" w:rsidRPr="00951B34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951B34">
              <w:rPr>
                <w:b/>
                <w:lang w:val="en-US"/>
              </w:rPr>
              <w:t>Early discharge</w:t>
            </w:r>
          </w:p>
        </w:tc>
        <w:tc>
          <w:tcPr>
            <w:tcW w:w="1310" w:type="dxa"/>
          </w:tcPr>
          <w:p w:rsidR="0065021A" w:rsidRPr="00951B34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951B34">
              <w:rPr>
                <w:b/>
                <w:lang w:val="en-US"/>
              </w:rPr>
              <w:t>No early discharge</w:t>
            </w:r>
          </w:p>
        </w:tc>
        <w:tc>
          <w:tcPr>
            <w:tcW w:w="1185" w:type="dxa"/>
          </w:tcPr>
          <w:p w:rsidR="0065021A" w:rsidRPr="00951B34" w:rsidRDefault="0065021A" w:rsidP="003C1889">
            <w:pPr>
              <w:tabs>
                <w:tab w:val="left" w:pos="1515"/>
              </w:tabs>
              <w:rPr>
                <w:i/>
                <w:lang w:val="en-US"/>
              </w:rPr>
            </w:pPr>
            <w:r w:rsidRPr="00951B34">
              <w:rPr>
                <w:i/>
                <w:lang w:val="en-US"/>
              </w:rPr>
              <w:t>p-value</w:t>
            </w:r>
          </w:p>
        </w:tc>
      </w:tr>
      <w:tr w:rsidR="0065021A" w:rsidTr="003C1889">
        <w:tc>
          <w:tcPr>
            <w:tcW w:w="3493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Peak gradient (n=226)</w:t>
            </w:r>
          </w:p>
        </w:tc>
        <w:tc>
          <w:tcPr>
            <w:tcW w:w="1786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16 [12-22]</w:t>
            </w:r>
          </w:p>
        </w:tc>
        <w:tc>
          <w:tcPr>
            <w:tcW w:w="1288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16 [12-22]</w:t>
            </w:r>
          </w:p>
        </w:tc>
        <w:tc>
          <w:tcPr>
            <w:tcW w:w="131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16 [12-23]</w:t>
            </w:r>
          </w:p>
        </w:tc>
        <w:tc>
          <w:tcPr>
            <w:tcW w:w="118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0.73</w:t>
            </w:r>
          </w:p>
        </w:tc>
      </w:tr>
      <w:tr w:rsidR="0065021A" w:rsidTr="003C1889">
        <w:tc>
          <w:tcPr>
            <w:tcW w:w="3493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Mean gradient (n=221)</w:t>
            </w:r>
          </w:p>
        </w:tc>
        <w:tc>
          <w:tcPr>
            <w:tcW w:w="1786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8 [6-12]</w:t>
            </w:r>
          </w:p>
        </w:tc>
        <w:tc>
          <w:tcPr>
            <w:tcW w:w="1288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8 [5-11]</w:t>
            </w:r>
          </w:p>
        </w:tc>
        <w:tc>
          <w:tcPr>
            <w:tcW w:w="131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9 [6-12]</w:t>
            </w:r>
          </w:p>
        </w:tc>
        <w:tc>
          <w:tcPr>
            <w:tcW w:w="118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</w:tr>
      <w:tr w:rsidR="0065021A" w:rsidTr="003C1889">
        <w:tc>
          <w:tcPr>
            <w:tcW w:w="3493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Aortic valve area (n=149)</w:t>
            </w:r>
          </w:p>
        </w:tc>
        <w:tc>
          <w:tcPr>
            <w:tcW w:w="1786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rFonts w:cs="Arial"/>
                <w:lang w:val="en-US"/>
              </w:rPr>
              <w:t>2.0 ± 0.6</w:t>
            </w:r>
          </w:p>
        </w:tc>
        <w:tc>
          <w:tcPr>
            <w:tcW w:w="1288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2.0 ± 0.5</w:t>
            </w:r>
          </w:p>
        </w:tc>
        <w:tc>
          <w:tcPr>
            <w:tcW w:w="1310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2.1 ± 0.6</w:t>
            </w:r>
          </w:p>
        </w:tc>
        <w:tc>
          <w:tcPr>
            <w:tcW w:w="1185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0.35</w:t>
            </w:r>
          </w:p>
        </w:tc>
      </w:tr>
      <w:tr w:rsidR="0065021A" w:rsidTr="003C1889">
        <w:tc>
          <w:tcPr>
            <w:tcW w:w="3493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Aortic regurgitation (of n=235)</w:t>
            </w:r>
          </w:p>
          <w:p w:rsidR="0065021A" w:rsidRDefault="0065021A" w:rsidP="0065021A">
            <w:pPr>
              <w:pStyle w:val="Lijstalinea"/>
              <w:numPr>
                <w:ilvl w:val="0"/>
                <w:numId w:val="1"/>
              </w:num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&lt;mild</w:t>
            </w:r>
          </w:p>
          <w:p w:rsidR="0065021A" w:rsidRDefault="0065021A" w:rsidP="0065021A">
            <w:pPr>
              <w:pStyle w:val="Lijstalinea"/>
              <w:numPr>
                <w:ilvl w:val="0"/>
                <w:numId w:val="1"/>
              </w:num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mild</w:t>
            </w:r>
          </w:p>
          <w:p w:rsidR="0065021A" w:rsidRDefault="0065021A" w:rsidP="0065021A">
            <w:pPr>
              <w:pStyle w:val="Lijstalinea"/>
              <w:numPr>
                <w:ilvl w:val="0"/>
                <w:numId w:val="1"/>
              </w:num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moderate</w:t>
            </w:r>
          </w:p>
          <w:p w:rsidR="0065021A" w:rsidRPr="003C0F99" w:rsidRDefault="0065021A" w:rsidP="0065021A">
            <w:pPr>
              <w:pStyle w:val="Lijstalinea"/>
              <w:numPr>
                <w:ilvl w:val="0"/>
                <w:numId w:val="1"/>
              </w:num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severe</w:t>
            </w:r>
          </w:p>
        </w:tc>
        <w:tc>
          <w:tcPr>
            <w:tcW w:w="1786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br/>
              <w:t>120 (51)</w:t>
            </w:r>
            <w:r>
              <w:rPr>
                <w:lang w:val="en-US"/>
              </w:rPr>
              <w:br/>
              <w:t>108 (46)</w:t>
            </w:r>
            <w:r>
              <w:rPr>
                <w:lang w:val="en-US"/>
              </w:rPr>
              <w:br/>
              <w:t>7 (3)</w:t>
            </w:r>
            <w:r>
              <w:rPr>
                <w:lang w:val="en-US"/>
              </w:rPr>
              <w:br/>
              <w:t>-</w:t>
            </w:r>
          </w:p>
        </w:tc>
        <w:tc>
          <w:tcPr>
            <w:tcW w:w="1288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80 (51)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71 (45)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6 (4)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310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40 (51)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37 (47)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8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</w:tr>
    </w:tbl>
    <w:p w:rsidR="0065021A" w:rsidRDefault="0065021A" w:rsidP="0065021A">
      <w:pPr>
        <w:spacing w:line="360" w:lineRule="auto"/>
        <w:rPr>
          <w:lang w:val="en-US"/>
        </w:rPr>
      </w:pPr>
      <w:r w:rsidRPr="00580888">
        <w:rPr>
          <w:lang w:val="en-US"/>
        </w:rPr>
        <w:t xml:space="preserve">Values are numbers with (%), means ±SD or medians with [25th-75th percentile]. </w:t>
      </w:r>
      <w:r>
        <w:rPr>
          <w:lang w:val="en-US"/>
        </w:rPr>
        <w:t>Echocardiograms were o</w:t>
      </w:r>
      <w:r w:rsidR="00F91286">
        <w:rPr>
          <w:lang w:val="en-US"/>
        </w:rPr>
        <w:t>btained within 30-days post TAV</w:t>
      </w:r>
      <w:r w:rsidR="00234C78">
        <w:rPr>
          <w:lang w:val="en-US"/>
        </w:rPr>
        <w:t>I</w:t>
      </w:r>
      <w:r>
        <w:rPr>
          <w:lang w:val="en-US"/>
        </w:rPr>
        <w:t xml:space="preserve">. Number of patients with data available were 226, 221, 149 and 235 for peak gradient, mean gradient, aortic valve area and aortic regurgitation respectively. </w:t>
      </w: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spacing w:line="360" w:lineRule="auto"/>
        <w:rPr>
          <w:lang w:val="en-US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089"/>
        <w:gridCol w:w="2048"/>
        <w:gridCol w:w="2048"/>
        <w:gridCol w:w="1165"/>
      </w:tblGrid>
      <w:tr w:rsidR="0065021A" w:rsidTr="003C1889">
        <w:tc>
          <w:tcPr>
            <w:tcW w:w="2187" w:type="pct"/>
          </w:tcPr>
          <w:p w:rsidR="0065021A" w:rsidRPr="00452F02" w:rsidRDefault="0065021A" w:rsidP="003C1889">
            <w:pPr>
              <w:rPr>
                <w:b/>
                <w:lang w:val="en-US"/>
              </w:rPr>
            </w:pPr>
            <w:r w:rsidRPr="00452F02">
              <w:rPr>
                <w:b/>
                <w:lang w:val="en-US"/>
              </w:rPr>
              <w:lastRenderedPageBreak/>
              <w:t>S</w:t>
            </w:r>
            <w:r>
              <w:rPr>
                <w:b/>
                <w:lang w:val="en-US"/>
              </w:rPr>
              <w:t>5</w:t>
            </w:r>
            <w:r w:rsidRPr="00452F02">
              <w:rPr>
                <w:b/>
                <w:lang w:val="en-US"/>
              </w:rPr>
              <w:t>. Quality of life scores of overall population</w:t>
            </w:r>
          </w:p>
        </w:tc>
        <w:tc>
          <w:tcPr>
            <w:tcW w:w="1095" w:type="pct"/>
          </w:tcPr>
          <w:p w:rsidR="0065021A" w:rsidRPr="000573FE" w:rsidRDefault="0065021A" w:rsidP="003C1889">
            <w:pPr>
              <w:rPr>
                <w:b/>
              </w:rPr>
            </w:pPr>
            <w:r w:rsidRPr="000573FE">
              <w:rPr>
                <w:b/>
              </w:rPr>
              <w:t>Baseline</w:t>
            </w:r>
          </w:p>
        </w:tc>
        <w:tc>
          <w:tcPr>
            <w:tcW w:w="1095" w:type="pct"/>
          </w:tcPr>
          <w:p w:rsidR="0065021A" w:rsidRPr="000573FE" w:rsidRDefault="0065021A" w:rsidP="003C1889">
            <w:pPr>
              <w:rPr>
                <w:b/>
              </w:rPr>
            </w:pPr>
            <w:r w:rsidRPr="000573FE">
              <w:rPr>
                <w:b/>
              </w:rPr>
              <w:t>30 Days</w:t>
            </w:r>
          </w:p>
        </w:tc>
        <w:tc>
          <w:tcPr>
            <w:tcW w:w="623" w:type="pct"/>
          </w:tcPr>
          <w:p w:rsidR="0065021A" w:rsidRPr="004456CE" w:rsidRDefault="0065021A" w:rsidP="003C1889">
            <w:r w:rsidRPr="004456CE">
              <w:t>P-</w:t>
            </w:r>
            <w:proofErr w:type="spellStart"/>
            <w:r w:rsidRPr="004456CE">
              <w:t>value</w:t>
            </w:r>
            <w:proofErr w:type="spellEnd"/>
          </w:p>
        </w:tc>
      </w:tr>
      <w:tr w:rsidR="0065021A" w:rsidRPr="003C4995" w:rsidTr="003C1889">
        <w:tc>
          <w:tcPr>
            <w:tcW w:w="2187" w:type="pct"/>
          </w:tcPr>
          <w:p w:rsidR="0065021A" w:rsidRDefault="0065021A" w:rsidP="003C1889">
            <w:pPr>
              <w:rPr>
                <w:lang w:val="en-US"/>
              </w:rPr>
            </w:pPr>
            <w:r w:rsidRPr="003C4995">
              <w:rPr>
                <w:lang w:val="en-US"/>
              </w:rPr>
              <w:t>EQ-5D-5L index score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Score difference</w:t>
            </w:r>
          </w:p>
        </w:tc>
        <w:tc>
          <w:tcPr>
            <w:tcW w:w="1095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0.83 [0.72-0.91]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0.88 [0.80-1.00]</w:t>
            </w:r>
            <w:r>
              <w:rPr>
                <w:lang w:val="en-US"/>
              </w:rPr>
              <w:br/>
              <w:t>0.04 [0-0.15]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65021A" w:rsidRPr="003C4995" w:rsidTr="003C1889">
        <w:tc>
          <w:tcPr>
            <w:tcW w:w="2187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EQ-5D-5L VAS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Score difference</w:t>
            </w:r>
          </w:p>
        </w:tc>
        <w:tc>
          <w:tcPr>
            <w:tcW w:w="1095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70 [60-80]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80 [70-85]</w:t>
            </w:r>
            <w:r>
              <w:rPr>
                <w:lang w:val="en-US"/>
              </w:rPr>
              <w:br/>
              <w:t>5 [-3-15]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65021A" w:rsidRPr="00E14C06" w:rsidTr="003C1889">
        <w:tc>
          <w:tcPr>
            <w:tcW w:w="2187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 xml:space="preserve">KCCQ Clinical summary score 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74 [60-88]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89 [78-96]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65021A" w:rsidRPr="00776529" w:rsidTr="003C1889">
        <w:tc>
          <w:tcPr>
            <w:tcW w:w="2187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Clinical summary score difference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Dead**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Worse (&lt;-5)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No change (-5 and &lt;5)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Mild improvement (5 and &lt;10)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Moderate improvement (10 and &lt;20)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Substantially improvement (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>20)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95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 [0-23]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 (1)</w:t>
            </w:r>
            <w:r>
              <w:rPr>
                <w:lang w:val="en-US"/>
              </w:rPr>
              <w:br/>
              <w:t>29 (13)</w:t>
            </w:r>
            <w:r>
              <w:rPr>
                <w:lang w:val="en-US"/>
              </w:rPr>
              <w:br/>
              <w:t>63 (27)</w:t>
            </w:r>
            <w:r>
              <w:rPr>
                <w:lang w:val="en-US"/>
              </w:rPr>
              <w:br/>
              <w:t>33 (14)</w:t>
            </w:r>
            <w:r>
              <w:rPr>
                <w:lang w:val="en-US"/>
              </w:rPr>
              <w:br/>
              <w:t>40 (17)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br/>
              <w:t>65 (28)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</w:p>
        </w:tc>
      </w:tr>
      <w:tr w:rsidR="0065021A" w:rsidRPr="00776529" w:rsidTr="003C1889">
        <w:tc>
          <w:tcPr>
            <w:tcW w:w="2187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 xml:space="preserve">KCCQ Overall summary score </w:t>
            </w:r>
          </w:p>
        </w:tc>
        <w:tc>
          <w:tcPr>
            <w:tcW w:w="1095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66 [50-85]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87 [71-95]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65021A" w:rsidRPr="00F87297" w:rsidTr="003C1889">
        <w:tc>
          <w:tcPr>
            <w:tcW w:w="2187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Overall summary score difference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Dead**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Worse (&lt;-5)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No change (-5 and &lt;5)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Mild improvement (5 and &lt;10)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Moderate improvement (10 and &lt;20)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Substantially improvement (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>20</w:t>
            </w:r>
          </w:p>
        </w:tc>
        <w:tc>
          <w:tcPr>
            <w:tcW w:w="1095" w:type="pct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095" w:type="pct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12 [2-27]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 (1)</w:t>
            </w:r>
            <w:r>
              <w:rPr>
                <w:lang w:val="en-US"/>
              </w:rPr>
              <w:br/>
              <w:t>27 (11)</w:t>
            </w:r>
            <w:r>
              <w:rPr>
                <w:lang w:val="en-US"/>
              </w:rPr>
              <w:br/>
              <w:t>51 (22)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31 (13)</w:t>
            </w:r>
            <w:r>
              <w:rPr>
                <w:lang w:val="en-US"/>
              </w:rPr>
              <w:br/>
              <w:t>41 (18)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80 (35)</w:t>
            </w:r>
          </w:p>
        </w:tc>
        <w:tc>
          <w:tcPr>
            <w:tcW w:w="623" w:type="pct"/>
          </w:tcPr>
          <w:p w:rsidR="0065021A" w:rsidRDefault="0065021A" w:rsidP="003C1889">
            <w:pPr>
              <w:rPr>
                <w:lang w:val="en-US"/>
              </w:rPr>
            </w:pPr>
          </w:p>
        </w:tc>
      </w:tr>
    </w:tbl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  <w:r>
        <w:rPr>
          <w:lang w:val="en-US"/>
        </w:rPr>
        <w:t xml:space="preserve">Numbers are reported as </w:t>
      </w:r>
    </w:p>
    <w:p w:rsidR="0065021A" w:rsidRDefault="0065021A" w:rsidP="0065021A">
      <w:pPr>
        <w:rPr>
          <w:lang w:val="en-US"/>
        </w:rPr>
      </w:pPr>
      <w:r>
        <w:rPr>
          <w:lang w:val="en-US"/>
        </w:rPr>
        <w:t xml:space="preserve">EQ5DL-Index score: 100 = maximal health. </w:t>
      </w:r>
      <w:r w:rsidRPr="00102978">
        <w:rPr>
          <w:lang w:val="en-US"/>
        </w:rPr>
        <w:t>Baseline miss</w:t>
      </w:r>
      <w:r>
        <w:rPr>
          <w:lang w:val="en-US"/>
        </w:rPr>
        <w:t>ing:</w:t>
      </w:r>
      <w:r w:rsidRPr="00102978">
        <w:rPr>
          <w:lang w:val="en-US"/>
        </w:rPr>
        <w:t xml:space="preserve"> VAS (5), </w:t>
      </w:r>
      <w:r>
        <w:rPr>
          <w:lang w:val="en-US"/>
        </w:rPr>
        <w:t>EQ-5D-5L</w:t>
      </w:r>
      <w:r w:rsidRPr="00102978">
        <w:rPr>
          <w:lang w:val="en-US"/>
        </w:rPr>
        <w:t xml:space="preserve"> (4), KCCQ (3)</w:t>
      </w:r>
    </w:p>
    <w:p w:rsidR="0065021A" w:rsidRDefault="0065021A" w:rsidP="0065021A">
      <w:pPr>
        <w:rPr>
          <w:lang w:val="en-US"/>
        </w:rPr>
      </w:pPr>
      <w:r>
        <w:rPr>
          <w:lang w:val="en-US"/>
        </w:rPr>
        <w:t>30 Day missing: VAS (22), EQ-5D-5L</w:t>
      </w:r>
      <w:r w:rsidRPr="00102978">
        <w:rPr>
          <w:lang w:val="en-US"/>
        </w:rPr>
        <w:t xml:space="preserve"> </w:t>
      </w:r>
      <w:r>
        <w:rPr>
          <w:lang w:val="en-US"/>
        </w:rPr>
        <w:t>(20), KCCQ (19). **percentages are given of non-missing population. Of note, a change in 5 points is small but clinically important, 10-20 moderate to large (Spertus JACC 2020).</w:t>
      </w: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48"/>
        <w:gridCol w:w="1266"/>
        <w:gridCol w:w="1994"/>
        <w:gridCol w:w="1554"/>
      </w:tblGrid>
      <w:tr w:rsidR="0065021A" w:rsidRPr="004456CE" w:rsidTr="003C1889">
        <w:tc>
          <w:tcPr>
            <w:tcW w:w="4248" w:type="dxa"/>
          </w:tcPr>
          <w:p w:rsidR="0065021A" w:rsidRPr="00630417" w:rsidRDefault="0065021A" w:rsidP="003C188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S6</w:t>
            </w:r>
            <w:r w:rsidRPr="00630417">
              <w:rPr>
                <w:b/>
                <w:lang w:val="en-US"/>
              </w:rPr>
              <w:t xml:space="preserve">. </w:t>
            </w:r>
            <w:r w:rsidRPr="00452F02">
              <w:rPr>
                <w:b/>
                <w:lang w:val="en-US"/>
              </w:rPr>
              <w:t xml:space="preserve">Quality of life scores of </w:t>
            </w:r>
            <w:r>
              <w:rPr>
                <w:b/>
                <w:lang w:val="en-US"/>
              </w:rPr>
              <w:t>d</w:t>
            </w:r>
            <w:r w:rsidRPr="00630417">
              <w:rPr>
                <w:b/>
                <w:lang w:val="en-US"/>
              </w:rPr>
              <w:t>ischarge groups</w:t>
            </w:r>
            <w:r>
              <w:rPr>
                <w:b/>
                <w:lang w:val="en-US"/>
              </w:rPr>
              <w:t xml:space="preserve"> – differences at 30 days</w:t>
            </w:r>
          </w:p>
        </w:tc>
        <w:tc>
          <w:tcPr>
            <w:tcW w:w="1266" w:type="dxa"/>
          </w:tcPr>
          <w:p w:rsidR="0065021A" w:rsidRPr="000573FE" w:rsidRDefault="0065021A" w:rsidP="003C1889">
            <w:pPr>
              <w:rPr>
                <w:b/>
              </w:rPr>
            </w:pPr>
            <w:r w:rsidRPr="00951B34">
              <w:rPr>
                <w:b/>
                <w:lang w:val="en-US"/>
              </w:rPr>
              <w:t>Early discharge</w:t>
            </w:r>
          </w:p>
        </w:tc>
        <w:tc>
          <w:tcPr>
            <w:tcW w:w="1994" w:type="dxa"/>
          </w:tcPr>
          <w:p w:rsidR="0065021A" w:rsidRPr="000573FE" w:rsidRDefault="0065021A" w:rsidP="003C1889">
            <w:pPr>
              <w:rPr>
                <w:b/>
              </w:rPr>
            </w:pPr>
            <w:r w:rsidRPr="00951B34">
              <w:rPr>
                <w:b/>
                <w:lang w:val="en-US"/>
              </w:rPr>
              <w:t>No early discharge</w:t>
            </w:r>
          </w:p>
        </w:tc>
        <w:tc>
          <w:tcPr>
            <w:tcW w:w="1554" w:type="dxa"/>
          </w:tcPr>
          <w:p w:rsidR="0065021A" w:rsidRPr="00630417" w:rsidRDefault="0065021A" w:rsidP="003C1889">
            <w:pPr>
              <w:rPr>
                <w:i/>
              </w:rPr>
            </w:pPr>
            <w:r w:rsidRPr="00630417">
              <w:rPr>
                <w:i/>
              </w:rPr>
              <w:t>p-</w:t>
            </w:r>
            <w:proofErr w:type="spellStart"/>
            <w:r w:rsidRPr="00630417">
              <w:rPr>
                <w:i/>
              </w:rPr>
              <w:t>value</w:t>
            </w:r>
            <w:proofErr w:type="spellEnd"/>
          </w:p>
        </w:tc>
      </w:tr>
      <w:tr w:rsidR="0065021A" w:rsidTr="003C1889">
        <w:tc>
          <w:tcPr>
            <w:tcW w:w="4248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 w:rsidRPr="003C4995">
              <w:rPr>
                <w:lang w:val="en-US"/>
              </w:rPr>
              <w:t>EQ-5D-5L index score</w:t>
            </w:r>
            <w:r>
              <w:rPr>
                <w:lang w:val="en-US"/>
              </w:rPr>
              <w:t xml:space="preserve"> difference</w:t>
            </w:r>
          </w:p>
        </w:tc>
        <w:tc>
          <w:tcPr>
            <w:tcW w:w="1266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0.04 [0-0.15]</w:t>
            </w:r>
          </w:p>
        </w:tc>
        <w:tc>
          <w:tcPr>
            <w:tcW w:w="1994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0.03 [-0.06-0.14]</w:t>
            </w:r>
          </w:p>
        </w:tc>
        <w:tc>
          <w:tcPr>
            <w:tcW w:w="155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0.38</w:t>
            </w:r>
          </w:p>
        </w:tc>
      </w:tr>
      <w:tr w:rsidR="0065021A" w:rsidTr="003C1889">
        <w:tc>
          <w:tcPr>
            <w:tcW w:w="4248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EQ-5D-5L VAS difference</w:t>
            </w:r>
          </w:p>
        </w:tc>
        <w:tc>
          <w:tcPr>
            <w:tcW w:w="1266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5 [0-15]</w:t>
            </w:r>
          </w:p>
        </w:tc>
        <w:tc>
          <w:tcPr>
            <w:tcW w:w="1994" w:type="dxa"/>
          </w:tcPr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 [-5-10]</w:t>
            </w:r>
          </w:p>
        </w:tc>
        <w:tc>
          <w:tcPr>
            <w:tcW w:w="155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</w:tr>
      <w:tr w:rsidR="0065021A" w:rsidTr="003C1889">
        <w:tc>
          <w:tcPr>
            <w:tcW w:w="4248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KCCQ Clinical summary score (</w:t>
            </w:r>
            <w:proofErr w:type="spellStart"/>
            <w:r>
              <w:rPr>
                <w:lang w:val="en-US"/>
              </w:rPr>
              <w:t>Css</w:t>
            </w:r>
            <w:proofErr w:type="spellEnd"/>
            <w:r>
              <w:rPr>
                <w:lang w:val="en-US"/>
              </w:rPr>
              <w:t>) difference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Dead**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Worse (&lt;-5)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No change (-5 and &lt;5)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Mild improvement (5 and &lt;10)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Moderate improvement (10 and &lt;20)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Substantially improvement (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>20</w:t>
            </w:r>
          </w:p>
        </w:tc>
        <w:tc>
          <w:tcPr>
            <w:tcW w:w="1266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 [0-22]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20 (12)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44 (27)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22 (14)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33 (21)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41 (26)</w:t>
            </w:r>
          </w:p>
        </w:tc>
        <w:tc>
          <w:tcPr>
            <w:tcW w:w="199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8 [0-24]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9 (13)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19 (27)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11 (16)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7 (10)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24 (34)</w:t>
            </w:r>
          </w:p>
        </w:tc>
        <w:tc>
          <w:tcPr>
            <w:tcW w:w="155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0.42</w:t>
            </w:r>
          </w:p>
        </w:tc>
      </w:tr>
      <w:tr w:rsidR="0065021A" w:rsidTr="003C1889">
        <w:tc>
          <w:tcPr>
            <w:tcW w:w="4248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KCCQ Overall summary score (Oss) difference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Dead**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Worse (&lt;-5)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No change (-5 and &lt;5)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Mild improvement (5 and &lt;10)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Moderate improvement (10 and &lt;20)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Substantially improvement (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>20</w:t>
            </w:r>
          </w:p>
        </w:tc>
        <w:tc>
          <w:tcPr>
            <w:tcW w:w="1266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12 [2-28]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16 (10)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38 (24)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22 (14)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28 (17)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56 (35)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Pr="003C4995" w:rsidRDefault="0065021A" w:rsidP="003C1889">
            <w:pPr>
              <w:rPr>
                <w:lang w:val="en-US"/>
              </w:rPr>
            </w:pPr>
          </w:p>
        </w:tc>
        <w:tc>
          <w:tcPr>
            <w:tcW w:w="199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12 [1-26]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11 (16)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13 (18)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9 (13)</w:t>
            </w: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13 (18)</w:t>
            </w:r>
          </w:p>
          <w:p w:rsidR="0065021A" w:rsidRPr="003C4995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24 (34)</w:t>
            </w:r>
          </w:p>
        </w:tc>
        <w:tc>
          <w:tcPr>
            <w:tcW w:w="1554" w:type="dxa"/>
          </w:tcPr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0.57</w:t>
            </w: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</w:p>
          <w:p w:rsidR="0065021A" w:rsidRDefault="0065021A" w:rsidP="003C1889">
            <w:pPr>
              <w:rPr>
                <w:lang w:val="en-US"/>
              </w:rPr>
            </w:pPr>
            <w:r>
              <w:rPr>
                <w:lang w:val="en-US"/>
              </w:rPr>
              <w:t>0.80</w:t>
            </w:r>
          </w:p>
        </w:tc>
      </w:tr>
    </w:tbl>
    <w:p w:rsidR="0065021A" w:rsidRDefault="0065021A" w:rsidP="0065021A">
      <w:pPr>
        <w:spacing w:line="360" w:lineRule="auto"/>
        <w:rPr>
          <w:lang w:val="en-US"/>
        </w:rPr>
      </w:pPr>
      <w:r>
        <w:rPr>
          <w:lang w:val="en-US"/>
        </w:rPr>
        <w:t>Values are numbers with (%)</w:t>
      </w:r>
      <w:r w:rsidRPr="00580888">
        <w:rPr>
          <w:lang w:val="en-US"/>
        </w:rPr>
        <w:t xml:space="preserve"> or medians with [25th-75th percentile]. </w:t>
      </w:r>
      <w:r>
        <w:rPr>
          <w:lang w:val="en-US"/>
        </w:rPr>
        <w:t>*Percentages are given of non-missing population. VAS: visual analogue scale. KCCQ difference was missing in ED 13/173, no ED 9/79 (p=0.31). EQ5D difference was missing in ED 14/173, no ED 10/79 (p=0.25). EQ5D-VAS difference was missing in ED 17/173, no ED 10/79 (p=0.50).</w:t>
      </w:r>
    </w:p>
    <w:p w:rsidR="0065021A" w:rsidRPr="00102978" w:rsidRDefault="0065021A" w:rsidP="0065021A">
      <w:pPr>
        <w:rPr>
          <w:lang w:val="en-US"/>
        </w:rPr>
      </w:pPr>
    </w:p>
    <w:p w:rsidR="0065021A" w:rsidRDefault="0065021A" w:rsidP="0065021A">
      <w:pPr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p w:rsidR="0065021A" w:rsidRDefault="0065021A" w:rsidP="0065021A">
      <w:pPr>
        <w:tabs>
          <w:tab w:val="left" w:pos="1515"/>
        </w:tabs>
        <w:rPr>
          <w:lang w:val="en-US"/>
        </w:rPr>
      </w:pPr>
    </w:p>
    <w:tbl>
      <w:tblPr>
        <w:tblStyle w:val="Tabelraster"/>
        <w:tblW w:w="7983" w:type="dxa"/>
        <w:tblLook w:val="04A0" w:firstRow="1" w:lastRow="0" w:firstColumn="1" w:lastColumn="0" w:noHBand="0" w:noVBand="1"/>
      </w:tblPr>
      <w:tblGrid>
        <w:gridCol w:w="3124"/>
        <w:gridCol w:w="1517"/>
        <w:gridCol w:w="1517"/>
        <w:gridCol w:w="1825"/>
      </w:tblGrid>
      <w:tr w:rsidR="0065021A" w:rsidTr="003C1889">
        <w:tc>
          <w:tcPr>
            <w:tcW w:w="3124" w:type="dxa"/>
          </w:tcPr>
          <w:p w:rsidR="0065021A" w:rsidRPr="003C0F99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S7 - Clinical</w:t>
            </w:r>
            <w:r w:rsidRPr="003C0F99">
              <w:rPr>
                <w:b/>
                <w:lang w:val="en-US"/>
              </w:rPr>
              <w:t xml:space="preserve"> outcomes</w:t>
            </w:r>
            <w:r>
              <w:rPr>
                <w:b/>
                <w:lang w:val="en-US"/>
              </w:rPr>
              <w:t xml:space="preserve"> at 30 days by valve</w:t>
            </w:r>
          </w:p>
        </w:tc>
        <w:tc>
          <w:tcPr>
            <w:tcW w:w="1517" w:type="dxa"/>
          </w:tcPr>
          <w:p w:rsidR="0065021A" w:rsidRPr="00094771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094771">
              <w:rPr>
                <w:b/>
                <w:lang w:val="en-US"/>
              </w:rPr>
              <w:t>ACURATE NEO</w:t>
            </w:r>
          </w:p>
          <w:p w:rsidR="0065021A" w:rsidRPr="00094771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094771">
              <w:rPr>
                <w:b/>
                <w:lang w:val="en-US"/>
              </w:rPr>
              <w:t>(125)</w:t>
            </w:r>
          </w:p>
        </w:tc>
        <w:tc>
          <w:tcPr>
            <w:tcW w:w="1517" w:type="dxa"/>
          </w:tcPr>
          <w:p w:rsidR="0065021A" w:rsidRPr="00094771" w:rsidRDefault="0065021A" w:rsidP="003C1889">
            <w:pPr>
              <w:tabs>
                <w:tab w:val="left" w:pos="1515"/>
              </w:tabs>
              <w:rPr>
                <w:b/>
                <w:lang w:val="en-US"/>
              </w:rPr>
            </w:pPr>
            <w:r w:rsidRPr="00094771">
              <w:rPr>
                <w:b/>
                <w:lang w:val="en-US"/>
              </w:rPr>
              <w:t>ACURATE NEO 2</w:t>
            </w:r>
            <w:r w:rsidRPr="00094771">
              <w:rPr>
                <w:b/>
                <w:lang w:val="en-US"/>
              </w:rPr>
              <w:br/>
              <w:t>(120)*</w:t>
            </w:r>
          </w:p>
        </w:tc>
        <w:tc>
          <w:tcPr>
            <w:tcW w:w="1825" w:type="dxa"/>
          </w:tcPr>
          <w:p w:rsidR="0065021A" w:rsidRPr="00094771" w:rsidRDefault="0065021A" w:rsidP="003C1889">
            <w:pPr>
              <w:tabs>
                <w:tab w:val="left" w:pos="1515"/>
              </w:tabs>
              <w:rPr>
                <w:i/>
                <w:lang w:val="en-US"/>
              </w:rPr>
            </w:pPr>
            <w:r w:rsidRPr="00094771">
              <w:rPr>
                <w:i/>
                <w:lang w:val="en-US"/>
              </w:rPr>
              <w:t>p-value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All-cause death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Cardiovascular death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Stroke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 (3)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0.36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VARC 2-4 bleeding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7 (6)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AKI stage 3-4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Major vascular 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 (3)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 (4)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0.75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Major access related 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0.49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Major cardiac structural 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RPr="007A0991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Aortic regurgitation on TTE</w:t>
            </w:r>
            <w:r w:rsidRPr="007A0991">
              <w:rPr>
                <w:rFonts w:cs="Arial"/>
                <w:vertAlign w:val="superscript"/>
                <w:lang w:val="en-US"/>
              </w:rPr>
              <w:t>§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&lt;Mild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Mild</w:t>
            </w:r>
          </w:p>
          <w:p w:rsidR="0065021A" w:rsidRPr="007A0991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Moderate</w:t>
            </w:r>
            <w:r>
              <w:rPr>
                <w:lang w:val="en-US"/>
              </w:rPr>
              <w:br/>
              <w:t>Severe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54/114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57/114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3/114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63/115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48/115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4/115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0.45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5021A" w:rsidTr="003C1889">
        <w:tc>
          <w:tcPr>
            <w:tcW w:w="3124" w:type="dxa"/>
          </w:tcPr>
          <w:p w:rsidR="0065021A" w:rsidRDefault="00F91286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New PPI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 (3)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 (4)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0.75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New conduction disturbances</w:t>
            </w:r>
            <w:r w:rsidRPr="008A6346">
              <w:rPr>
                <w:rFonts w:cs="Arial"/>
                <w:vertAlign w:val="superscript"/>
                <w:lang w:val="en-US"/>
              </w:rPr>
              <w:t>§§</w:t>
            </w:r>
            <w:r>
              <w:rPr>
                <w:rFonts w:cs="Arial"/>
                <w:lang w:val="en-US"/>
              </w:rPr>
              <w:t xml:space="preserve"> - On discharge ECG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20 (16)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28 (23)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0.16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rFonts w:cs="Arial"/>
                <w:lang w:val="en-US"/>
              </w:rPr>
            </w:pPr>
            <w:r>
              <w:rPr>
                <w:lang w:val="en-US"/>
              </w:rPr>
              <w:t>Surgery or intervention related to THV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 (1)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 xml:space="preserve">All-cause </w:t>
            </w:r>
            <w:proofErr w:type="spellStart"/>
            <w:r>
              <w:rPr>
                <w:lang w:val="en-US"/>
              </w:rPr>
              <w:t>Rehospitalization</w:t>
            </w:r>
            <w:proofErr w:type="spellEnd"/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proofErr w:type="spellStart"/>
            <w:r>
              <w:rPr>
                <w:lang w:val="en-US"/>
              </w:rPr>
              <w:t>Rehospitalization</w:t>
            </w:r>
            <w:proofErr w:type="spellEnd"/>
            <w:r>
              <w:rPr>
                <w:lang w:val="en-US"/>
              </w:rPr>
              <w:t xml:space="preserve"> for procedure or valve related cause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8 (6)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4 (3)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9 (8)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5 (4)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0.74</w:t>
            </w:r>
          </w:p>
        </w:tc>
      </w:tr>
      <w:tr w:rsidR="0065021A" w:rsidTr="003C1889">
        <w:tc>
          <w:tcPr>
            <w:tcW w:w="3124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KCCQ Oss &lt;45 or decline &gt;10points**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13 (11)</w:t>
            </w:r>
          </w:p>
        </w:tc>
        <w:tc>
          <w:tcPr>
            <w:tcW w:w="1517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13 (12)</w:t>
            </w:r>
          </w:p>
        </w:tc>
        <w:tc>
          <w:tcPr>
            <w:tcW w:w="1825" w:type="dxa"/>
          </w:tcPr>
          <w:p w:rsidR="0065021A" w:rsidRDefault="0065021A" w:rsidP="003C1889">
            <w:pPr>
              <w:tabs>
                <w:tab w:val="left" w:pos="1515"/>
              </w:tabs>
              <w:rPr>
                <w:lang w:val="en-US"/>
              </w:rPr>
            </w:pPr>
            <w:r>
              <w:rPr>
                <w:lang w:val="en-US"/>
              </w:rPr>
              <w:t>0.99</w:t>
            </w:r>
          </w:p>
        </w:tc>
      </w:tr>
    </w:tbl>
    <w:p w:rsidR="0065021A" w:rsidRDefault="0065021A" w:rsidP="0065021A">
      <w:pPr>
        <w:tabs>
          <w:tab w:val="left" w:pos="1515"/>
        </w:tabs>
        <w:rPr>
          <w:lang w:val="en-US"/>
        </w:rPr>
      </w:pPr>
      <w:r>
        <w:rPr>
          <w:lang w:val="en-US"/>
        </w:rPr>
        <w:t>Values are numbers with (%). *1 Patient was lost to follow-up, therefore 120 instead of 121</w:t>
      </w:r>
    </w:p>
    <w:p w:rsidR="0065021A" w:rsidRPr="008A6346" w:rsidRDefault="0065021A" w:rsidP="0065021A">
      <w:pPr>
        <w:tabs>
          <w:tab w:val="left" w:pos="1515"/>
        </w:tabs>
        <w:rPr>
          <w:lang w:val="en-US"/>
        </w:rPr>
      </w:pPr>
      <w:r w:rsidRPr="008A6346">
        <w:rPr>
          <w:rFonts w:cs="Arial"/>
          <w:vertAlign w:val="superscript"/>
          <w:lang w:val="en-US"/>
        </w:rPr>
        <w:t>§</w:t>
      </w:r>
      <w:r>
        <w:rPr>
          <w:rFonts w:cs="Arial"/>
          <w:lang w:val="en-US"/>
        </w:rPr>
        <w:t>Of 229 p</w:t>
      </w:r>
      <w:r w:rsidR="00234C78">
        <w:rPr>
          <w:rFonts w:cs="Arial"/>
          <w:lang w:val="en-US"/>
        </w:rPr>
        <w:t>atients, determined between TAVI</w:t>
      </w:r>
      <w:r>
        <w:rPr>
          <w:rFonts w:cs="Arial"/>
          <w:lang w:val="en-US"/>
        </w:rPr>
        <w:t xml:space="preserve"> and 30-days</w:t>
      </w:r>
    </w:p>
    <w:p w:rsidR="0065021A" w:rsidRDefault="0065021A" w:rsidP="0065021A">
      <w:pPr>
        <w:tabs>
          <w:tab w:val="left" w:pos="1515"/>
        </w:tabs>
        <w:rPr>
          <w:lang w:val="en-US"/>
        </w:rPr>
      </w:pPr>
      <w:r w:rsidRPr="008A6346">
        <w:rPr>
          <w:rFonts w:cs="Arial"/>
          <w:vertAlign w:val="superscript"/>
          <w:lang w:val="en-US"/>
        </w:rPr>
        <w:t>§§</w:t>
      </w:r>
      <w:r>
        <w:rPr>
          <w:lang w:val="en-US"/>
        </w:rPr>
        <w:t>new permanent BBB, any new AV-block, any new</w:t>
      </w:r>
      <w:r w:rsidR="00F91286">
        <w:rPr>
          <w:lang w:val="en-US"/>
        </w:rPr>
        <w:t xml:space="preserve"> permanent</w:t>
      </w:r>
      <w:r>
        <w:rPr>
          <w:lang w:val="en-US"/>
        </w:rPr>
        <w:t xml:space="preserve"> </w:t>
      </w:r>
      <w:r w:rsidR="00F91286">
        <w:rPr>
          <w:lang w:val="en-US"/>
        </w:rPr>
        <w:t>pacemaker</w:t>
      </w:r>
    </w:p>
    <w:p w:rsidR="00B109AB" w:rsidRPr="0065021A" w:rsidRDefault="0065021A" w:rsidP="0065021A">
      <w:pPr>
        <w:tabs>
          <w:tab w:val="left" w:pos="1515"/>
        </w:tabs>
        <w:rPr>
          <w:lang w:val="en-US"/>
        </w:rPr>
      </w:pPr>
      <w:r>
        <w:rPr>
          <w:lang w:val="en-US"/>
        </w:rPr>
        <w:t>**Percentage of non-missing (n=116 and n=110 for Neo and Neo2 respectively)</w:t>
      </w:r>
    </w:p>
    <w:sectPr w:rsidR="00B109AB" w:rsidRPr="006502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44772"/>
    <w:multiLevelType w:val="hybridMultilevel"/>
    <w:tmpl w:val="798EE002"/>
    <w:lvl w:ilvl="0" w:tplc="481842D6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1A"/>
    <w:rsid w:val="000D39DC"/>
    <w:rsid w:val="00234C78"/>
    <w:rsid w:val="0065021A"/>
    <w:rsid w:val="00B109AB"/>
    <w:rsid w:val="00E03640"/>
    <w:rsid w:val="00EE5B42"/>
    <w:rsid w:val="00F9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1B704"/>
  <w15:chartTrackingRefBased/>
  <w15:docId w15:val="{EA02AF4C-C352-40B2-9391-645E3CF1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5021A"/>
    <w:pPr>
      <w:spacing w:after="0" w:line="240" w:lineRule="auto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Tabel Erasmus MC"/>
    <w:basedOn w:val="Standaardtabel"/>
    <w:uiPriority w:val="59"/>
    <w:rsid w:val="0065021A"/>
    <w:pPr>
      <w:spacing w:after="0" w:line="240" w:lineRule="auto"/>
    </w:pPr>
    <w:rPr>
      <w:rFonts w:ascii="Arial" w:hAnsi="Arial"/>
      <w:sz w:val="24"/>
      <w:szCs w:val="24"/>
      <w:lang w:val="nl-N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jstalinea">
    <w:name w:val="List Paragraph"/>
    <w:basedOn w:val="Standaard"/>
    <w:uiPriority w:val="34"/>
    <w:qFormat/>
    <w:rsid w:val="00650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1042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Ooms</dc:creator>
  <cp:keywords/>
  <dc:description/>
  <cp:lastModifiedBy>Joris Ooms</cp:lastModifiedBy>
  <cp:revision>2</cp:revision>
  <dcterms:created xsi:type="dcterms:W3CDTF">2023-10-31T10:18:00Z</dcterms:created>
  <dcterms:modified xsi:type="dcterms:W3CDTF">2023-10-31T10:18:00Z</dcterms:modified>
</cp:coreProperties>
</file>