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1B9B" w14:textId="1FAD5A3B" w:rsidR="007062E8" w:rsidRPr="007E5715" w:rsidRDefault="0023701A" w:rsidP="007062E8">
      <w:pPr>
        <w:spacing w:after="0" w:line="240" w:lineRule="auto"/>
        <w:ind w:left="1416" w:hanging="1416"/>
        <w:rPr>
          <w:rFonts w:cstheme="minorHAnsi"/>
          <w:bCs/>
          <w:sz w:val="20"/>
          <w:szCs w:val="20"/>
          <w:lang w:val="en-US"/>
        </w:rPr>
      </w:pPr>
      <w:r>
        <w:rPr>
          <w:rFonts w:cstheme="minorHAnsi"/>
          <w:bCs/>
          <w:sz w:val="20"/>
          <w:szCs w:val="20"/>
          <w:lang w:val="en-US"/>
        </w:rPr>
        <w:t xml:space="preserve">Supplementary </w:t>
      </w:r>
      <w:r w:rsidR="007062E8" w:rsidRPr="007E5715">
        <w:rPr>
          <w:rFonts w:cstheme="minorHAnsi"/>
          <w:bCs/>
          <w:sz w:val="20"/>
          <w:szCs w:val="20"/>
          <w:lang w:val="en-US"/>
        </w:rPr>
        <w:t xml:space="preserve">Table 1: </w:t>
      </w:r>
      <w:r w:rsidR="007062E8">
        <w:rPr>
          <w:rFonts w:cstheme="minorHAnsi"/>
          <w:bCs/>
          <w:sz w:val="20"/>
          <w:szCs w:val="20"/>
          <w:lang w:val="en-US"/>
        </w:rPr>
        <w:tab/>
      </w:r>
      <w:r w:rsidR="007062E8" w:rsidRPr="007E5715">
        <w:rPr>
          <w:rFonts w:cstheme="minorHAnsi"/>
          <w:bCs/>
          <w:sz w:val="20"/>
          <w:szCs w:val="20"/>
          <w:lang w:val="en-US"/>
        </w:rPr>
        <w:t>CE (</w:t>
      </w:r>
      <w:proofErr w:type="spellStart"/>
      <w:r w:rsidR="007062E8" w:rsidRPr="007E5715">
        <w:rPr>
          <w:rFonts w:cstheme="minorHAnsi"/>
          <w:bCs/>
          <w:color w:val="4D5156"/>
          <w:sz w:val="20"/>
          <w:szCs w:val="20"/>
          <w:shd w:val="clear" w:color="auto" w:fill="FFFFFF"/>
          <w:lang w:val="en-US"/>
        </w:rPr>
        <w:t>Conformité</w:t>
      </w:r>
      <w:proofErr w:type="spellEnd"/>
      <w:r w:rsidR="007062E8" w:rsidRPr="007E5715">
        <w:rPr>
          <w:rFonts w:cstheme="minorHAnsi"/>
          <w:bCs/>
          <w:color w:val="4D5156"/>
          <w:sz w:val="20"/>
          <w:szCs w:val="20"/>
          <w:shd w:val="clear" w:color="auto" w:fill="FFFFFF"/>
          <w:lang w:val="en-US"/>
        </w:rPr>
        <w:t xml:space="preserve"> </w:t>
      </w:r>
      <w:proofErr w:type="spellStart"/>
      <w:r w:rsidR="007062E8" w:rsidRPr="007E5715">
        <w:rPr>
          <w:rFonts w:cstheme="minorHAnsi"/>
          <w:bCs/>
          <w:color w:val="4D5156"/>
          <w:sz w:val="20"/>
          <w:szCs w:val="20"/>
          <w:shd w:val="clear" w:color="auto" w:fill="FFFFFF"/>
          <w:lang w:val="en-US"/>
        </w:rPr>
        <w:t>Européenne</w:t>
      </w:r>
      <w:proofErr w:type="spellEnd"/>
      <w:r w:rsidR="007062E8" w:rsidRPr="007E5715">
        <w:rPr>
          <w:rFonts w:cstheme="minorHAnsi"/>
          <w:bCs/>
          <w:color w:val="4D5156"/>
          <w:sz w:val="20"/>
          <w:szCs w:val="20"/>
          <w:shd w:val="clear" w:color="auto" w:fill="FFFFFF"/>
          <w:lang w:val="en-US"/>
        </w:rPr>
        <w:t>)</w:t>
      </w:r>
      <w:r w:rsidR="007062E8" w:rsidRPr="007E5715">
        <w:rPr>
          <w:rFonts w:cstheme="minorHAnsi"/>
          <w:bCs/>
          <w:sz w:val="20"/>
          <w:szCs w:val="20"/>
          <w:lang w:val="en-US"/>
        </w:rPr>
        <w:t xml:space="preserve"> marked percutaneous LAA closure devices and device characteristics</w:t>
      </w:r>
    </w:p>
    <w:p w14:paraId="48CAD031" w14:textId="77777777" w:rsidR="007062E8" w:rsidRPr="004E591E" w:rsidRDefault="007062E8" w:rsidP="007062E8">
      <w:pPr>
        <w:spacing w:after="0" w:line="240" w:lineRule="auto"/>
        <w:rPr>
          <w:rFonts w:cstheme="minorHAnsi"/>
          <w:sz w:val="20"/>
          <w:szCs w:val="20"/>
          <w:lang w:val="en-US"/>
        </w:rPr>
      </w:pPr>
    </w:p>
    <w:tbl>
      <w:tblPr>
        <w:tblStyle w:val="Tabellenraster"/>
        <w:tblW w:w="9493" w:type="dxa"/>
        <w:tblLayout w:type="fixed"/>
        <w:tblLook w:val="04A0" w:firstRow="1" w:lastRow="0" w:firstColumn="1" w:lastColumn="0" w:noHBand="0" w:noVBand="1"/>
      </w:tblPr>
      <w:tblGrid>
        <w:gridCol w:w="1555"/>
        <w:gridCol w:w="1275"/>
        <w:gridCol w:w="1560"/>
        <w:gridCol w:w="1842"/>
        <w:gridCol w:w="1701"/>
        <w:gridCol w:w="1560"/>
      </w:tblGrid>
      <w:tr w:rsidR="007062E8" w:rsidRPr="009F0EA6" w14:paraId="2A27325F" w14:textId="77777777" w:rsidTr="00B433D8">
        <w:tc>
          <w:tcPr>
            <w:tcW w:w="1555" w:type="dxa"/>
          </w:tcPr>
          <w:p w14:paraId="27A1BB33"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Device approach</w:t>
            </w:r>
          </w:p>
        </w:tc>
        <w:tc>
          <w:tcPr>
            <w:tcW w:w="6378" w:type="dxa"/>
            <w:gridSpan w:val="4"/>
          </w:tcPr>
          <w:p w14:paraId="02974D60"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Intracardiac </w:t>
            </w:r>
          </w:p>
        </w:tc>
        <w:tc>
          <w:tcPr>
            <w:tcW w:w="1560" w:type="dxa"/>
          </w:tcPr>
          <w:p w14:paraId="0180180C"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Extracardiac </w:t>
            </w:r>
          </w:p>
        </w:tc>
      </w:tr>
      <w:tr w:rsidR="007062E8" w:rsidRPr="009F0EA6" w14:paraId="6634B4B6" w14:textId="77777777" w:rsidTr="00B433D8">
        <w:trPr>
          <w:trHeight w:val="51"/>
        </w:trPr>
        <w:tc>
          <w:tcPr>
            <w:tcW w:w="1555" w:type="dxa"/>
          </w:tcPr>
          <w:p w14:paraId="3CC41ED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Access way</w:t>
            </w:r>
          </w:p>
        </w:tc>
        <w:tc>
          <w:tcPr>
            <w:tcW w:w="6378" w:type="dxa"/>
            <w:gridSpan w:val="4"/>
          </w:tcPr>
          <w:p w14:paraId="4AE06EB5" w14:textId="77777777" w:rsidR="007062E8" w:rsidRPr="004E591E" w:rsidRDefault="007062E8" w:rsidP="00B433D8">
            <w:pPr>
              <w:spacing w:line="240" w:lineRule="auto"/>
              <w:rPr>
                <w:rFonts w:cstheme="minorHAnsi"/>
                <w:color w:val="000000" w:themeColor="text1"/>
                <w:sz w:val="20"/>
                <w:szCs w:val="20"/>
                <w:lang w:val="en-US"/>
              </w:rPr>
            </w:pPr>
            <w:r w:rsidRPr="004E591E">
              <w:rPr>
                <w:rFonts w:cstheme="minorHAnsi"/>
                <w:color w:val="000000" w:themeColor="text1"/>
                <w:sz w:val="20"/>
                <w:szCs w:val="20"/>
                <w:lang w:val="en-US"/>
              </w:rPr>
              <w:t>Transseptal puncture</w:t>
            </w:r>
          </w:p>
        </w:tc>
        <w:tc>
          <w:tcPr>
            <w:tcW w:w="1560" w:type="dxa"/>
          </w:tcPr>
          <w:p w14:paraId="1F03E39B"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Pericardial access and transseptal puncture</w:t>
            </w:r>
          </w:p>
          <w:p w14:paraId="733F8094" w14:textId="77777777" w:rsidR="007062E8" w:rsidRPr="004E591E" w:rsidRDefault="007062E8" w:rsidP="00B433D8">
            <w:pPr>
              <w:spacing w:line="240" w:lineRule="auto"/>
              <w:rPr>
                <w:rFonts w:cstheme="minorHAnsi"/>
                <w:sz w:val="20"/>
                <w:szCs w:val="20"/>
                <w:lang w:val="en-US"/>
              </w:rPr>
            </w:pPr>
          </w:p>
        </w:tc>
      </w:tr>
      <w:tr w:rsidR="007062E8" w:rsidRPr="009F0EA6" w14:paraId="5D07808C" w14:textId="77777777" w:rsidTr="00B433D8">
        <w:trPr>
          <w:trHeight w:val="51"/>
        </w:trPr>
        <w:tc>
          <w:tcPr>
            <w:tcW w:w="1555" w:type="dxa"/>
          </w:tcPr>
          <w:p w14:paraId="0F05893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Device concept</w:t>
            </w:r>
          </w:p>
        </w:tc>
        <w:tc>
          <w:tcPr>
            <w:tcW w:w="2835" w:type="dxa"/>
            <w:gridSpan w:val="2"/>
          </w:tcPr>
          <w:p w14:paraId="626D569F" w14:textId="77777777" w:rsidR="007062E8" w:rsidRPr="004E591E" w:rsidRDefault="007062E8" w:rsidP="00B433D8">
            <w:pPr>
              <w:spacing w:line="240" w:lineRule="auto"/>
              <w:rPr>
                <w:rFonts w:cstheme="minorHAnsi"/>
                <w:color w:val="000000" w:themeColor="text1"/>
                <w:sz w:val="20"/>
                <w:szCs w:val="20"/>
                <w:lang w:val="en-US"/>
              </w:rPr>
            </w:pPr>
            <w:r w:rsidRPr="004E591E">
              <w:rPr>
                <w:rFonts w:cstheme="minorHAnsi"/>
                <w:color w:val="000000" w:themeColor="text1"/>
                <w:sz w:val="20"/>
                <w:szCs w:val="20"/>
                <w:lang w:val="en-US"/>
              </w:rPr>
              <w:t>“Plug devices”</w:t>
            </w:r>
          </w:p>
        </w:tc>
        <w:tc>
          <w:tcPr>
            <w:tcW w:w="3543" w:type="dxa"/>
            <w:gridSpan w:val="2"/>
          </w:tcPr>
          <w:p w14:paraId="17A0FD96" w14:textId="77777777" w:rsidR="007062E8" w:rsidRPr="004E591E" w:rsidRDefault="007062E8" w:rsidP="00B433D8">
            <w:pPr>
              <w:spacing w:line="240" w:lineRule="auto"/>
              <w:rPr>
                <w:rFonts w:cstheme="minorHAnsi"/>
                <w:color w:val="000000" w:themeColor="text1"/>
                <w:sz w:val="20"/>
                <w:szCs w:val="20"/>
                <w:lang w:val="en-US"/>
              </w:rPr>
            </w:pPr>
            <w:r w:rsidRPr="004E591E">
              <w:rPr>
                <w:rFonts w:cstheme="minorHAnsi"/>
                <w:color w:val="000000" w:themeColor="text1"/>
                <w:sz w:val="20"/>
                <w:szCs w:val="20"/>
                <w:lang w:val="en-US"/>
              </w:rPr>
              <w:t>“Disc-lobe devices”</w:t>
            </w:r>
          </w:p>
        </w:tc>
        <w:tc>
          <w:tcPr>
            <w:tcW w:w="1560" w:type="dxa"/>
          </w:tcPr>
          <w:p w14:paraId="162D259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Suture based</w:t>
            </w:r>
          </w:p>
        </w:tc>
      </w:tr>
      <w:tr w:rsidR="007062E8" w:rsidRPr="005B2267" w14:paraId="2E35ECA6" w14:textId="77777777" w:rsidTr="005B2267">
        <w:tc>
          <w:tcPr>
            <w:tcW w:w="1555" w:type="dxa"/>
          </w:tcPr>
          <w:p w14:paraId="03DB5647"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Device </w:t>
            </w:r>
          </w:p>
        </w:tc>
        <w:tc>
          <w:tcPr>
            <w:tcW w:w="1275" w:type="dxa"/>
          </w:tcPr>
          <w:p w14:paraId="108985F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Watchman FLX</w:t>
            </w:r>
          </w:p>
          <w:p w14:paraId="06E5E420"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(Fig</w:t>
            </w:r>
            <w:r>
              <w:rPr>
                <w:rFonts w:cstheme="minorHAnsi"/>
                <w:sz w:val="20"/>
                <w:szCs w:val="20"/>
                <w:lang w:val="en-US"/>
              </w:rPr>
              <w:t xml:space="preserve">. </w:t>
            </w:r>
            <w:r w:rsidRPr="004E591E">
              <w:rPr>
                <w:rFonts w:cstheme="minorHAnsi"/>
                <w:sz w:val="20"/>
                <w:szCs w:val="20"/>
                <w:lang w:val="en-US"/>
              </w:rPr>
              <w:t>1</w:t>
            </w:r>
            <w:proofErr w:type="gramStart"/>
            <w:r w:rsidRPr="004E591E">
              <w:rPr>
                <w:rFonts w:cstheme="minorHAnsi"/>
                <w:sz w:val="20"/>
                <w:szCs w:val="20"/>
                <w:lang w:val="en-US"/>
              </w:rPr>
              <w:t>A )</w:t>
            </w:r>
            <w:proofErr w:type="gramEnd"/>
          </w:p>
          <w:p w14:paraId="3C6D4F5B" w14:textId="77777777" w:rsidR="007062E8" w:rsidRPr="004E591E" w:rsidRDefault="007062E8" w:rsidP="00B433D8">
            <w:pPr>
              <w:spacing w:line="240" w:lineRule="auto"/>
              <w:rPr>
                <w:rFonts w:cstheme="minorHAnsi"/>
                <w:sz w:val="20"/>
                <w:szCs w:val="20"/>
                <w:lang w:val="en-US"/>
              </w:rPr>
            </w:pPr>
          </w:p>
        </w:tc>
        <w:tc>
          <w:tcPr>
            <w:tcW w:w="1560" w:type="dxa"/>
          </w:tcPr>
          <w:p w14:paraId="488A2495" w14:textId="77777777" w:rsidR="007062E8" w:rsidRPr="004E591E" w:rsidRDefault="007062E8" w:rsidP="00B433D8">
            <w:pPr>
              <w:spacing w:line="240" w:lineRule="auto"/>
              <w:rPr>
                <w:rFonts w:cstheme="minorHAnsi"/>
                <w:sz w:val="20"/>
                <w:szCs w:val="20"/>
                <w:lang w:val="en-US"/>
              </w:rPr>
            </w:pPr>
            <w:proofErr w:type="spellStart"/>
            <w:r w:rsidRPr="004E591E">
              <w:rPr>
                <w:rFonts w:cstheme="minorHAnsi"/>
                <w:sz w:val="20"/>
                <w:szCs w:val="20"/>
                <w:lang w:val="en-US"/>
              </w:rPr>
              <w:t>WaveCrest</w:t>
            </w:r>
            <w:proofErr w:type="spellEnd"/>
            <w:r w:rsidRPr="004E591E">
              <w:rPr>
                <w:rFonts w:cstheme="minorHAnsi"/>
                <w:sz w:val="20"/>
                <w:szCs w:val="20"/>
                <w:lang w:val="en-US"/>
              </w:rPr>
              <w:t>*</w:t>
            </w:r>
          </w:p>
          <w:p w14:paraId="76AA4FC0"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(Fig</w:t>
            </w:r>
            <w:r>
              <w:rPr>
                <w:rFonts w:cstheme="minorHAnsi"/>
                <w:sz w:val="20"/>
                <w:szCs w:val="20"/>
                <w:lang w:val="en-US"/>
              </w:rPr>
              <w:t xml:space="preserve">. </w:t>
            </w:r>
            <w:r w:rsidRPr="004E591E">
              <w:rPr>
                <w:rFonts w:cstheme="minorHAnsi"/>
                <w:sz w:val="20"/>
                <w:szCs w:val="20"/>
                <w:lang w:val="en-US"/>
              </w:rPr>
              <w:t>1B)</w:t>
            </w:r>
          </w:p>
          <w:p w14:paraId="7EC280F7" w14:textId="77777777" w:rsidR="007062E8" w:rsidRPr="004E591E" w:rsidRDefault="007062E8" w:rsidP="00B433D8">
            <w:pPr>
              <w:spacing w:line="240" w:lineRule="auto"/>
              <w:rPr>
                <w:rFonts w:cstheme="minorHAnsi"/>
                <w:sz w:val="20"/>
                <w:szCs w:val="20"/>
                <w:lang w:val="en-US"/>
              </w:rPr>
            </w:pPr>
          </w:p>
        </w:tc>
        <w:tc>
          <w:tcPr>
            <w:tcW w:w="1842" w:type="dxa"/>
          </w:tcPr>
          <w:p w14:paraId="06DA8C7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Amulet</w:t>
            </w:r>
          </w:p>
          <w:p w14:paraId="094BEAD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(Fig</w:t>
            </w:r>
            <w:r>
              <w:rPr>
                <w:rFonts w:cstheme="minorHAnsi"/>
                <w:sz w:val="20"/>
                <w:szCs w:val="20"/>
                <w:lang w:val="en-US"/>
              </w:rPr>
              <w:t xml:space="preserve">. </w:t>
            </w:r>
            <w:r w:rsidRPr="004E591E">
              <w:rPr>
                <w:rFonts w:cstheme="minorHAnsi"/>
                <w:sz w:val="20"/>
                <w:szCs w:val="20"/>
                <w:lang w:val="en-US"/>
              </w:rPr>
              <w:t>1C)</w:t>
            </w:r>
          </w:p>
          <w:p w14:paraId="407C9DEF" w14:textId="77777777" w:rsidR="007062E8" w:rsidRPr="004E591E" w:rsidRDefault="007062E8" w:rsidP="00B433D8">
            <w:pPr>
              <w:spacing w:line="240" w:lineRule="auto"/>
              <w:rPr>
                <w:rFonts w:cstheme="minorHAnsi"/>
                <w:sz w:val="20"/>
                <w:szCs w:val="20"/>
                <w:lang w:val="en-US"/>
              </w:rPr>
            </w:pPr>
          </w:p>
        </w:tc>
        <w:tc>
          <w:tcPr>
            <w:tcW w:w="1701" w:type="dxa"/>
          </w:tcPr>
          <w:p w14:paraId="07C3A847" w14:textId="77777777" w:rsidR="007062E8" w:rsidRPr="004E591E" w:rsidRDefault="007062E8" w:rsidP="00B433D8">
            <w:pPr>
              <w:spacing w:line="240" w:lineRule="auto"/>
              <w:rPr>
                <w:rFonts w:cstheme="minorHAnsi"/>
                <w:sz w:val="20"/>
                <w:szCs w:val="20"/>
                <w:lang w:val="en-US"/>
              </w:rPr>
            </w:pPr>
            <w:proofErr w:type="spellStart"/>
            <w:r w:rsidRPr="004E591E">
              <w:rPr>
                <w:rFonts w:cstheme="minorHAnsi"/>
                <w:sz w:val="20"/>
                <w:szCs w:val="20"/>
                <w:lang w:val="en-US"/>
              </w:rPr>
              <w:t>LAmbre</w:t>
            </w:r>
            <w:proofErr w:type="spellEnd"/>
          </w:p>
          <w:p w14:paraId="781B6616"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(Fig</w:t>
            </w:r>
            <w:r>
              <w:rPr>
                <w:rFonts w:cstheme="minorHAnsi"/>
                <w:sz w:val="20"/>
                <w:szCs w:val="20"/>
                <w:lang w:val="en-US"/>
              </w:rPr>
              <w:t xml:space="preserve">. </w:t>
            </w:r>
            <w:r w:rsidRPr="004E591E">
              <w:rPr>
                <w:rFonts w:cstheme="minorHAnsi"/>
                <w:sz w:val="20"/>
                <w:szCs w:val="20"/>
                <w:lang w:val="en-US"/>
              </w:rPr>
              <w:t>1D)</w:t>
            </w:r>
          </w:p>
          <w:p w14:paraId="4E283FF8" w14:textId="77777777" w:rsidR="007062E8" w:rsidRPr="004E591E" w:rsidRDefault="007062E8" w:rsidP="00B433D8">
            <w:pPr>
              <w:spacing w:line="240" w:lineRule="auto"/>
              <w:rPr>
                <w:rFonts w:cstheme="minorHAnsi"/>
                <w:sz w:val="20"/>
                <w:szCs w:val="20"/>
                <w:lang w:val="en-US"/>
              </w:rPr>
            </w:pPr>
          </w:p>
        </w:tc>
        <w:tc>
          <w:tcPr>
            <w:tcW w:w="1560" w:type="dxa"/>
          </w:tcPr>
          <w:p w14:paraId="792AEF2C"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LARIAT Suture Device</w:t>
            </w:r>
          </w:p>
          <w:p w14:paraId="7F26624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(Fig</w:t>
            </w:r>
            <w:r>
              <w:rPr>
                <w:rFonts w:cstheme="minorHAnsi"/>
                <w:sz w:val="20"/>
                <w:szCs w:val="20"/>
                <w:lang w:val="en-US"/>
              </w:rPr>
              <w:t xml:space="preserve">. </w:t>
            </w:r>
            <w:r w:rsidRPr="004E591E">
              <w:rPr>
                <w:rFonts w:cstheme="minorHAnsi"/>
                <w:sz w:val="20"/>
                <w:szCs w:val="20"/>
                <w:lang w:val="en-US"/>
              </w:rPr>
              <w:t>1E-G)</w:t>
            </w:r>
          </w:p>
          <w:p w14:paraId="7E94D17F" w14:textId="77777777" w:rsidR="007062E8" w:rsidRPr="004E591E" w:rsidRDefault="007062E8" w:rsidP="00B433D8">
            <w:pPr>
              <w:spacing w:line="240" w:lineRule="auto"/>
              <w:rPr>
                <w:rFonts w:cstheme="minorHAnsi"/>
                <w:sz w:val="20"/>
                <w:szCs w:val="20"/>
                <w:lang w:val="en-US"/>
              </w:rPr>
            </w:pPr>
          </w:p>
        </w:tc>
      </w:tr>
      <w:tr w:rsidR="007062E8" w:rsidRPr="005B2267" w14:paraId="0BE406CF" w14:textId="77777777" w:rsidTr="005B2267">
        <w:tc>
          <w:tcPr>
            <w:tcW w:w="1555" w:type="dxa"/>
          </w:tcPr>
          <w:p w14:paraId="65C46B5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Device description</w:t>
            </w:r>
          </w:p>
        </w:tc>
        <w:tc>
          <w:tcPr>
            <w:tcW w:w="1275" w:type="dxa"/>
          </w:tcPr>
          <w:p w14:paraId="3B574DB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Self-expanding nitinol frame with a porous PET covering &gt; 50% of the height of the device </w:t>
            </w:r>
          </w:p>
        </w:tc>
        <w:tc>
          <w:tcPr>
            <w:tcW w:w="1560" w:type="dxa"/>
          </w:tcPr>
          <w:p w14:paraId="1F4E10AC" w14:textId="77777777" w:rsidR="007062E8" w:rsidRPr="004E591E" w:rsidRDefault="007062E8" w:rsidP="00B433D8">
            <w:pPr>
              <w:spacing w:line="240" w:lineRule="auto"/>
              <w:rPr>
                <w:rStyle w:val="A1"/>
                <w:rFonts w:cstheme="minorHAnsi"/>
                <w:lang w:val="en-US"/>
              </w:rPr>
            </w:pPr>
            <w:r w:rsidRPr="004E591E">
              <w:rPr>
                <w:rStyle w:val="A1"/>
                <w:rFonts w:cstheme="minorHAnsi"/>
                <w:lang w:val="en-US"/>
              </w:rPr>
              <w:t xml:space="preserve">Self-expanding nitinol frame with an occlusive, non-thrombogenic </w:t>
            </w:r>
            <w:proofErr w:type="spellStart"/>
            <w:r w:rsidRPr="004E591E">
              <w:rPr>
                <w:rStyle w:val="A1"/>
                <w:rFonts w:cstheme="minorHAnsi"/>
                <w:lang w:val="en-US"/>
              </w:rPr>
              <w:t>ePTFE</w:t>
            </w:r>
            <w:proofErr w:type="spellEnd"/>
            <w:r w:rsidRPr="004E591E">
              <w:rPr>
                <w:rStyle w:val="A1"/>
                <w:rFonts w:cstheme="minorHAnsi"/>
                <w:lang w:val="en-US"/>
              </w:rPr>
              <w:t>-material facing the LA side.</w:t>
            </w:r>
          </w:p>
          <w:p w14:paraId="10E2552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 polymer foam around the device faces the LAA side. A distal contrast injection allows for a further assessment of device stability and LAA occlusion</w:t>
            </w:r>
          </w:p>
        </w:tc>
        <w:tc>
          <w:tcPr>
            <w:tcW w:w="1842" w:type="dxa"/>
          </w:tcPr>
          <w:p w14:paraId="55E880C5" w14:textId="77777777" w:rsidR="007062E8" w:rsidRPr="004E591E" w:rsidRDefault="007062E8" w:rsidP="00B433D8">
            <w:pPr>
              <w:autoSpaceDE w:val="0"/>
              <w:autoSpaceDN w:val="0"/>
              <w:adjustRightInd w:val="0"/>
              <w:spacing w:line="240" w:lineRule="auto"/>
              <w:rPr>
                <w:rFonts w:cstheme="minorHAnsi"/>
                <w:sz w:val="20"/>
                <w:szCs w:val="20"/>
                <w:lang w:val="en-US"/>
              </w:rPr>
            </w:pPr>
            <w:r w:rsidRPr="004E591E">
              <w:rPr>
                <w:rFonts w:cstheme="minorHAnsi"/>
                <w:sz w:val="20"/>
                <w:szCs w:val="20"/>
                <w:lang w:val="en-US"/>
              </w:rPr>
              <w:t>Nitinol wire mesh self-expanding device with a distal</w:t>
            </w:r>
          </w:p>
          <w:p w14:paraId="53A0DEBB"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lobe to anchor the device and a proximal disc to cover the ostium (each with a Dacron patch inside). A flexible waist connects both components</w:t>
            </w:r>
          </w:p>
        </w:tc>
        <w:tc>
          <w:tcPr>
            <w:tcW w:w="1701" w:type="dxa"/>
          </w:tcPr>
          <w:p w14:paraId="5D8D8B9E" w14:textId="77777777" w:rsidR="007062E8" w:rsidRPr="004E591E" w:rsidRDefault="007062E8" w:rsidP="00B433D8">
            <w:pPr>
              <w:spacing w:line="240" w:lineRule="auto"/>
              <w:rPr>
                <w:rFonts w:cstheme="minorHAnsi"/>
                <w:sz w:val="20"/>
                <w:szCs w:val="20"/>
                <w:lang w:val="en-US"/>
              </w:rPr>
            </w:pPr>
            <w:proofErr w:type="spellStart"/>
            <w:r w:rsidRPr="004E591E">
              <w:rPr>
                <w:rFonts w:cstheme="minorHAnsi"/>
                <w:sz w:val="20"/>
                <w:szCs w:val="20"/>
                <w:lang w:val="en-US"/>
              </w:rPr>
              <w:t>Ntinol</w:t>
            </w:r>
            <w:proofErr w:type="spellEnd"/>
            <w:r w:rsidRPr="004E591E">
              <w:rPr>
                <w:rFonts w:cstheme="minorHAnsi"/>
                <w:sz w:val="20"/>
                <w:szCs w:val="20"/>
                <w:lang w:val="en-US"/>
              </w:rPr>
              <w:t xml:space="preserve"> frame with 2 layers of PET fabric in a proximal cover and a distal umbrella to anchor the device. Both components are connected by a central waist</w:t>
            </w:r>
          </w:p>
        </w:tc>
        <w:tc>
          <w:tcPr>
            <w:tcW w:w="1560" w:type="dxa"/>
          </w:tcPr>
          <w:p w14:paraId="1A320484" w14:textId="77777777" w:rsidR="007062E8" w:rsidRPr="004E591E" w:rsidRDefault="007062E8" w:rsidP="00B433D8">
            <w:pPr>
              <w:spacing w:line="240" w:lineRule="auto"/>
              <w:rPr>
                <w:rFonts w:cstheme="minorHAnsi"/>
                <w:sz w:val="20"/>
                <w:szCs w:val="20"/>
                <w:lang w:val="en-US"/>
              </w:rPr>
            </w:pPr>
            <w:r w:rsidRPr="004E591E">
              <w:rPr>
                <w:rFonts w:eastAsia="Times New Roman" w:cstheme="minorHAnsi"/>
                <w:sz w:val="20"/>
                <w:szCs w:val="20"/>
                <w:lang w:val="en-US"/>
              </w:rPr>
              <w:t xml:space="preserve">The LARIAT system consists of a collapsible snare with a pre-tied suture loop that is guided </w:t>
            </w:r>
            <w:proofErr w:type="spellStart"/>
            <w:r w:rsidRPr="004E591E">
              <w:rPr>
                <w:rFonts w:eastAsia="Times New Roman" w:cstheme="minorHAnsi"/>
                <w:sz w:val="20"/>
                <w:szCs w:val="20"/>
                <w:lang w:val="en-US"/>
              </w:rPr>
              <w:t>epicardially</w:t>
            </w:r>
            <w:proofErr w:type="spellEnd"/>
            <w:r w:rsidRPr="004E591E">
              <w:rPr>
                <w:rFonts w:eastAsia="Times New Roman" w:cstheme="minorHAnsi"/>
                <w:sz w:val="20"/>
                <w:szCs w:val="20"/>
                <w:lang w:val="en-US"/>
              </w:rPr>
              <w:t xml:space="preserve"> over the LAA body via a magnetic epicardial/endocardial wire bridge</w:t>
            </w:r>
          </w:p>
        </w:tc>
      </w:tr>
      <w:tr w:rsidR="007062E8" w:rsidRPr="005B2267" w14:paraId="325FF4AA" w14:textId="77777777" w:rsidTr="005B2267">
        <w:tc>
          <w:tcPr>
            <w:tcW w:w="1555" w:type="dxa"/>
          </w:tcPr>
          <w:p w14:paraId="45E5F84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Available sizes</w:t>
            </w:r>
          </w:p>
        </w:tc>
        <w:tc>
          <w:tcPr>
            <w:tcW w:w="1275" w:type="dxa"/>
          </w:tcPr>
          <w:p w14:paraId="2272CE2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5 sizes:  </w:t>
            </w:r>
          </w:p>
          <w:p w14:paraId="295A9803"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20, 24, 27, 31, 35mm </w:t>
            </w:r>
          </w:p>
          <w:p w14:paraId="138684A2" w14:textId="77777777" w:rsidR="007062E8" w:rsidRPr="004E591E" w:rsidRDefault="007062E8" w:rsidP="00B433D8">
            <w:pPr>
              <w:spacing w:line="240" w:lineRule="auto"/>
              <w:rPr>
                <w:rFonts w:cstheme="minorHAnsi"/>
                <w:sz w:val="20"/>
                <w:szCs w:val="20"/>
                <w:lang w:val="en-US"/>
              </w:rPr>
            </w:pPr>
          </w:p>
        </w:tc>
        <w:tc>
          <w:tcPr>
            <w:tcW w:w="1560" w:type="dxa"/>
          </w:tcPr>
          <w:p w14:paraId="2A9AF0A7"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3 sizes: </w:t>
            </w:r>
          </w:p>
          <w:p w14:paraId="150EFA2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22, 27,32mm</w:t>
            </w:r>
          </w:p>
        </w:tc>
        <w:tc>
          <w:tcPr>
            <w:tcW w:w="1842" w:type="dxa"/>
          </w:tcPr>
          <w:p w14:paraId="7AA0836F"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8 </w:t>
            </w:r>
            <w:proofErr w:type="gramStart"/>
            <w:r w:rsidRPr="004E591E">
              <w:rPr>
                <w:rFonts w:cstheme="minorHAnsi"/>
                <w:sz w:val="20"/>
                <w:szCs w:val="20"/>
                <w:lang w:val="en-US"/>
              </w:rPr>
              <w:t>sizes;</w:t>
            </w:r>
            <w:proofErr w:type="gramEnd"/>
          </w:p>
          <w:p w14:paraId="7ADF3986"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16,18,20,22 (disc diameter = lobe+6mm; lobe length= 7.5mm; waist length= 5.5mm) and 25,28,31,34 (disc diameter= lobe+7mm; lobe length= 10mm; waist length=8mm)</w:t>
            </w:r>
          </w:p>
        </w:tc>
        <w:tc>
          <w:tcPr>
            <w:tcW w:w="1701" w:type="dxa"/>
          </w:tcPr>
          <w:p w14:paraId="60AEC1C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17 sizes: </w:t>
            </w:r>
          </w:p>
          <w:p w14:paraId="2B4D42D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umbrella/cover (mm):</w:t>
            </w:r>
          </w:p>
          <w:p w14:paraId="4E091CFF" w14:textId="77777777" w:rsidR="007062E8" w:rsidRPr="004E591E" w:rsidRDefault="007062E8" w:rsidP="00B433D8">
            <w:pPr>
              <w:spacing w:line="240" w:lineRule="auto"/>
              <w:rPr>
                <w:rFonts w:cstheme="minorHAnsi"/>
                <w:sz w:val="20"/>
                <w:szCs w:val="20"/>
                <w:u w:val="single"/>
                <w:lang w:val="en-US"/>
              </w:rPr>
            </w:pPr>
            <w:r w:rsidRPr="004E591E">
              <w:rPr>
                <w:rFonts w:cstheme="minorHAnsi"/>
                <w:sz w:val="20"/>
                <w:szCs w:val="20"/>
                <w:u w:val="single"/>
                <w:lang w:val="en-US"/>
              </w:rPr>
              <w:t>Standard:</w:t>
            </w:r>
          </w:p>
          <w:p w14:paraId="4EAA510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16/22;18/</w:t>
            </w:r>
            <w:proofErr w:type="gramStart"/>
            <w:r w:rsidRPr="004E591E">
              <w:rPr>
                <w:rFonts w:cstheme="minorHAnsi"/>
                <w:sz w:val="20"/>
                <w:szCs w:val="20"/>
                <w:lang w:val="en-US"/>
              </w:rPr>
              <w:t>24;</w:t>
            </w:r>
            <w:proofErr w:type="gramEnd"/>
          </w:p>
          <w:p w14:paraId="76F2828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20/26; 22/28; 24/30; 26/32; 28/34; 30/36; 32/36; </w:t>
            </w:r>
            <w:proofErr w:type="gramStart"/>
            <w:r w:rsidRPr="004E591E">
              <w:rPr>
                <w:rFonts w:cstheme="minorHAnsi"/>
                <w:sz w:val="20"/>
                <w:szCs w:val="20"/>
                <w:lang w:val="en-US"/>
              </w:rPr>
              <w:t>34/38;</w:t>
            </w:r>
            <w:proofErr w:type="gramEnd"/>
          </w:p>
          <w:p w14:paraId="508770B4" w14:textId="77777777" w:rsidR="007062E8" w:rsidRPr="004E591E" w:rsidRDefault="007062E8" w:rsidP="00B433D8">
            <w:pPr>
              <w:spacing w:line="240" w:lineRule="auto"/>
              <w:rPr>
                <w:rFonts w:cstheme="minorHAnsi"/>
                <w:sz w:val="20"/>
                <w:szCs w:val="20"/>
                <w:lang w:val="en-US"/>
              </w:rPr>
            </w:pPr>
            <w:proofErr w:type="gramStart"/>
            <w:r w:rsidRPr="004E591E">
              <w:rPr>
                <w:rFonts w:cstheme="minorHAnsi"/>
                <w:sz w:val="20"/>
                <w:szCs w:val="20"/>
                <w:lang w:val="en-US"/>
              </w:rPr>
              <w:t>36/40;</w:t>
            </w:r>
            <w:proofErr w:type="gramEnd"/>
          </w:p>
          <w:p w14:paraId="76FB919D" w14:textId="77777777" w:rsidR="007062E8" w:rsidRPr="004E591E" w:rsidRDefault="007062E8" w:rsidP="00B433D8">
            <w:pPr>
              <w:spacing w:line="240" w:lineRule="auto"/>
              <w:rPr>
                <w:rFonts w:cstheme="minorHAnsi"/>
                <w:sz w:val="20"/>
                <w:szCs w:val="20"/>
                <w:u w:val="single"/>
                <w:lang w:val="en-US"/>
              </w:rPr>
            </w:pPr>
            <w:r w:rsidRPr="004E591E">
              <w:rPr>
                <w:rFonts w:cstheme="minorHAnsi"/>
                <w:sz w:val="20"/>
                <w:szCs w:val="20"/>
                <w:u w:val="single"/>
                <w:lang w:val="en-US"/>
              </w:rPr>
              <w:t>Special:</w:t>
            </w:r>
          </w:p>
          <w:p w14:paraId="2C0E2747"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16/30;18/32; 20/32;22/</w:t>
            </w:r>
            <w:proofErr w:type="gramStart"/>
            <w:r w:rsidRPr="004E591E">
              <w:rPr>
                <w:rFonts w:cstheme="minorHAnsi"/>
                <w:sz w:val="20"/>
                <w:szCs w:val="20"/>
                <w:lang w:val="en-US"/>
              </w:rPr>
              <w:t>34;</w:t>
            </w:r>
            <w:proofErr w:type="gramEnd"/>
          </w:p>
          <w:p w14:paraId="3605903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24/36;26/38</w:t>
            </w:r>
          </w:p>
        </w:tc>
        <w:tc>
          <w:tcPr>
            <w:tcW w:w="1560" w:type="dxa"/>
          </w:tcPr>
          <w:p w14:paraId="0E7A0AB0"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1 size: </w:t>
            </w:r>
          </w:p>
          <w:p w14:paraId="7AF8B5B6"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 pre-tied 40mm suture loop</w:t>
            </w:r>
          </w:p>
        </w:tc>
      </w:tr>
      <w:tr w:rsidR="007062E8" w:rsidRPr="005B2267" w14:paraId="2995BC8E" w14:textId="77777777" w:rsidTr="005B2267">
        <w:tc>
          <w:tcPr>
            <w:tcW w:w="1555" w:type="dxa"/>
          </w:tcPr>
          <w:p w14:paraId="2639E6A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Anchoring mechanism</w:t>
            </w:r>
          </w:p>
        </w:tc>
        <w:tc>
          <w:tcPr>
            <w:tcW w:w="1275" w:type="dxa"/>
          </w:tcPr>
          <w:p w14:paraId="1652D77C" w14:textId="77777777" w:rsidR="007062E8" w:rsidRPr="004E591E" w:rsidRDefault="007062E8" w:rsidP="00B433D8">
            <w:pPr>
              <w:spacing w:line="240" w:lineRule="auto"/>
              <w:rPr>
                <w:rFonts w:cstheme="minorHAnsi"/>
                <w:sz w:val="20"/>
                <w:szCs w:val="20"/>
                <w:lang w:val="en-US"/>
              </w:rPr>
            </w:pPr>
            <w:r w:rsidRPr="004E591E">
              <w:rPr>
                <w:rFonts w:cstheme="minorHAnsi"/>
                <w:color w:val="000000" w:themeColor="text1"/>
                <w:sz w:val="20"/>
                <w:szCs w:val="20"/>
                <w:lang w:val="en-US"/>
              </w:rPr>
              <w:t xml:space="preserve">Anchoring by compression and 2 rows of 10 active fixation </w:t>
            </w:r>
            <w:r w:rsidRPr="004E591E">
              <w:rPr>
                <w:rFonts w:cstheme="minorHAnsi"/>
                <w:color w:val="000000" w:themeColor="text1"/>
                <w:sz w:val="20"/>
                <w:szCs w:val="20"/>
                <w:lang w:val="en-US"/>
              </w:rPr>
              <w:lastRenderedPageBreak/>
              <w:t xml:space="preserve">hooks around the perimeter of the device </w:t>
            </w:r>
          </w:p>
        </w:tc>
        <w:tc>
          <w:tcPr>
            <w:tcW w:w="1560" w:type="dxa"/>
          </w:tcPr>
          <w:p w14:paraId="03216DB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lastRenderedPageBreak/>
              <w:t>20 points of anchoring:</w:t>
            </w:r>
          </w:p>
          <w:p w14:paraId="347ACBC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10 bi-directional anchors and10 single anchors located at the </w:t>
            </w:r>
            <w:r w:rsidRPr="004E591E">
              <w:rPr>
                <w:rFonts w:cstheme="minorHAnsi"/>
                <w:sz w:val="20"/>
                <w:szCs w:val="20"/>
                <w:lang w:val="en-US"/>
              </w:rPr>
              <w:lastRenderedPageBreak/>
              <w:t>distal part of the device (anchors are retractable)</w:t>
            </w:r>
          </w:p>
          <w:p w14:paraId="65E7E037" w14:textId="77777777" w:rsidR="007062E8" w:rsidRPr="004E591E" w:rsidRDefault="007062E8" w:rsidP="00B433D8">
            <w:pPr>
              <w:spacing w:line="240" w:lineRule="auto"/>
              <w:rPr>
                <w:rFonts w:cstheme="minorHAnsi"/>
                <w:sz w:val="20"/>
                <w:szCs w:val="20"/>
                <w:lang w:val="en-US"/>
              </w:rPr>
            </w:pPr>
          </w:p>
        </w:tc>
        <w:tc>
          <w:tcPr>
            <w:tcW w:w="1842" w:type="dxa"/>
          </w:tcPr>
          <w:p w14:paraId="0B918FC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lastRenderedPageBreak/>
              <w:t>Anchoring by compression and small hooks around the distal part of the lobe</w:t>
            </w:r>
          </w:p>
          <w:p w14:paraId="6A465B93" w14:textId="77777777" w:rsidR="007062E8" w:rsidRPr="004E591E" w:rsidRDefault="007062E8" w:rsidP="00B433D8">
            <w:pPr>
              <w:spacing w:line="240" w:lineRule="auto"/>
              <w:rPr>
                <w:rFonts w:cstheme="minorHAnsi"/>
                <w:sz w:val="20"/>
                <w:szCs w:val="20"/>
                <w:lang w:val="en-US"/>
              </w:rPr>
            </w:pPr>
          </w:p>
        </w:tc>
        <w:tc>
          <w:tcPr>
            <w:tcW w:w="1701" w:type="dxa"/>
          </w:tcPr>
          <w:p w14:paraId="283407C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Anchoring by 8 small distal hooks that engage to the LAA wall, 8 bigger proximal barbs that are </w:t>
            </w:r>
            <w:r w:rsidRPr="004E591E">
              <w:rPr>
                <w:rFonts w:cstheme="minorHAnsi"/>
                <w:sz w:val="20"/>
                <w:szCs w:val="20"/>
                <w:lang w:val="en-US"/>
              </w:rPr>
              <w:lastRenderedPageBreak/>
              <w:t>trapped in trabeculations and an over-sized umbrella (compression).</w:t>
            </w:r>
          </w:p>
          <w:p w14:paraId="6F1AE396" w14:textId="77777777" w:rsidR="007062E8" w:rsidRPr="004E591E" w:rsidRDefault="007062E8" w:rsidP="00B433D8">
            <w:pPr>
              <w:spacing w:line="240" w:lineRule="auto"/>
              <w:rPr>
                <w:rFonts w:cstheme="minorHAnsi"/>
                <w:sz w:val="20"/>
                <w:szCs w:val="20"/>
                <w:lang w:val="en-US"/>
              </w:rPr>
            </w:pPr>
          </w:p>
        </w:tc>
        <w:tc>
          <w:tcPr>
            <w:tcW w:w="1560" w:type="dxa"/>
          </w:tcPr>
          <w:p w14:paraId="7599D538" w14:textId="77777777" w:rsidR="007062E8" w:rsidRPr="004E591E" w:rsidRDefault="007062E8" w:rsidP="00B433D8">
            <w:pPr>
              <w:spacing w:line="240" w:lineRule="auto"/>
              <w:rPr>
                <w:rFonts w:cstheme="minorHAnsi"/>
                <w:sz w:val="20"/>
                <w:szCs w:val="20"/>
                <w:lang w:val="en-US"/>
              </w:rPr>
            </w:pPr>
            <w:r w:rsidRPr="004E591E">
              <w:rPr>
                <w:rFonts w:eastAsia="Times New Roman" w:cstheme="minorHAnsi"/>
                <w:sz w:val="20"/>
                <w:szCs w:val="20"/>
                <w:lang w:val="en-US" w:eastAsia="de-DE"/>
              </w:rPr>
              <w:lastRenderedPageBreak/>
              <w:t xml:space="preserve">Suture tightening and fixation with a knot </w:t>
            </w:r>
          </w:p>
        </w:tc>
      </w:tr>
      <w:tr w:rsidR="007062E8" w:rsidRPr="005B2267" w14:paraId="53EB110F" w14:textId="77777777" w:rsidTr="005B2267">
        <w:tc>
          <w:tcPr>
            <w:tcW w:w="1555" w:type="dxa"/>
          </w:tcPr>
          <w:p w14:paraId="706F6D1F"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Required LZ</w:t>
            </w:r>
            <w:r>
              <w:rPr>
                <w:rFonts w:cstheme="minorHAnsi"/>
                <w:sz w:val="20"/>
                <w:szCs w:val="20"/>
                <w:lang w:val="en-US"/>
              </w:rPr>
              <w:t xml:space="preserve"> </w:t>
            </w:r>
            <w:r w:rsidRPr="004E591E">
              <w:rPr>
                <w:rFonts w:cstheme="minorHAnsi"/>
                <w:sz w:val="20"/>
                <w:szCs w:val="20"/>
                <w:lang w:val="en-US"/>
              </w:rPr>
              <w:t>diameters</w:t>
            </w:r>
          </w:p>
        </w:tc>
        <w:tc>
          <w:tcPr>
            <w:tcW w:w="1275" w:type="dxa"/>
          </w:tcPr>
          <w:p w14:paraId="7DBA40C9"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14-31.5</w:t>
            </w:r>
            <w:r>
              <w:rPr>
                <w:rFonts w:cstheme="minorHAnsi"/>
                <w:sz w:val="20"/>
                <w:szCs w:val="20"/>
                <w:lang w:val="en-US"/>
              </w:rPr>
              <w:t xml:space="preserve"> </w:t>
            </w:r>
            <w:r w:rsidRPr="004E591E">
              <w:rPr>
                <w:rFonts w:cstheme="minorHAnsi"/>
                <w:sz w:val="20"/>
                <w:szCs w:val="20"/>
                <w:lang w:val="en-US"/>
              </w:rPr>
              <w:t>mm</w:t>
            </w:r>
          </w:p>
        </w:tc>
        <w:tc>
          <w:tcPr>
            <w:tcW w:w="1560" w:type="dxa"/>
          </w:tcPr>
          <w:p w14:paraId="6D5448E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14-32</w:t>
            </w:r>
            <w:r>
              <w:rPr>
                <w:rFonts w:cstheme="minorHAnsi"/>
                <w:sz w:val="20"/>
                <w:szCs w:val="20"/>
                <w:lang w:val="en-US"/>
              </w:rPr>
              <w:t xml:space="preserve"> </w:t>
            </w:r>
            <w:r w:rsidRPr="004E591E">
              <w:rPr>
                <w:rFonts w:cstheme="minorHAnsi"/>
                <w:sz w:val="20"/>
                <w:szCs w:val="20"/>
                <w:lang w:val="en-US"/>
              </w:rPr>
              <w:t>mm</w:t>
            </w:r>
            <w:r>
              <w:rPr>
                <w:rFonts w:cstheme="minorHAnsi"/>
                <w:sz w:val="20"/>
                <w:szCs w:val="20"/>
                <w:lang w:val="en-US"/>
              </w:rPr>
              <w:t xml:space="preserve"> </w:t>
            </w:r>
          </w:p>
        </w:tc>
        <w:tc>
          <w:tcPr>
            <w:tcW w:w="1842" w:type="dxa"/>
          </w:tcPr>
          <w:p w14:paraId="557D45F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11-31</w:t>
            </w:r>
            <w:r>
              <w:rPr>
                <w:rFonts w:cstheme="minorHAnsi"/>
                <w:sz w:val="20"/>
                <w:szCs w:val="20"/>
                <w:lang w:val="en-US"/>
              </w:rPr>
              <w:t xml:space="preserve"> </w:t>
            </w:r>
            <w:r w:rsidRPr="004E591E">
              <w:rPr>
                <w:rFonts w:cstheme="minorHAnsi"/>
                <w:sz w:val="20"/>
                <w:szCs w:val="20"/>
                <w:lang w:val="en-US"/>
              </w:rPr>
              <w:t>mm</w:t>
            </w:r>
          </w:p>
        </w:tc>
        <w:tc>
          <w:tcPr>
            <w:tcW w:w="1701" w:type="dxa"/>
          </w:tcPr>
          <w:p w14:paraId="41F3022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14-34</w:t>
            </w:r>
            <w:r>
              <w:rPr>
                <w:rFonts w:cstheme="minorHAnsi"/>
                <w:sz w:val="20"/>
                <w:szCs w:val="20"/>
                <w:lang w:val="en-US"/>
              </w:rPr>
              <w:t xml:space="preserve"> </w:t>
            </w:r>
            <w:r w:rsidRPr="004E591E">
              <w:rPr>
                <w:rFonts w:cstheme="minorHAnsi"/>
                <w:sz w:val="20"/>
                <w:szCs w:val="20"/>
                <w:lang w:val="en-US"/>
              </w:rPr>
              <w:t>mm</w:t>
            </w:r>
          </w:p>
        </w:tc>
        <w:tc>
          <w:tcPr>
            <w:tcW w:w="1560" w:type="dxa"/>
          </w:tcPr>
          <w:p w14:paraId="22A68D0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LAA ostium size &lt;</w:t>
            </w:r>
            <w:r>
              <w:rPr>
                <w:rFonts w:cstheme="minorHAnsi"/>
                <w:sz w:val="20"/>
                <w:szCs w:val="20"/>
                <w:lang w:val="en-US"/>
              </w:rPr>
              <w:t xml:space="preserve"> </w:t>
            </w:r>
            <w:r w:rsidRPr="004E591E">
              <w:rPr>
                <w:rFonts w:cstheme="minorHAnsi"/>
                <w:sz w:val="20"/>
                <w:szCs w:val="20"/>
                <w:lang w:val="en-US"/>
              </w:rPr>
              <w:t>40</w:t>
            </w:r>
            <w:r>
              <w:rPr>
                <w:rFonts w:cstheme="minorHAnsi"/>
                <w:sz w:val="20"/>
                <w:szCs w:val="20"/>
                <w:lang w:val="en-US"/>
              </w:rPr>
              <w:t xml:space="preserve"> </w:t>
            </w:r>
            <w:r w:rsidRPr="004E591E">
              <w:rPr>
                <w:rFonts w:cstheme="minorHAnsi"/>
                <w:sz w:val="20"/>
                <w:szCs w:val="20"/>
                <w:lang w:val="en-US"/>
              </w:rPr>
              <w:t>mm (measured in CT), sizes up to 70 mm in length</w:t>
            </w:r>
          </w:p>
          <w:p w14:paraId="6A7E015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can be treated. (patients with superiorly orientated LAAs</w:t>
            </w:r>
            <w:r w:rsidRPr="004E591E">
              <w:rPr>
                <w:rFonts w:cstheme="minorHAnsi"/>
                <w:iCs/>
                <w:sz w:val="20"/>
                <w:szCs w:val="20"/>
                <w:lang w:val="en-US"/>
              </w:rPr>
              <w:t xml:space="preserve"> and with an LAA located under a pulmonary artery</w:t>
            </w:r>
            <w:r w:rsidRPr="004E591E">
              <w:rPr>
                <w:rFonts w:cstheme="minorHAnsi"/>
                <w:sz w:val="20"/>
                <w:szCs w:val="20"/>
                <w:lang w:val="en-US"/>
              </w:rPr>
              <w:t xml:space="preserve"> cannot be closed)</w:t>
            </w:r>
          </w:p>
          <w:p w14:paraId="7F073E39" w14:textId="77777777" w:rsidR="007062E8" w:rsidRPr="004E591E" w:rsidRDefault="007062E8" w:rsidP="00B433D8">
            <w:pPr>
              <w:spacing w:line="240" w:lineRule="auto"/>
              <w:rPr>
                <w:rFonts w:cstheme="minorHAnsi"/>
                <w:sz w:val="20"/>
                <w:szCs w:val="20"/>
                <w:lang w:val="en-US"/>
              </w:rPr>
            </w:pPr>
          </w:p>
        </w:tc>
      </w:tr>
      <w:tr w:rsidR="007062E8" w:rsidRPr="004E591E" w14:paraId="63C76D31" w14:textId="77777777" w:rsidTr="005B2267">
        <w:tc>
          <w:tcPr>
            <w:tcW w:w="1555" w:type="dxa"/>
          </w:tcPr>
          <w:p w14:paraId="7BFA4C2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Required length of anchoring lobe in the axis of the device</w:t>
            </w:r>
          </w:p>
        </w:tc>
        <w:tc>
          <w:tcPr>
            <w:tcW w:w="1275" w:type="dxa"/>
          </w:tcPr>
          <w:p w14:paraId="4C478C7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approximately half of the device diameter or longer</w:t>
            </w:r>
          </w:p>
        </w:tc>
        <w:tc>
          <w:tcPr>
            <w:tcW w:w="1560" w:type="dxa"/>
          </w:tcPr>
          <w:p w14:paraId="6FE4A272"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&lt;</w:t>
            </w:r>
            <w:r>
              <w:rPr>
                <w:rFonts w:cstheme="minorHAnsi"/>
                <w:sz w:val="20"/>
                <w:szCs w:val="20"/>
                <w:lang w:val="en-US"/>
              </w:rPr>
              <w:t xml:space="preserve"> </w:t>
            </w:r>
            <w:r w:rsidRPr="004E591E">
              <w:rPr>
                <w:rFonts w:cstheme="minorHAnsi"/>
                <w:sz w:val="20"/>
                <w:szCs w:val="20"/>
                <w:lang w:val="en-US"/>
              </w:rPr>
              <w:t>10</w:t>
            </w:r>
            <w:r>
              <w:rPr>
                <w:rFonts w:cstheme="minorHAnsi"/>
                <w:sz w:val="20"/>
                <w:szCs w:val="20"/>
                <w:lang w:val="en-US"/>
              </w:rPr>
              <w:t xml:space="preserve"> </w:t>
            </w:r>
            <w:r w:rsidRPr="004E591E">
              <w:rPr>
                <w:rFonts w:cstheme="minorHAnsi"/>
                <w:sz w:val="20"/>
                <w:szCs w:val="20"/>
                <w:lang w:val="en-US"/>
              </w:rPr>
              <w:t>mm</w:t>
            </w:r>
          </w:p>
        </w:tc>
        <w:tc>
          <w:tcPr>
            <w:tcW w:w="1842" w:type="dxa"/>
          </w:tcPr>
          <w:p w14:paraId="3138DAD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w:t>
            </w:r>
            <w:r>
              <w:rPr>
                <w:rFonts w:cstheme="minorHAnsi"/>
                <w:sz w:val="20"/>
                <w:szCs w:val="20"/>
                <w:lang w:val="en-US"/>
              </w:rPr>
              <w:t xml:space="preserve"> </w:t>
            </w:r>
            <w:r w:rsidRPr="004E591E">
              <w:rPr>
                <w:rFonts w:cstheme="minorHAnsi"/>
                <w:sz w:val="20"/>
                <w:szCs w:val="20"/>
                <w:lang w:val="en-US"/>
              </w:rPr>
              <w:t>10</w:t>
            </w:r>
            <w:r>
              <w:rPr>
                <w:rFonts w:cstheme="minorHAnsi"/>
                <w:sz w:val="20"/>
                <w:szCs w:val="20"/>
                <w:lang w:val="en-US"/>
              </w:rPr>
              <w:t xml:space="preserve"> </w:t>
            </w:r>
            <w:r w:rsidRPr="004E591E">
              <w:rPr>
                <w:rFonts w:cstheme="minorHAnsi"/>
                <w:sz w:val="20"/>
                <w:szCs w:val="20"/>
                <w:lang w:val="en-US"/>
              </w:rPr>
              <w:t>mm for 16-22</w:t>
            </w:r>
            <w:r>
              <w:rPr>
                <w:rFonts w:cstheme="minorHAnsi"/>
                <w:sz w:val="20"/>
                <w:szCs w:val="20"/>
                <w:lang w:val="en-US"/>
              </w:rPr>
              <w:t xml:space="preserve"> </w:t>
            </w:r>
            <w:r w:rsidRPr="004E591E">
              <w:rPr>
                <w:rFonts w:cstheme="minorHAnsi"/>
                <w:sz w:val="20"/>
                <w:szCs w:val="20"/>
                <w:lang w:val="en-US"/>
              </w:rPr>
              <w:t>mm devices</w:t>
            </w:r>
          </w:p>
          <w:p w14:paraId="6D3115E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 </w:t>
            </w:r>
          </w:p>
          <w:p w14:paraId="0F21C23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≥12</w:t>
            </w:r>
            <w:r>
              <w:rPr>
                <w:rFonts w:cstheme="minorHAnsi"/>
                <w:sz w:val="20"/>
                <w:szCs w:val="20"/>
                <w:lang w:val="en-US"/>
              </w:rPr>
              <w:t xml:space="preserve"> </w:t>
            </w:r>
            <w:r w:rsidRPr="004E591E">
              <w:rPr>
                <w:rFonts w:cstheme="minorHAnsi"/>
                <w:sz w:val="20"/>
                <w:szCs w:val="20"/>
                <w:lang w:val="en-US"/>
              </w:rPr>
              <w:t>mm for 25-34</w:t>
            </w:r>
            <w:r>
              <w:rPr>
                <w:rFonts w:cstheme="minorHAnsi"/>
                <w:sz w:val="20"/>
                <w:szCs w:val="20"/>
                <w:lang w:val="en-US"/>
              </w:rPr>
              <w:t xml:space="preserve"> </w:t>
            </w:r>
            <w:r w:rsidRPr="004E591E">
              <w:rPr>
                <w:rFonts w:cstheme="minorHAnsi"/>
                <w:sz w:val="20"/>
                <w:szCs w:val="20"/>
                <w:lang w:val="en-US"/>
              </w:rPr>
              <w:t xml:space="preserve">mm devices </w:t>
            </w:r>
          </w:p>
        </w:tc>
        <w:tc>
          <w:tcPr>
            <w:tcW w:w="1701" w:type="dxa"/>
          </w:tcPr>
          <w:p w14:paraId="1D249186"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10mm</w:t>
            </w:r>
          </w:p>
        </w:tc>
        <w:tc>
          <w:tcPr>
            <w:tcW w:w="1560" w:type="dxa"/>
          </w:tcPr>
          <w:p w14:paraId="1EEF777B" w14:textId="77777777" w:rsidR="007062E8" w:rsidRPr="004E591E" w:rsidRDefault="007062E8" w:rsidP="00B433D8">
            <w:pPr>
              <w:autoSpaceDE w:val="0"/>
              <w:autoSpaceDN w:val="0"/>
              <w:adjustRightInd w:val="0"/>
              <w:spacing w:line="240" w:lineRule="auto"/>
              <w:rPr>
                <w:rFonts w:cstheme="minorHAnsi"/>
                <w:sz w:val="20"/>
                <w:szCs w:val="20"/>
                <w:lang w:val="en-US"/>
              </w:rPr>
            </w:pPr>
            <w:r w:rsidRPr="004E591E">
              <w:rPr>
                <w:rFonts w:cstheme="minorHAnsi"/>
                <w:sz w:val="20"/>
                <w:szCs w:val="20"/>
                <w:lang w:val="en-US"/>
              </w:rPr>
              <w:t>-</w:t>
            </w:r>
          </w:p>
        </w:tc>
      </w:tr>
      <w:tr w:rsidR="007062E8" w:rsidRPr="005B2267" w14:paraId="33B7C6B0" w14:textId="77777777" w:rsidTr="005B2267">
        <w:tc>
          <w:tcPr>
            <w:tcW w:w="1555" w:type="dxa"/>
          </w:tcPr>
          <w:p w14:paraId="74B4E3E3"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Retrievable</w:t>
            </w:r>
          </w:p>
        </w:tc>
        <w:tc>
          <w:tcPr>
            <w:tcW w:w="1275" w:type="dxa"/>
          </w:tcPr>
          <w:p w14:paraId="5A977BA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560" w:type="dxa"/>
          </w:tcPr>
          <w:p w14:paraId="007020DF"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842" w:type="dxa"/>
          </w:tcPr>
          <w:p w14:paraId="68A9C50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p w14:paraId="53F7A7D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(It is recommended to change the delivery sheath after a full device retrieval)</w:t>
            </w:r>
          </w:p>
        </w:tc>
        <w:tc>
          <w:tcPr>
            <w:tcW w:w="1701" w:type="dxa"/>
          </w:tcPr>
          <w:p w14:paraId="5EEE6DF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560" w:type="dxa"/>
          </w:tcPr>
          <w:p w14:paraId="7BFDA9E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yes </w:t>
            </w:r>
          </w:p>
          <w:p w14:paraId="4D6B981F"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(retrieval may be difficult in the presence of a </w:t>
            </w:r>
            <w:proofErr w:type="spellStart"/>
            <w:r w:rsidRPr="004E591E">
              <w:rPr>
                <w:rFonts w:cstheme="minorHAnsi"/>
                <w:sz w:val="20"/>
                <w:szCs w:val="20"/>
                <w:lang w:val="en-US"/>
              </w:rPr>
              <w:t>chickenwing</w:t>
            </w:r>
            <w:proofErr w:type="spellEnd"/>
            <w:r w:rsidRPr="004E591E">
              <w:rPr>
                <w:rFonts w:cstheme="minorHAnsi"/>
                <w:sz w:val="20"/>
                <w:szCs w:val="20"/>
                <w:lang w:val="en-US"/>
              </w:rPr>
              <w:t xml:space="preserve"> LAA)</w:t>
            </w:r>
          </w:p>
        </w:tc>
      </w:tr>
      <w:tr w:rsidR="007062E8" w:rsidRPr="004E591E" w14:paraId="7D3FB88A" w14:textId="77777777" w:rsidTr="005B2267">
        <w:tc>
          <w:tcPr>
            <w:tcW w:w="1555" w:type="dxa"/>
          </w:tcPr>
          <w:p w14:paraId="2C4E173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Repositionable</w:t>
            </w:r>
          </w:p>
        </w:tc>
        <w:tc>
          <w:tcPr>
            <w:tcW w:w="1275" w:type="dxa"/>
          </w:tcPr>
          <w:p w14:paraId="4ADD8B8C"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560" w:type="dxa"/>
          </w:tcPr>
          <w:p w14:paraId="303F4949"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842" w:type="dxa"/>
          </w:tcPr>
          <w:p w14:paraId="06EB3DA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701" w:type="dxa"/>
          </w:tcPr>
          <w:p w14:paraId="09A9EC9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c>
          <w:tcPr>
            <w:tcW w:w="1560" w:type="dxa"/>
          </w:tcPr>
          <w:p w14:paraId="56E729E9"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yes</w:t>
            </w:r>
          </w:p>
        </w:tc>
      </w:tr>
      <w:tr w:rsidR="007062E8" w:rsidRPr="004E591E" w14:paraId="6BA205CE" w14:textId="77777777" w:rsidTr="005B2267">
        <w:tc>
          <w:tcPr>
            <w:tcW w:w="1555" w:type="dxa"/>
          </w:tcPr>
          <w:p w14:paraId="109791B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Selection of device size</w:t>
            </w:r>
          </w:p>
        </w:tc>
        <w:tc>
          <w:tcPr>
            <w:tcW w:w="1275" w:type="dxa"/>
          </w:tcPr>
          <w:p w14:paraId="21BE4F5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2-4</w:t>
            </w:r>
            <w:r>
              <w:rPr>
                <w:rFonts w:cstheme="minorHAnsi"/>
                <w:sz w:val="20"/>
                <w:szCs w:val="20"/>
                <w:lang w:val="en-US"/>
              </w:rPr>
              <w:t xml:space="preserve"> </w:t>
            </w:r>
            <w:r w:rsidRPr="004E591E">
              <w:rPr>
                <w:rFonts w:cstheme="minorHAnsi"/>
                <w:sz w:val="20"/>
                <w:szCs w:val="20"/>
                <w:lang w:val="en-US"/>
              </w:rPr>
              <w:t>mm larger than longest measured diameter at the LZ (oversizing up to 30</w:t>
            </w:r>
            <w:r>
              <w:rPr>
                <w:rFonts w:cstheme="minorHAnsi"/>
                <w:sz w:val="20"/>
                <w:szCs w:val="20"/>
                <w:lang w:val="en-US"/>
              </w:rPr>
              <w:t xml:space="preserve"> </w:t>
            </w:r>
            <w:r w:rsidRPr="004E591E">
              <w:rPr>
                <w:rFonts w:cstheme="minorHAnsi"/>
                <w:sz w:val="20"/>
                <w:szCs w:val="20"/>
                <w:lang w:val="en-US"/>
              </w:rPr>
              <w:t>% is possible)</w:t>
            </w:r>
          </w:p>
        </w:tc>
        <w:tc>
          <w:tcPr>
            <w:tcW w:w="1560" w:type="dxa"/>
          </w:tcPr>
          <w:p w14:paraId="1CF643A7"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The longest and shortest LAA diameters are plotted on a sizing chart. The longest measured diameter should not exceed the device size. The device size should be at least 3mm larger than the average of the shortest and the longest diameter </w:t>
            </w:r>
          </w:p>
          <w:p w14:paraId="2E8E13F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(oversizing is not recommended)</w:t>
            </w:r>
          </w:p>
        </w:tc>
        <w:tc>
          <w:tcPr>
            <w:tcW w:w="1842" w:type="dxa"/>
          </w:tcPr>
          <w:p w14:paraId="1BA1C53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Diameter of the lobe: 1.5 -3.4</w:t>
            </w:r>
            <w:r>
              <w:rPr>
                <w:rFonts w:cstheme="minorHAnsi"/>
                <w:sz w:val="20"/>
                <w:szCs w:val="20"/>
                <w:lang w:val="en-US"/>
              </w:rPr>
              <w:t xml:space="preserve"> </w:t>
            </w:r>
            <w:r w:rsidRPr="004E591E">
              <w:rPr>
                <w:rFonts w:cstheme="minorHAnsi"/>
                <w:sz w:val="20"/>
                <w:szCs w:val="20"/>
                <w:lang w:val="en-US"/>
              </w:rPr>
              <w:t xml:space="preserve">mm larger than the longest measured diameter at the LZ. </w:t>
            </w:r>
          </w:p>
          <w:p w14:paraId="28170BC6"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The size of the disc needs to be larger than the LAA ostium</w:t>
            </w:r>
          </w:p>
          <w:p w14:paraId="172B610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(relevant oversizing should be avoided) </w:t>
            </w:r>
          </w:p>
        </w:tc>
        <w:tc>
          <w:tcPr>
            <w:tcW w:w="1701" w:type="dxa"/>
          </w:tcPr>
          <w:p w14:paraId="763628EC"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Diameter of the umbrella: 2-6</w:t>
            </w:r>
            <w:r>
              <w:rPr>
                <w:rFonts w:cstheme="minorHAnsi"/>
                <w:sz w:val="20"/>
                <w:szCs w:val="20"/>
                <w:lang w:val="en-US"/>
              </w:rPr>
              <w:t xml:space="preserve"> </w:t>
            </w:r>
            <w:r w:rsidRPr="004E591E">
              <w:rPr>
                <w:rFonts w:cstheme="minorHAnsi"/>
                <w:sz w:val="20"/>
                <w:szCs w:val="20"/>
                <w:lang w:val="en-US"/>
              </w:rPr>
              <w:t>mm (or 10-25</w:t>
            </w:r>
            <w:r>
              <w:rPr>
                <w:rFonts w:cstheme="minorHAnsi"/>
                <w:sz w:val="20"/>
                <w:szCs w:val="20"/>
                <w:lang w:val="en-US"/>
              </w:rPr>
              <w:t xml:space="preserve"> </w:t>
            </w:r>
            <w:r w:rsidRPr="004E591E">
              <w:rPr>
                <w:rFonts w:cstheme="minorHAnsi"/>
                <w:sz w:val="20"/>
                <w:szCs w:val="20"/>
                <w:lang w:val="en-US"/>
              </w:rPr>
              <w:t>%) larger than the longest measured ostial diameter</w:t>
            </w:r>
          </w:p>
          <w:p w14:paraId="16CCEEB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(oversizing up to 40</w:t>
            </w:r>
            <w:r>
              <w:rPr>
                <w:rFonts w:cstheme="minorHAnsi"/>
                <w:sz w:val="20"/>
                <w:szCs w:val="20"/>
                <w:lang w:val="en-US"/>
              </w:rPr>
              <w:t xml:space="preserve"> </w:t>
            </w:r>
            <w:r w:rsidRPr="004E591E">
              <w:rPr>
                <w:rFonts w:cstheme="minorHAnsi"/>
                <w:sz w:val="20"/>
                <w:szCs w:val="20"/>
                <w:lang w:val="en-US"/>
              </w:rPr>
              <w:t>% is possible)</w:t>
            </w:r>
          </w:p>
          <w:p w14:paraId="4EEE4ABA"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The size of the cover needs to be larger than the LAA ostium</w:t>
            </w:r>
          </w:p>
        </w:tc>
        <w:tc>
          <w:tcPr>
            <w:tcW w:w="1560" w:type="dxa"/>
          </w:tcPr>
          <w:p w14:paraId="26B5AB85"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w:t>
            </w:r>
          </w:p>
          <w:p w14:paraId="2281E103" w14:textId="77777777" w:rsidR="007062E8" w:rsidRPr="004E591E" w:rsidRDefault="007062E8" w:rsidP="00B433D8">
            <w:pPr>
              <w:spacing w:line="240" w:lineRule="auto"/>
              <w:rPr>
                <w:rFonts w:cstheme="minorHAnsi"/>
                <w:sz w:val="20"/>
                <w:szCs w:val="20"/>
                <w:lang w:val="en-US"/>
              </w:rPr>
            </w:pPr>
          </w:p>
        </w:tc>
      </w:tr>
      <w:tr w:rsidR="007062E8" w:rsidRPr="005B2267" w14:paraId="48A657C6" w14:textId="77777777" w:rsidTr="005B2267">
        <w:tc>
          <w:tcPr>
            <w:tcW w:w="1555" w:type="dxa"/>
          </w:tcPr>
          <w:p w14:paraId="41C5A83F"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lastRenderedPageBreak/>
              <w:t>Delivery sheath sizes and configurations</w:t>
            </w:r>
          </w:p>
        </w:tc>
        <w:tc>
          <w:tcPr>
            <w:tcW w:w="1275" w:type="dxa"/>
          </w:tcPr>
          <w:p w14:paraId="56D44ED4"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1 size: </w:t>
            </w:r>
            <w:proofErr w:type="gramStart"/>
            <w:r w:rsidRPr="004E591E">
              <w:rPr>
                <w:rFonts w:cstheme="minorHAnsi"/>
                <w:sz w:val="20"/>
                <w:szCs w:val="20"/>
                <w:lang w:val="en-US"/>
              </w:rPr>
              <w:t>12F;</w:t>
            </w:r>
            <w:proofErr w:type="gramEnd"/>
            <w:r w:rsidRPr="004E591E">
              <w:rPr>
                <w:rFonts w:cstheme="minorHAnsi"/>
                <w:sz w:val="20"/>
                <w:szCs w:val="20"/>
                <w:lang w:val="en-US"/>
              </w:rPr>
              <w:t xml:space="preserve"> </w:t>
            </w:r>
          </w:p>
          <w:p w14:paraId="29E101F8"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3 different curves (Single, Double (standard), Anterior)</w:t>
            </w:r>
          </w:p>
        </w:tc>
        <w:tc>
          <w:tcPr>
            <w:tcW w:w="1560" w:type="dxa"/>
          </w:tcPr>
          <w:p w14:paraId="38155099"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1 </w:t>
            </w:r>
            <w:proofErr w:type="gramStart"/>
            <w:r w:rsidRPr="004E591E">
              <w:rPr>
                <w:rFonts w:cstheme="minorHAnsi"/>
                <w:sz w:val="20"/>
                <w:szCs w:val="20"/>
                <w:lang w:val="en-US"/>
              </w:rPr>
              <w:t>sizes</w:t>
            </w:r>
            <w:proofErr w:type="gramEnd"/>
            <w:r w:rsidRPr="004E591E">
              <w:rPr>
                <w:rFonts w:cstheme="minorHAnsi"/>
                <w:sz w:val="20"/>
                <w:szCs w:val="20"/>
                <w:lang w:val="en-US"/>
              </w:rPr>
              <w:t>: 15F;</w:t>
            </w:r>
          </w:p>
          <w:p w14:paraId="24C1DEB1"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60° </w:t>
            </w:r>
            <w:proofErr w:type="gramStart"/>
            <w:r w:rsidRPr="004E591E">
              <w:rPr>
                <w:rFonts w:cstheme="minorHAnsi"/>
                <w:sz w:val="20"/>
                <w:szCs w:val="20"/>
                <w:lang w:val="en-US"/>
              </w:rPr>
              <w:t>curve;</w:t>
            </w:r>
            <w:proofErr w:type="gramEnd"/>
          </w:p>
          <w:p w14:paraId="3C88EF5D"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75°curve (standard</w:t>
            </w:r>
            <w:proofErr w:type="gramStart"/>
            <w:r w:rsidRPr="004E591E">
              <w:rPr>
                <w:rFonts w:cstheme="minorHAnsi"/>
                <w:sz w:val="20"/>
                <w:szCs w:val="20"/>
                <w:lang w:val="en-US"/>
              </w:rPr>
              <w:t>);</w:t>
            </w:r>
            <w:proofErr w:type="gramEnd"/>
          </w:p>
          <w:p w14:paraId="6C538C10"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90°curve; 90° S-</w:t>
            </w:r>
            <w:proofErr w:type="gramStart"/>
            <w:r w:rsidRPr="004E591E">
              <w:rPr>
                <w:rFonts w:cstheme="minorHAnsi"/>
                <w:sz w:val="20"/>
                <w:szCs w:val="20"/>
                <w:lang w:val="en-US"/>
              </w:rPr>
              <w:t>curve;</w:t>
            </w:r>
            <w:proofErr w:type="gramEnd"/>
          </w:p>
          <w:p w14:paraId="5C313460" w14:textId="77777777" w:rsidR="007062E8" w:rsidRPr="004E591E" w:rsidRDefault="007062E8" w:rsidP="00B433D8">
            <w:pPr>
              <w:spacing w:line="240" w:lineRule="auto"/>
              <w:rPr>
                <w:rFonts w:cstheme="minorHAnsi"/>
                <w:sz w:val="20"/>
                <w:szCs w:val="20"/>
                <w:lang w:val="en-US"/>
              </w:rPr>
            </w:pPr>
          </w:p>
        </w:tc>
        <w:tc>
          <w:tcPr>
            <w:tcW w:w="1842" w:type="dxa"/>
          </w:tcPr>
          <w:p w14:paraId="66B33CBC"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2 sizes: 12 &amp;14 </w:t>
            </w:r>
            <w:proofErr w:type="gramStart"/>
            <w:r w:rsidRPr="004E591E">
              <w:rPr>
                <w:rFonts w:cstheme="minorHAnsi"/>
                <w:sz w:val="20"/>
                <w:szCs w:val="20"/>
                <w:lang w:val="en-US"/>
              </w:rPr>
              <w:t>F;</w:t>
            </w:r>
            <w:proofErr w:type="gramEnd"/>
          </w:p>
          <w:p w14:paraId="052DEDCA" w14:textId="77777777" w:rsidR="007062E8" w:rsidRPr="004E591E" w:rsidRDefault="007062E8" w:rsidP="00B433D8">
            <w:pPr>
              <w:spacing w:line="240" w:lineRule="auto"/>
              <w:rPr>
                <w:rFonts w:cstheme="minorHAnsi"/>
                <w:sz w:val="20"/>
                <w:szCs w:val="20"/>
                <w:lang w:val="en-US"/>
              </w:rPr>
            </w:pPr>
            <w:proofErr w:type="spellStart"/>
            <w:r w:rsidRPr="004E591E">
              <w:rPr>
                <w:rFonts w:cstheme="minorHAnsi"/>
                <w:sz w:val="20"/>
                <w:szCs w:val="20"/>
                <w:lang w:val="en-US"/>
              </w:rPr>
              <w:t>TorqVue</w:t>
            </w:r>
            <w:r w:rsidRPr="004E591E">
              <w:rPr>
                <w:rFonts w:cstheme="minorHAnsi"/>
                <w:sz w:val="20"/>
                <w:szCs w:val="20"/>
                <w:vertAlign w:val="superscript"/>
                <w:lang w:val="en-US"/>
              </w:rPr>
              <w:t>TM</w:t>
            </w:r>
            <w:proofErr w:type="spellEnd"/>
            <w:r w:rsidRPr="004E591E">
              <w:rPr>
                <w:rFonts w:cstheme="minorHAnsi"/>
                <w:sz w:val="20"/>
                <w:szCs w:val="20"/>
                <w:lang w:val="en-US"/>
              </w:rPr>
              <w:t xml:space="preserve"> 45° x 45° (standard)</w:t>
            </w:r>
          </w:p>
          <w:p w14:paraId="4E080AAA" w14:textId="77777777" w:rsidR="007062E8" w:rsidRPr="004E591E" w:rsidRDefault="007062E8" w:rsidP="00B433D8">
            <w:pPr>
              <w:spacing w:line="240" w:lineRule="auto"/>
              <w:rPr>
                <w:rFonts w:cstheme="minorHAnsi"/>
                <w:sz w:val="20"/>
                <w:szCs w:val="20"/>
                <w:lang w:val="en-US"/>
              </w:rPr>
            </w:pPr>
          </w:p>
          <w:p w14:paraId="258E0303" w14:textId="77777777" w:rsidR="007062E8" w:rsidRPr="004E591E" w:rsidRDefault="007062E8" w:rsidP="00B433D8">
            <w:pPr>
              <w:spacing w:line="240" w:lineRule="auto"/>
              <w:rPr>
                <w:rFonts w:cstheme="minorHAnsi"/>
                <w:sz w:val="20"/>
                <w:szCs w:val="20"/>
                <w:lang w:val="en-US"/>
              </w:rPr>
            </w:pPr>
          </w:p>
        </w:tc>
        <w:tc>
          <w:tcPr>
            <w:tcW w:w="1701" w:type="dxa"/>
          </w:tcPr>
          <w:p w14:paraId="5416491B"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 xml:space="preserve">3 sizes: 8,9 and </w:t>
            </w:r>
            <w:proofErr w:type="gramStart"/>
            <w:r w:rsidRPr="004E591E">
              <w:rPr>
                <w:rFonts w:cstheme="minorHAnsi"/>
                <w:sz w:val="20"/>
                <w:szCs w:val="20"/>
                <w:lang w:val="en-US"/>
              </w:rPr>
              <w:t>10F;</w:t>
            </w:r>
            <w:proofErr w:type="gramEnd"/>
          </w:p>
          <w:p w14:paraId="75FF616E"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Single curve 45° (standard</w:t>
            </w:r>
            <w:proofErr w:type="gramStart"/>
            <w:r w:rsidRPr="004E591E">
              <w:rPr>
                <w:rFonts w:cstheme="minorHAnsi"/>
                <w:sz w:val="20"/>
                <w:szCs w:val="20"/>
                <w:lang w:val="en-US"/>
              </w:rPr>
              <w:t>);</w:t>
            </w:r>
            <w:proofErr w:type="gramEnd"/>
          </w:p>
          <w:p w14:paraId="6149A3E2"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Double curve 45° x 30°</w:t>
            </w:r>
          </w:p>
        </w:tc>
        <w:tc>
          <w:tcPr>
            <w:tcW w:w="1560" w:type="dxa"/>
          </w:tcPr>
          <w:p w14:paraId="6120F6BB" w14:textId="77777777" w:rsidR="007062E8" w:rsidRPr="004E591E" w:rsidRDefault="007062E8" w:rsidP="00B433D8">
            <w:pPr>
              <w:spacing w:line="240" w:lineRule="auto"/>
              <w:rPr>
                <w:rFonts w:cstheme="minorHAnsi"/>
                <w:sz w:val="20"/>
                <w:szCs w:val="20"/>
                <w:lang w:val="en-US"/>
              </w:rPr>
            </w:pPr>
            <w:r w:rsidRPr="004E591E">
              <w:rPr>
                <w:rFonts w:cstheme="minorHAnsi"/>
                <w:sz w:val="20"/>
                <w:szCs w:val="20"/>
                <w:lang w:val="en-US"/>
              </w:rPr>
              <w:t>Pericardial access catheter: 13F; transseptal sheath: 8F</w:t>
            </w:r>
          </w:p>
        </w:tc>
      </w:tr>
    </w:tbl>
    <w:p w14:paraId="308219BA" w14:textId="77777777" w:rsidR="007062E8" w:rsidRPr="004E591E" w:rsidRDefault="007062E8" w:rsidP="007062E8">
      <w:pPr>
        <w:spacing w:after="0" w:line="240" w:lineRule="auto"/>
        <w:rPr>
          <w:rFonts w:cstheme="minorHAnsi"/>
          <w:sz w:val="20"/>
          <w:szCs w:val="20"/>
          <w:lang w:val="en-US"/>
        </w:rPr>
      </w:pPr>
      <w:r w:rsidRPr="004E591E">
        <w:rPr>
          <w:rFonts w:cstheme="minorHAnsi"/>
          <w:sz w:val="20"/>
          <w:szCs w:val="20"/>
          <w:lang w:val="en-US"/>
        </w:rPr>
        <w:t xml:space="preserve">PET= polyethylene terephthalate; </w:t>
      </w:r>
      <w:proofErr w:type="spellStart"/>
      <w:r w:rsidRPr="004E591E">
        <w:rPr>
          <w:rFonts w:cstheme="minorHAnsi"/>
          <w:sz w:val="20"/>
          <w:szCs w:val="20"/>
          <w:lang w:val="en-US"/>
        </w:rPr>
        <w:t>ePTFE</w:t>
      </w:r>
      <w:proofErr w:type="spellEnd"/>
      <w:r w:rsidRPr="004E591E">
        <w:rPr>
          <w:rFonts w:cstheme="minorHAnsi"/>
          <w:sz w:val="20"/>
          <w:szCs w:val="20"/>
          <w:lang w:val="en-US"/>
        </w:rPr>
        <w:t>= expanded polytetrafluoroethylene; LZ= landing zone; LA= left atrium; LAA= left atrial appendage; CT= computed tomography</w:t>
      </w:r>
    </w:p>
    <w:p w14:paraId="0A21C366" w14:textId="77777777" w:rsidR="007062E8" w:rsidRPr="004E591E" w:rsidRDefault="007062E8" w:rsidP="007062E8">
      <w:pPr>
        <w:spacing w:after="0" w:line="240" w:lineRule="auto"/>
        <w:rPr>
          <w:rFonts w:cstheme="minorHAnsi"/>
          <w:sz w:val="20"/>
          <w:szCs w:val="20"/>
          <w:lang w:val="en-US"/>
        </w:rPr>
      </w:pPr>
      <w:r w:rsidRPr="004E591E">
        <w:rPr>
          <w:rFonts w:cstheme="minorHAnsi"/>
          <w:sz w:val="20"/>
          <w:szCs w:val="20"/>
          <w:lang w:val="en-US"/>
        </w:rPr>
        <w:t>*Currently not commercially available</w:t>
      </w:r>
    </w:p>
    <w:p w14:paraId="4C51D6D4" w14:textId="77777777" w:rsidR="007062E8" w:rsidRDefault="007062E8" w:rsidP="007062E8">
      <w:pPr>
        <w:spacing w:after="0" w:line="240" w:lineRule="auto"/>
        <w:rPr>
          <w:rFonts w:ascii="Arial" w:hAnsi="Arial" w:cs="Arial"/>
          <w:sz w:val="20"/>
          <w:szCs w:val="20"/>
          <w:lang w:val="en-US"/>
        </w:rPr>
      </w:pPr>
    </w:p>
    <w:p w14:paraId="509190B2" w14:textId="77777777" w:rsidR="007062E8" w:rsidRDefault="007062E8"/>
    <w:sectPr w:rsidR="007062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Univers LT Std 55">
    <w:altName w:val="Univers LT Std 55"/>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E8"/>
    <w:rsid w:val="0023701A"/>
    <w:rsid w:val="00267200"/>
    <w:rsid w:val="00326F23"/>
    <w:rsid w:val="005B2267"/>
    <w:rsid w:val="007062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DF50FE9"/>
  <w15:chartTrackingRefBased/>
  <w15:docId w15:val="{DA805F21-24CD-104D-BBAA-19CBDA74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62E8"/>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7062E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7062E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7062E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7062E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7062E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7062E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7062E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7062E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7062E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62E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062E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062E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062E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062E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062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062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062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062E8"/>
    <w:rPr>
      <w:rFonts w:eastAsiaTheme="majorEastAsia" w:cstheme="majorBidi"/>
      <w:color w:val="272727" w:themeColor="text1" w:themeTint="D8"/>
    </w:rPr>
  </w:style>
  <w:style w:type="paragraph" w:styleId="Titel">
    <w:name w:val="Title"/>
    <w:basedOn w:val="Standard"/>
    <w:next w:val="Standard"/>
    <w:link w:val="TitelZchn"/>
    <w:uiPriority w:val="10"/>
    <w:qFormat/>
    <w:rsid w:val="007062E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7062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062E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7062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062E8"/>
    <w:pPr>
      <w:spacing w:before="160" w:line="278" w:lineRule="auto"/>
      <w:jc w:val="center"/>
    </w:pPr>
    <w:rPr>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7062E8"/>
    <w:rPr>
      <w:i/>
      <w:iCs/>
      <w:color w:val="404040" w:themeColor="text1" w:themeTint="BF"/>
    </w:rPr>
  </w:style>
  <w:style w:type="paragraph" w:styleId="Listenabsatz">
    <w:name w:val="List Paragraph"/>
    <w:basedOn w:val="Standard"/>
    <w:uiPriority w:val="34"/>
    <w:qFormat/>
    <w:rsid w:val="007062E8"/>
    <w:pPr>
      <w:spacing w:line="278" w:lineRule="auto"/>
      <w:ind w:left="720"/>
      <w:contextualSpacing/>
    </w:pPr>
    <w:rPr>
      <w:kern w:val="2"/>
      <w:sz w:val="24"/>
      <w:szCs w:val="24"/>
      <w14:ligatures w14:val="standardContextual"/>
    </w:rPr>
  </w:style>
  <w:style w:type="character" w:styleId="IntensiveHervorhebung">
    <w:name w:val="Intense Emphasis"/>
    <w:basedOn w:val="Absatz-Standardschriftart"/>
    <w:uiPriority w:val="21"/>
    <w:qFormat/>
    <w:rsid w:val="007062E8"/>
    <w:rPr>
      <w:i/>
      <w:iCs/>
      <w:color w:val="0F4761" w:themeColor="accent1" w:themeShade="BF"/>
    </w:rPr>
  </w:style>
  <w:style w:type="paragraph" w:styleId="IntensivesZitat">
    <w:name w:val="Intense Quote"/>
    <w:basedOn w:val="Standard"/>
    <w:next w:val="Standard"/>
    <w:link w:val="IntensivesZitatZchn"/>
    <w:uiPriority w:val="30"/>
    <w:qFormat/>
    <w:rsid w:val="007062E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7062E8"/>
    <w:rPr>
      <w:i/>
      <w:iCs/>
      <w:color w:val="0F4761" w:themeColor="accent1" w:themeShade="BF"/>
    </w:rPr>
  </w:style>
  <w:style w:type="character" w:styleId="IntensiverVerweis">
    <w:name w:val="Intense Reference"/>
    <w:basedOn w:val="Absatz-Standardschriftart"/>
    <w:uiPriority w:val="32"/>
    <w:qFormat/>
    <w:rsid w:val="007062E8"/>
    <w:rPr>
      <w:b/>
      <w:bCs/>
      <w:smallCaps/>
      <w:color w:val="0F4761" w:themeColor="accent1" w:themeShade="BF"/>
      <w:spacing w:val="5"/>
    </w:rPr>
  </w:style>
  <w:style w:type="table" w:styleId="Tabellenraster">
    <w:name w:val="Table Grid"/>
    <w:basedOn w:val="NormaleTabelle"/>
    <w:uiPriority w:val="39"/>
    <w:rsid w:val="007062E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7062E8"/>
    <w:rPr>
      <w:rFonts w:cs="Univers LT Std 55"/>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590</Words>
  <Characters>3722</Characters>
  <Application>Microsoft Office Word</Application>
  <DocSecurity>0</DocSecurity>
  <Lines>31</Lines>
  <Paragraphs>8</Paragraphs>
  <ScaleCrop>false</ScaleCrop>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Hagendorff</dc:creator>
  <cp:keywords/>
  <dc:description/>
  <cp:lastModifiedBy>Andreas Hagendorff</cp:lastModifiedBy>
  <cp:revision>2</cp:revision>
  <dcterms:created xsi:type="dcterms:W3CDTF">2024-06-04T17:20:00Z</dcterms:created>
  <dcterms:modified xsi:type="dcterms:W3CDTF">2024-06-04T17:20:00Z</dcterms:modified>
</cp:coreProperties>
</file>