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EF3" w:rsidRPr="000B18B3" w:rsidRDefault="008E2EF3" w:rsidP="008E2EF3">
      <w:pPr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B18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Files</w:t>
      </w:r>
    </w:p>
    <w:p w:rsidR="008E2EF3" w:rsidRPr="000B18B3" w:rsidRDefault="008E2EF3" w:rsidP="008E2EF3">
      <w:pPr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E2EF3" w:rsidRPr="000B18B3" w:rsidRDefault="008E2EF3" w:rsidP="008E2EF3">
      <w:pPr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B18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Tables</w:t>
      </w:r>
    </w:p>
    <w:p w:rsidR="0025777B" w:rsidRPr="000B18B3" w:rsidRDefault="0025777B" w:rsidP="0025777B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18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</w:t>
      </w:r>
      <w:r w:rsidR="00792E5E" w:rsidRPr="000B18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Pr="000B18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1: Echocardiographic characteristics </w:t>
      </w:r>
      <w:r w:rsidR="00792E5E" w:rsidRPr="000B18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of the study population</w:t>
      </w:r>
      <w:r w:rsidRPr="000B18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tbl>
      <w:tblPr>
        <w:tblW w:w="9640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1701"/>
        <w:gridCol w:w="1843"/>
        <w:gridCol w:w="1843"/>
        <w:gridCol w:w="992"/>
      </w:tblGrid>
      <w:tr w:rsidR="000B18B3" w:rsidRPr="000B18B3" w:rsidTr="00E50230">
        <w:trPr>
          <w:trHeight w:val="386"/>
          <w:jc w:val="center"/>
        </w:trPr>
        <w:tc>
          <w:tcPr>
            <w:tcW w:w="3261" w:type="dxa"/>
            <w:tcBorders>
              <w:top w:val="single" w:sz="8" w:space="0" w:color="auto"/>
              <w:bottom w:val="single" w:sz="8" w:space="0" w:color="auto"/>
            </w:tcBorders>
            <w:shd w:val="clear" w:color="auto" w:fill="E7E6E6" w:themeFill="background2"/>
            <w:vAlign w:val="center"/>
          </w:tcPr>
          <w:p w:rsidR="0025777B" w:rsidRPr="000B18B3" w:rsidRDefault="0025777B" w:rsidP="00E50230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Echocardiographic parameters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E7E6E6" w:themeFill="background2"/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Overall</w:t>
            </w:r>
          </w:p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(</w:t>
            </w:r>
            <w:r w:rsidRPr="000B18B3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bidi="en-US"/>
              </w:rPr>
              <w:t>n</w:t>
            </w: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=277)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shd w:val="clear" w:color="auto" w:fill="E7E6E6" w:themeFill="background2"/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t-PT"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t-PT" w:bidi="en-US"/>
              </w:rPr>
              <w:t>Normal LV GLS</w:t>
            </w:r>
          </w:p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 w:bidi="en-US"/>
              </w:rPr>
              <w:t>(GLS ≤ -18%)</w:t>
            </w:r>
          </w:p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 w:bidi="en-US"/>
              </w:rPr>
              <w:t>(</w:t>
            </w:r>
            <w:r w:rsidRPr="000B18B3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t-PT" w:bidi="en-US"/>
              </w:rPr>
              <w:t>n</w:t>
            </w: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 w:bidi="en-US"/>
              </w:rPr>
              <w:t>=210)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shd w:val="clear" w:color="auto" w:fill="E7E6E6" w:themeFill="background2"/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Subclinical LVSD</w:t>
            </w:r>
          </w:p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(GLS &gt; -18%)</w:t>
            </w:r>
          </w:p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(</w:t>
            </w:r>
            <w:r w:rsidRPr="000B18B3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bidi="en-US"/>
              </w:rPr>
              <w:t>n</w:t>
            </w: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=67)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E7E6E6" w:themeFill="background2"/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bidi="en-US"/>
              </w:rPr>
              <w:t>p-value</w:t>
            </w:r>
          </w:p>
        </w:tc>
      </w:tr>
      <w:tr w:rsidR="000B18B3" w:rsidRPr="000B18B3" w:rsidTr="00E50230">
        <w:trPr>
          <w:trHeight w:val="128"/>
          <w:jc w:val="center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777B" w:rsidRPr="000B18B3" w:rsidRDefault="0025777B" w:rsidP="00E50230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LV end-diastolic diameter index (mm/m</w:t>
            </w: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bidi="en-US"/>
              </w:rPr>
              <w:t>2</w:t>
            </w: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), median (IQR)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26 (24-27)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26 (24-27)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25 (23-27)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0.023</w:t>
            </w:r>
          </w:p>
        </w:tc>
      </w:tr>
      <w:tr w:rsidR="000B18B3" w:rsidRPr="000B18B3" w:rsidTr="00E50230">
        <w:trPr>
          <w:trHeight w:val="128"/>
          <w:jc w:val="center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777B" w:rsidRPr="000B18B3" w:rsidRDefault="0025777B" w:rsidP="00E50230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LV end-systolic diameter index (mm/m</w:t>
            </w: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bidi="en-US"/>
              </w:rPr>
              <w:t>2</w:t>
            </w: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), median (IQR)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16 (14-19)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16 (14-19)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16 (14-18)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0.625</w:t>
            </w:r>
          </w:p>
        </w:tc>
      </w:tr>
      <w:tr w:rsidR="000B18B3" w:rsidRPr="000B18B3" w:rsidTr="00E50230">
        <w:trPr>
          <w:trHeight w:val="128"/>
          <w:jc w:val="center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777B" w:rsidRPr="000B18B3" w:rsidRDefault="0025777B" w:rsidP="00E50230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LV end-diastolic volume index (mL/m</w:t>
            </w: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bidi="en-US"/>
              </w:rPr>
              <w:t>2</w:t>
            </w: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), median (IQR)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47 (40-54)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47 (41-54)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44 (38-53)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0.057</w:t>
            </w:r>
          </w:p>
        </w:tc>
      </w:tr>
      <w:tr w:rsidR="000B18B3" w:rsidRPr="000B18B3" w:rsidTr="00E50230">
        <w:trPr>
          <w:trHeight w:val="128"/>
          <w:jc w:val="center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777B" w:rsidRPr="000B18B3" w:rsidRDefault="0025777B" w:rsidP="00E50230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Stroke volume index (mL/m</w:t>
            </w: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bidi="en-US"/>
              </w:rPr>
              <w:t>2</w:t>
            </w: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), median (IQR)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38 (32-44)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38 (32-44)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36 (31-44)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0.205</w:t>
            </w:r>
          </w:p>
        </w:tc>
      </w:tr>
      <w:tr w:rsidR="000B18B3" w:rsidRPr="000B18B3" w:rsidTr="00E50230">
        <w:trPr>
          <w:trHeight w:val="128"/>
          <w:jc w:val="center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777B" w:rsidRPr="000B18B3" w:rsidRDefault="0025777B" w:rsidP="00E50230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LV relative wall thickness, median (IQR)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0.36 (0.30-0.43)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0.35 (0.30-0.42)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0.41 (0.35-0.50)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&lt;0.001</w:t>
            </w:r>
          </w:p>
        </w:tc>
      </w:tr>
      <w:tr w:rsidR="000B18B3" w:rsidRPr="000B18B3" w:rsidTr="00E50230">
        <w:trPr>
          <w:trHeight w:val="128"/>
          <w:jc w:val="center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777B" w:rsidRPr="000B18B3" w:rsidRDefault="0025777B" w:rsidP="00E50230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LV mass index (g/m</w:t>
            </w: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bidi="en-US"/>
              </w:rPr>
              <w:t>2</w:t>
            </w: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), mean (±SD)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67.3 (±18.9)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64.4 (±18.1)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76.4 (±18.8)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&lt;0.001</w:t>
            </w:r>
          </w:p>
        </w:tc>
      </w:tr>
      <w:tr w:rsidR="000B18B3" w:rsidRPr="000B18B3" w:rsidTr="00E50230">
        <w:trPr>
          <w:trHeight w:val="128"/>
          <w:jc w:val="center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777B" w:rsidRPr="000B18B3" w:rsidRDefault="0025777B" w:rsidP="00E50230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 xml:space="preserve">LV hypertrophy, </w:t>
            </w:r>
            <w:r w:rsidRPr="000B18B3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bidi="en-US"/>
              </w:rPr>
              <w:t>n</w:t>
            </w: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 xml:space="preserve"> (%)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20 (7.2)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7 (3.3)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13 (19.4)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&lt;0.001</w:t>
            </w:r>
          </w:p>
        </w:tc>
      </w:tr>
      <w:tr w:rsidR="000B18B3" w:rsidRPr="000B18B3" w:rsidTr="00E50230">
        <w:trPr>
          <w:trHeight w:val="128"/>
          <w:jc w:val="center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777B" w:rsidRPr="000B18B3" w:rsidRDefault="0025777B" w:rsidP="00E50230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Left atrial volume index (mL/m</w:t>
            </w: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bidi="en-US"/>
              </w:rPr>
              <w:t>2</w:t>
            </w: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), mean (±SD)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31.5 (±9.1)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31.8 (±9.3)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30.4 (±8.6)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0.281</w:t>
            </w:r>
          </w:p>
        </w:tc>
      </w:tr>
      <w:tr w:rsidR="000B18B3" w:rsidRPr="000B18B3" w:rsidTr="00E50230">
        <w:trPr>
          <w:trHeight w:val="128"/>
          <w:jc w:val="center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777B" w:rsidRPr="000B18B3" w:rsidRDefault="0025777B" w:rsidP="00E50230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Peak E wave velocity (cm/s), median (IQR)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70 (61-82)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72 (63-85)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64 (58-76)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0.003</w:t>
            </w:r>
          </w:p>
        </w:tc>
      </w:tr>
      <w:tr w:rsidR="000B18B3" w:rsidRPr="000B18B3" w:rsidTr="00E50230">
        <w:trPr>
          <w:trHeight w:val="128"/>
          <w:jc w:val="center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777B" w:rsidRPr="000B18B3" w:rsidRDefault="0025777B" w:rsidP="00E50230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Deceleration time (</w:t>
            </w:r>
            <w:proofErr w:type="spellStart"/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ms</w:t>
            </w:r>
            <w:proofErr w:type="spellEnd"/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), median (IQR)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147 (120-180)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150 (120-180)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130 (100-190)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0.089</w:t>
            </w:r>
          </w:p>
        </w:tc>
      </w:tr>
      <w:tr w:rsidR="000B18B3" w:rsidRPr="000B18B3" w:rsidTr="00E50230">
        <w:trPr>
          <w:trHeight w:val="128"/>
          <w:jc w:val="center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777B" w:rsidRPr="000B18B3" w:rsidRDefault="0025777B" w:rsidP="00E50230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 w:bidi="en-US"/>
              </w:rPr>
              <w:t>E/A ratio, median (IQR)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0.93 (0.77-1.20)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0.97 (0.80-1.30)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0.84 (0.66-1.00)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&lt;0.001</w:t>
            </w:r>
          </w:p>
        </w:tc>
      </w:tr>
      <w:tr w:rsidR="000B18B3" w:rsidRPr="000B18B3" w:rsidTr="00E50230">
        <w:trPr>
          <w:trHeight w:val="128"/>
          <w:jc w:val="center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777B" w:rsidRPr="000B18B3" w:rsidRDefault="0025777B" w:rsidP="00E50230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 w:bidi="en-US"/>
              </w:rPr>
              <w:t>E/e’ ratio, median (IQR)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8 (7-10)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8 (7-10)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9 (8-12)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0.004</w:t>
            </w:r>
          </w:p>
        </w:tc>
      </w:tr>
      <w:tr w:rsidR="000B18B3" w:rsidRPr="000B18B3" w:rsidTr="00E50230">
        <w:trPr>
          <w:trHeight w:val="128"/>
          <w:jc w:val="center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777B" w:rsidRPr="000B18B3" w:rsidRDefault="0025777B" w:rsidP="00E50230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 xml:space="preserve">Diastolic dysfunction, </w:t>
            </w:r>
            <w:r w:rsidRPr="000B18B3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bidi="en-US"/>
              </w:rPr>
              <w:t>n</w:t>
            </w: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 xml:space="preserve"> (%)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36 (13.0)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23 (11.0)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13 (19.4)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0.073</w:t>
            </w:r>
          </w:p>
        </w:tc>
      </w:tr>
      <w:tr w:rsidR="000B18B3" w:rsidRPr="000B18B3" w:rsidTr="00E50230">
        <w:trPr>
          <w:trHeight w:val="128"/>
          <w:jc w:val="center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777B" w:rsidRPr="000B18B3" w:rsidRDefault="0025777B" w:rsidP="00E50230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TAPSE (mm), median (IQR)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24 (21-26)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24 (22-27)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23 (20-25)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0.003</w:t>
            </w:r>
          </w:p>
        </w:tc>
      </w:tr>
      <w:tr w:rsidR="000B18B3" w:rsidRPr="000B18B3" w:rsidTr="00E50230">
        <w:trPr>
          <w:trHeight w:val="128"/>
          <w:jc w:val="center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777B" w:rsidRPr="000B18B3" w:rsidRDefault="0025777B" w:rsidP="00E50230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Estimated PASP (mmHg), median (IQR)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23 (19-26)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23 (19-26)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22 (19-26)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0.793</w:t>
            </w:r>
          </w:p>
        </w:tc>
      </w:tr>
      <w:tr w:rsidR="000B18B3" w:rsidRPr="000B18B3" w:rsidTr="00E50230">
        <w:trPr>
          <w:trHeight w:val="128"/>
          <w:jc w:val="center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777B" w:rsidRPr="000B18B3" w:rsidRDefault="0025777B" w:rsidP="00E50230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LV EF (%), mean (±SD)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62.0 (±6.0)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62.9 (±5.9)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59.2 (±5.4)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&lt;0.001</w:t>
            </w:r>
          </w:p>
        </w:tc>
      </w:tr>
      <w:tr w:rsidR="000B18B3" w:rsidRPr="000B18B3" w:rsidTr="00E50230">
        <w:trPr>
          <w:trHeight w:val="128"/>
          <w:jc w:val="center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777B" w:rsidRPr="000B18B3" w:rsidRDefault="0025777B" w:rsidP="00E50230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LV GLS (%), mean (±SD)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-20.0 (±3.2)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-21.3 (±2.2)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-15.8 (±1.9)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777B" w:rsidRPr="000B18B3" w:rsidRDefault="0025777B" w:rsidP="00E5023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&lt;0.001</w:t>
            </w:r>
          </w:p>
        </w:tc>
      </w:tr>
    </w:tbl>
    <w:p w:rsidR="0025777B" w:rsidRPr="000B18B3" w:rsidRDefault="0025777B" w:rsidP="0025777B">
      <w:pPr>
        <w:spacing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Table </w:t>
      </w:r>
      <w:r w:rsidR="00792E5E"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>S</w:t>
      </w:r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 exhibits echocardiographic characteristics </w:t>
      </w:r>
      <w:r w:rsidR="00792E5E"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of the study population </w:t>
      </w:r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>across different LV GLS categories.</w:t>
      </w:r>
      <w:r w:rsidR="00792E5E"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>Significant associations (</w:t>
      </w:r>
      <w:r w:rsidRPr="000B18B3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p-value</w:t>
      </w:r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&lt; 0.05) are in bold.</w:t>
      </w:r>
    </w:p>
    <w:p w:rsidR="0025777B" w:rsidRPr="000B18B3" w:rsidRDefault="0025777B" w:rsidP="0025777B">
      <w:pPr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>Abbreviations: EF: ejection fraction; GLS: global longitudinal strain; IQR: interquartile range; LV: left ventricle/</w:t>
      </w:r>
      <w:proofErr w:type="spellStart"/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>cular</w:t>
      </w:r>
      <w:proofErr w:type="spellEnd"/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>; PASP: pulmonary artery systolic pressure; SD: standard deviation; TAPSE: tricuspid annular plane systolic excursion.</w:t>
      </w:r>
      <w:r w:rsidRPr="000B18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:rsidR="00F12075" w:rsidRPr="000B18B3" w:rsidRDefault="00F12075" w:rsidP="00F12075">
      <w:pPr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Hlk173927312"/>
      <w:r w:rsidRPr="000B18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Table </w:t>
      </w:r>
      <w:r w:rsidR="003C363A" w:rsidRPr="000B18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S2</w:t>
      </w:r>
      <w:r w:rsidRPr="000B18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3C363A" w:rsidRPr="000B18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B18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Primary and secondary outcomes categorised by LV GLS.</w:t>
      </w:r>
    </w:p>
    <w:tbl>
      <w:tblPr>
        <w:tblW w:w="7797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1559"/>
        <w:gridCol w:w="2126"/>
        <w:gridCol w:w="1985"/>
      </w:tblGrid>
      <w:tr w:rsidR="000B18B3" w:rsidRPr="000B18B3" w:rsidTr="00734D62">
        <w:trPr>
          <w:trHeight w:val="423"/>
          <w:jc w:val="center"/>
        </w:trPr>
        <w:tc>
          <w:tcPr>
            <w:tcW w:w="2127" w:type="dxa"/>
            <w:vMerge w:val="restart"/>
            <w:tcBorders>
              <w:top w:val="single" w:sz="8" w:space="0" w:color="auto"/>
            </w:tcBorders>
            <w:shd w:val="clear" w:color="auto" w:fill="E7E6E6" w:themeFill="background2"/>
            <w:vAlign w:val="center"/>
          </w:tcPr>
          <w:p w:rsidR="003C363A" w:rsidRPr="000B18B3" w:rsidRDefault="003C363A" w:rsidP="004C348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Outcomes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shd w:val="clear" w:color="auto" w:fill="E7E6E6" w:themeFill="background2"/>
            <w:vAlign w:val="center"/>
          </w:tcPr>
          <w:p w:rsidR="003C363A" w:rsidRPr="000B18B3" w:rsidRDefault="003C363A" w:rsidP="004C348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Overall</w:t>
            </w:r>
          </w:p>
          <w:p w:rsidR="003C363A" w:rsidRPr="000B18B3" w:rsidRDefault="003C363A" w:rsidP="004C3489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(</w:t>
            </w:r>
            <w:r w:rsidRPr="000B18B3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bidi="en-US"/>
              </w:rPr>
              <w:t>n</w:t>
            </w: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=277)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8" w:space="0" w:color="auto"/>
            </w:tcBorders>
            <w:shd w:val="clear" w:color="auto" w:fill="E7E6E6" w:themeFill="background2"/>
            <w:vAlign w:val="center"/>
          </w:tcPr>
          <w:p w:rsidR="003C363A" w:rsidRPr="000B18B3" w:rsidRDefault="003C363A" w:rsidP="004C348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t-PT"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t-PT" w:bidi="en-US"/>
              </w:rPr>
              <w:t>A - Normal LV GLS</w:t>
            </w:r>
          </w:p>
          <w:p w:rsidR="003C363A" w:rsidRPr="000B18B3" w:rsidRDefault="003C363A" w:rsidP="004C3489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 w:bidi="en-US"/>
              </w:rPr>
              <w:t>(GLS ≤ -18%)</w:t>
            </w:r>
          </w:p>
          <w:p w:rsidR="003C363A" w:rsidRPr="000B18B3" w:rsidRDefault="003C363A" w:rsidP="004C3489">
            <w:pPr>
              <w:spacing w:after="0" w:line="48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t-PT"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 w:bidi="en-US"/>
              </w:rPr>
              <w:t>(</w:t>
            </w:r>
            <w:r w:rsidRPr="000B18B3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t-PT" w:bidi="en-US"/>
              </w:rPr>
              <w:t>n</w:t>
            </w: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 w:bidi="en-US"/>
              </w:rPr>
              <w:t>=210)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8" w:space="0" w:color="auto"/>
            </w:tcBorders>
            <w:shd w:val="clear" w:color="auto" w:fill="E7E6E6" w:themeFill="background2"/>
            <w:vAlign w:val="center"/>
          </w:tcPr>
          <w:p w:rsidR="003C363A" w:rsidRPr="000B18B3" w:rsidRDefault="003C363A" w:rsidP="004C348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t-PT"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t-PT" w:bidi="en-US"/>
              </w:rPr>
              <w:t>B - Subclinical LVSD</w:t>
            </w:r>
          </w:p>
          <w:p w:rsidR="003C363A" w:rsidRPr="000B18B3" w:rsidRDefault="003C363A" w:rsidP="004C348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t-PT"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 w:bidi="en-US"/>
              </w:rPr>
              <w:t>(GLS &gt; -18%)</w:t>
            </w:r>
          </w:p>
          <w:p w:rsidR="003C363A" w:rsidRPr="000B18B3" w:rsidRDefault="003C363A" w:rsidP="004C3489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 w:bidi="en-US"/>
              </w:rPr>
              <w:t>(</w:t>
            </w:r>
            <w:r w:rsidRPr="000B18B3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pt-PT" w:bidi="en-US"/>
              </w:rPr>
              <w:t>n</w:t>
            </w: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 w:bidi="en-US"/>
              </w:rPr>
              <w:t>=67)</w:t>
            </w:r>
          </w:p>
        </w:tc>
      </w:tr>
      <w:tr w:rsidR="000B18B3" w:rsidRPr="000B18B3" w:rsidTr="00734D62">
        <w:trPr>
          <w:trHeight w:val="423"/>
          <w:jc w:val="center"/>
        </w:trPr>
        <w:tc>
          <w:tcPr>
            <w:tcW w:w="2127" w:type="dxa"/>
            <w:vMerge/>
            <w:tcBorders>
              <w:bottom w:val="single" w:sz="8" w:space="0" w:color="auto"/>
            </w:tcBorders>
            <w:shd w:val="clear" w:color="auto" w:fill="E7E6E6" w:themeFill="background2"/>
            <w:vAlign w:val="center"/>
          </w:tcPr>
          <w:p w:rsidR="003C363A" w:rsidRPr="000B18B3" w:rsidRDefault="003C363A" w:rsidP="004C348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pt-PT" w:bidi="en-US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bottom w:val="single" w:sz="8" w:space="0" w:color="auto"/>
            </w:tcBorders>
            <w:shd w:val="clear" w:color="auto" w:fill="E7E6E6" w:themeFill="background2"/>
            <w:vAlign w:val="center"/>
          </w:tcPr>
          <w:p w:rsidR="003C363A" w:rsidRPr="000B18B3" w:rsidRDefault="003C363A" w:rsidP="004C3489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bidi="en-US"/>
              </w:rPr>
              <w:t>number of patients (percent)</w:t>
            </w:r>
          </w:p>
        </w:tc>
      </w:tr>
      <w:tr w:rsidR="000B18B3" w:rsidRPr="000B18B3" w:rsidTr="00734D62">
        <w:trPr>
          <w:trHeight w:val="423"/>
          <w:jc w:val="center"/>
        </w:trPr>
        <w:tc>
          <w:tcPr>
            <w:tcW w:w="2127" w:type="dxa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:rsidR="003C363A" w:rsidRPr="000B18B3" w:rsidRDefault="003C363A" w:rsidP="004C3489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Primary outcome</w:t>
            </w:r>
          </w:p>
        </w:tc>
        <w:tc>
          <w:tcPr>
            <w:tcW w:w="1559" w:type="dxa"/>
            <w:tcBorders>
              <w:top w:val="single" w:sz="8" w:space="0" w:color="auto"/>
              <w:bottom w:val="nil"/>
            </w:tcBorders>
            <w:shd w:val="clear" w:color="auto" w:fill="E7E6E6" w:themeFill="background2"/>
          </w:tcPr>
          <w:p w:rsidR="003C363A" w:rsidRPr="000B18B3" w:rsidRDefault="003C363A" w:rsidP="004C3489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2126" w:type="dxa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:rsidR="003C363A" w:rsidRPr="000B18B3" w:rsidRDefault="003C363A" w:rsidP="004C3489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985" w:type="dxa"/>
            <w:tcBorders>
              <w:top w:val="single" w:sz="8" w:space="0" w:color="auto"/>
              <w:bottom w:val="nil"/>
            </w:tcBorders>
            <w:shd w:val="clear" w:color="auto" w:fill="E7E6E6" w:themeFill="background2"/>
            <w:vAlign w:val="center"/>
          </w:tcPr>
          <w:p w:rsidR="003C363A" w:rsidRPr="000B18B3" w:rsidRDefault="003C363A" w:rsidP="004C3489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0B18B3" w:rsidRPr="000B18B3" w:rsidTr="00734D62">
        <w:trPr>
          <w:trHeight w:val="423"/>
          <w:jc w:val="center"/>
        </w:trPr>
        <w:tc>
          <w:tcPr>
            <w:tcW w:w="212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3C363A" w:rsidRPr="000B18B3" w:rsidRDefault="003C363A" w:rsidP="004C3489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 xml:space="preserve"> MACE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3C363A" w:rsidRPr="000B18B3" w:rsidRDefault="003C363A" w:rsidP="004C3489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23 (8.3)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3C363A" w:rsidRPr="000B18B3" w:rsidRDefault="003C363A" w:rsidP="004C3489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9 (4.3)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vAlign w:val="center"/>
          </w:tcPr>
          <w:p w:rsidR="003C363A" w:rsidRPr="000B18B3" w:rsidRDefault="003C363A" w:rsidP="004C3489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14 (20.9)</w:t>
            </w:r>
          </w:p>
        </w:tc>
      </w:tr>
      <w:tr w:rsidR="000B18B3" w:rsidRPr="000B18B3" w:rsidTr="00734D62">
        <w:trPr>
          <w:trHeight w:val="416"/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3C363A" w:rsidRPr="000B18B3" w:rsidRDefault="003C363A" w:rsidP="004C3489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Secondary outcomes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3C363A" w:rsidRPr="000B18B3" w:rsidRDefault="003C363A" w:rsidP="004C3489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3C363A" w:rsidRPr="000B18B3" w:rsidRDefault="003C363A" w:rsidP="004C3489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3C363A" w:rsidRPr="000B18B3" w:rsidRDefault="003C363A" w:rsidP="004C3489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0B18B3" w:rsidRPr="000B18B3" w:rsidTr="00734D62">
        <w:trPr>
          <w:trHeight w:val="416"/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363A" w:rsidRPr="000B18B3" w:rsidRDefault="003C363A" w:rsidP="004C3489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 xml:space="preserve"> 3P-MACE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363A" w:rsidRPr="000B18B3" w:rsidRDefault="003C363A" w:rsidP="004C3489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15 (5.4)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363A" w:rsidRPr="000B18B3" w:rsidRDefault="003C363A" w:rsidP="004C3489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5 (2.4)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363A" w:rsidRPr="000B18B3" w:rsidRDefault="003C363A" w:rsidP="004C3489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10 (14.9)</w:t>
            </w:r>
          </w:p>
        </w:tc>
      </w:tr>
      <w:tr w:rsidR="000B18B3" w:rsidRPr="000B18B3" w:rsidTr="00734D62">
        <w:trPr>
          <w:trHeight w:val="416"/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363A" w:rsidRPr="000B18B3" w:rsidRDefault="003C363A" w:rsidP="004C3489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 xml:space="preserve"> HF hosp. / CV death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363A" w:rsidRPr="000B18B3" w:rsidRDefault="003C363A" w:rsidP="004C3489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14 (5.1)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363A" w:rsidRPr="000B18B3" w:rsidRDefault="003C363A" w:rsidP="004C3489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5 (2.4)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363A" w:rsidRPr="000B18B3" w:rsidRDefault="003C363A" w:rsidP="004C3489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9 (13.4)</w:t>
            </w:r>
          </w:p>
        </w:tc>
      </w:tr>
      <w:tr w:rsidR="000B18B3" w:rsidRPr="000B18B3" w:rsidTr="00734D62">
        <w:trPr>
          <w:trHeight w:val="416"/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363A" w:rsidRPr="000B18B3" w:rsidRDefault="003C363A" w:rsidP="004C3489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 xml:space="preserve"> HF hosp.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363A" w:rsidRPr="000B18B3" w:rsidRDefault="003C363A" w:rsidP="004C3489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9 (3.2)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363A" w:rsidRPr="000B18B3" w:rsidRDefault="003C363A" w:rsidP="004C3489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4 (1.9)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363A" w:rsidRPr="000B18B3" w:rsidRDefault="003C363A" w:rsidP="004C3489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5 (7.5)</w:t>
            </w:r>
          </w:p>
        </w:tc>
      </w:tr>
      <w:tr w:rsidR="000B18B3" w:rsidRPr="000B18B3" w:rsidTr="00734D62">
        <w:trPr>
          <w:trHeight w:val="416"/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363A" w:rsidRPr="000B18B3" w:rsidRDefault="003C363A" w:rsidP="004C3489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 xml:space="preserve"> MI</w:t>
            </w: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bidi="en-US"/>
              </w:rPr>
              <w:t>§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363A" w:rsidRPr="000B18B3" w:rsidRDefault="003C363A" w:rsidP="004C3489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3 (1.1)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363A" w:rsidRPr="000B18B3" w:rsidRDefault="003C363A" w:rsidP="004C3489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2 (1.0)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363A" w:rsidRPr="000B18B3" w:rsidRDefault="003C363A" w:rsidP="004C3489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1 (1.5)</w:t>
            </w:r>
          </w:p>
        </w:tc>
      </w:tr>
      <w:tr w:rsidR="000B18B3" w:rsidRPr="000B18B3" w:rsidTr="00734D62">
        <w:trPr>
          <w:trHeight w:val="416"/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363A" w:rsidRPr="000B18B3" w:rsidRDefault="003C363A" w:rsidP="004C3489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 xml:space="preserve"> CV death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363A" w:rsidRPr="000B18B3" w:rsidRDefault="003C363A" w:rsidP="004C3489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6 (2.2)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363A" w:rsidRPr="000B18B3" w:rsidRDefault="003C363A" w:rsidP="004C3489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1 (0.5)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363A" w:rsidRPr="000B18B3" w:rsidRDefault="003C363A" w:rsidP="004C3489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5 (7.5)</w:t>
            </w:r>
          </w:p>
        </w:tc>
      </w:tr>
      <w:tr w:rsidR="000B18B3" w:rsidRPr="000B18B3" w:rsidTr="00734D62">
        <w:trPr>
          <w:trHeight w:val="416"/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363A" w:rsidRPr="000B18B3" w:rsidRDefault="003C363A" w:rsidP="004C3489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 xml:space="preserve"> All-cause mortality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363A" w:rsidRPr="000B18B3" w:rsidRDefault="003C363A" w:rsidP="004C3489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19 (6.9)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363A" w:rsidRPr="000B18B3" w:rsidRDefault="003C363A" w:rsidP="004C3489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9 (4.3)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363A" w:rsidRPr="000B18B3" w:rsidRDefault="003C363A" w:rsidP="004C3489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10 (14.9)</w:t>
            </w:r>
          </w:p>
        </w:tc>
      </w:tr>
    </w:tbl>
    <w:p w:rsidR="00F12075" w:rsidRPr="000B18B3" w:rsidRDefault="00F12075" w:rsidP="00F12075">
      <w:pPr>
        <w:spacing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Table </w:t>
      </w:r>
      <w:r w:rsidR="003C363A"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>S2</w:t>
      </w:r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displays the incidence of primary and secondary outcomes in RA patients, categorised by LV GLS groups.</w:t>
      </w:r>
    </w:p>
    <w:p w:rsidR="00F12075" w:rsidRPr="000B18B3" w:rsidRDefault="00F12075" w:rsidP="00F12075">
      <w:pPr>
        <w:spacing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>MACE consists of a composite of MI, HF hospitalisation, stroke, or CV death.</w:t>
      </w:r>
    </w:p>
    <w:p w:rsidR="00F12075" w:rsidRPr="000B18B3" w:rsidRDefault="00F12075" w:rsidP="00F12075">
      <w:pPr>
        <w:spacing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>3-Point MACE consists of a composite of MI, stroke, or CV death.</w:t>
      </w:r>
    </w:p>
    <w:p w:rsidR="00F12075" w:rsidRPr="000B18B3" w:rsidRDefault="00F12075" w:rsidP="00F12075">
      <w:pPr>
        <w:spacing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B18B3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bidi="en-US"/>
        </w:rPr>
        <w:t>§</w:t>
      </w:r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Regarding MI, group </w:t>
      </w:r>
      <w:proofErr w:type="gramStart"/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proofErr w:type="gramEnd"/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included one ST-elevation myocardial infarction and one non-ST-elevation myocardial infarction, while group B included one non-ST-elevation myocardial infarction.</w:t>
      </w:r>
    </w:p>
    <w:p w:rsidR="00911C97" w:rsidRPr="000B18B3" w:rsidRDefault="00F12075" w:rsidP="00734D62">
      <w:pPr>
        <w:spacing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>Significant associations (</w:t>
      </w:r>
      <w:r w:rsidRPr="000B18B3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p-value</w:t>
      </w:r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&lt; 0.05) are in bold</w:t>
      </w:r>
      <w:r w:rsidR="00911C97"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F12075" w:rsidRPr="000B18B3" w:rsidRDefault="00911C97" w:rsidP="00734D62">
      <w:pPr>
        <w:spacing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>Abbreviations: CV: cardiovascular; GLS: global longitudinal strain; HF: heart failure; LV: left ventricle/</w:t>
      </w:r>
      <w:proofErr w:type="spellStart"/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>cular</w:t>
      </w:r>
      <w:proofErr w:type="spellEnd"/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>; LVSD: left ventricular systolic dysfunction; MACE: major adverse cardiovascular events; MI: myocardial infarction; RA: rheumatoid arthritis</w:t>
      </w:r>
      <w:r w:rsidR="00F12075"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bookmarkEnd w:id="0"/>
      <w:r w:rsidR="00F12075"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br w:type="page"/>
      </w:r>
    </w:p>
    <w:p w:rsidR="008E2EF3" w:rsidRPr="000B18B3" w:rsidRDefault="008E2EF3" w:rsidP="00F12075">
      <w:pPr>
        <w:spacing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B18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 S</w:t>
      </w:r>
      <w:r w:rsidR="003C363A" w:rsidRPr="000B18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0B18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 Univariate and adjusted (model B) Cox regression analyses for primary and secondary outcomes related to subclinical LVSD.</w:t>
      </w:r>
    </w:p>
    <w:tbl>
      <w:tblPr>
        <w:tblW w:w="10349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850"/>
        <w:gridCol w:w="1418"/>
        <w:gridCol w:w="1134"/>
        <w:gridCol w:w="1134"/>
        <w:gridCol w:w="1418"/>
        <w:gridCol w:w="1134"/>
      </w:tblGrid>
      <w:tr w:rsidR="000B18B3" w:rsidRPr="000B18B3" w:rsidTr="00E532B0">
        <w:trPr>
          <w:trHeight w:val="386"/>
          <w:jc w:val="center"/>
        </w:trPr>
        <w:tc>
          <w:tcPr>
            <w:tcW w:w="3261" w:type="dxa"/>
            <w:vMerge w:val="restart"/>
            <w:tcBorders>
              <w:top w:val="single" w:sz="8" w:space="0" w:color="auto"/>
            </w:tcBorders>
            <w:shd w:val="clear" w:color="auto" w:fill="E7E6E6" w:themeFill="background2"/>
            <w:vAlign w:val="center"/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Subclinical LVSD</w:t>
            </w:r>
          </w:p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(GLS &gt; -18%)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E7E6E6" w:themeFill="background2"/>
            <w:vAlign w:val="center"/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Univariate Cox regression</w:t>
            </w:r>
          </w:p>
        </w:tc>
        <w:tc>
          <w:tcPr>
            <w:tcW w:w="368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E7E6E6" w:themeFill="background2"/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Adjusted Cox regression (Model B</w:t>
            </w: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bidi="en-US"/>
              </w:rPr>
              <w:t>#</w:t>
            </w: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)</w:t>
            </w:r>
          </w:p>
        </w:tc>
      </w:tr>
      <w:tr w:rsidR="000B18B3" w:rsidRPr="000B18B3" w:rsidTr="00E532B0">
        <w:trPr>
          <w:trHeight w:val="386"/>
          <w:jc w:val="center"/>
        </w:trPr>
        <w:tc>
          <w:tcPr>
            <w:tcW w:w="3261" w:type="dxa"/>
            <w:vMerge/>
            <w:tcBorders>
              <w:bottom w:val="single" w:sz="8" w:space="0" w:color="auto"/>
            </w:tcBorders>
            <w:shd w:val="clear" w:color="auto" w:fill="E7E6E6" w:themeFill="background2"/>
            <w:vAlign w:val="center"/>
          </w:tcPr>
          <w:p w:rsidR="008E2EF3" w:rsidRPr="000B18B3" w:rsidRDefault="008E2EF3" w:rsidP="00E532B0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shd w:val="clear" w:color="auto" w:fill="E7E6E6" w:themeFill="background2"/>
            <w:vAlign w:val="center"/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HR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shd w:val="clear" w:color="auto" w:fill="E7E6E6" w:themeFill="background2"/>
            <w:vAlign w:val="center"/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95% CI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E7E6E6" w:themeFill="background2"/>
            <w:vAlign w:val="center"/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bidi="en-US"/>
              </w:rPr>
              <w:t>p-value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E7E6E6" w:themeFill="background2"/>
            <w:vAlign w:val="center"/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HR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shd w:val="clear" w:color="auto" w:fill="E7E6E6" w:themeFill="background2"/>
            <w:vAlign w:val="center"/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95% CI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E7E6E6" w:themeFill="background2"/>
            <w:vAlign w:val="center"/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bidi="en-US"/>
              </w:rPr>
              <w:t>p-value</w:t>
            </w:r>
          </w:p>
        </w:tc>
      </w:tr>
      <w:tr w:rsidR="000B18B3" w:rsidRPr="000B18B3" w:rsidTr="00E532B0">
        <w:trPr>
          <w:trHeight w:val="423"/>
          <w:jc w:val="center"/>
        </w:trPr>
        <w:tc>
          <w:tcPr>
            <w:tcW w:w="3261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:rsidR="008E2EF3" w:rsidRPr="000B18B3" w:rsidRDefault="008E2EF3" w:rsidP="00E532B0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Primary outcome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0B18B3" w:rsidRPr="000B18B3" w:rsidTr="00E532B0">
        <w:trPr>
          <w:trHeight w:val="423"/>
          <w:jc w:val="center"/>
        </w:trPr>
        <w:tc>
          <w:tcPr>
            <w:tcW w:w="326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8E2EF3" w:rsidRPr="000B18B3" w:rsidRDefault="008E2EF3" w:rsidP="00E532B0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 xml:space="preserve"> MACE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5.52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vAlign w:val="center"/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(2.39-12.8)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&lt;0.001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3.91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(1.59-9.60)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0.003</w:t>
            </w:r>
          </w:p>
        </w:tc>
      </w:tr>
      <w:tr w:rsidR="000B18B3" w:rsidRPr="000B18B3" w:rsidTr="00E532B0">
        <w:trPr>
          <w:trHeight w:val="416"/>
          <w:jc w:val="center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E2EF3" w:rsidRPr="000B18B3" w:rsidRDefault="008E2EF3" w:rsidP="00E532B0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Secondary outcomes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0B18B3" w:rsidRPr="000B18B3" w:rsidTr="00E532B0">
        <w:trPr>
          <w:trHeight w:val="416"/>
          <w:jc w:val="center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E2EF3" w:rsidRPr="000B18B3" w:rsidRDefault="008E2EF3" w:rsidP="00E532B0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 xml:space="preserve"> 3P-MACE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6.85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(2.34-20.1)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&lt;0.001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5.02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(1.59-15.8)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0.006</w:t>
            </w:r>
          </w:p>
        </w:tc>
      </w:tr>
      <w:tr w:rsidR="000B18B3" w:rsidRPr="000B18B3" w:rsidTr="00E532B0">
        <w:trPr>
          <w:trHeight w:val="416"/>
          <w:jc w:val="center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E2EF3" w:rsidRPr="000B18B3" w:rsidRDefault="008E2EF3" w:rsidP="00E532B0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 xml:space="preserve"> HF hosp. / CV death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6.09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(2.04-18.2)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0.001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3.65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(1.11-12.1)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0.034</w:t>
            </w:r>
          </w:p>
        </w:tc>
      </w:tr>
      <w:tr w:rsidR="000B18B3" w:rsidRPr="000B18B3" w:rsidTr="00E532B0">
        <w:trPr>
          <w:trHeight w:val="416"/>
          <w:jc w:val="center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6E49" w:rsidRPr="000B18B3" w:rsidRDefault="00776E49" w:rsidP="00776E49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 xml:space="preserve"> HF hosp.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76E49" w:rsidRPr="000B18B3" w:rsidRDefault="00776E49" w:rsidP="00776E4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4.24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6E49" w:rsidRPr="000B18B3" w:rsidRDefault="00776E49" w:rsidP="00776E4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(1.14-15.8)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76E49" w:rsidRPr="000B18B3" w:rsidRDefault="00776E49" w:rsidP="00776E4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0.031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76E49" w:rsidRPr="000B18B3" w:rsidRDefault="00776E49" w:rsidP="00776E49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3.10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76E49" w:rsidRPr="000B18B3" w:rsidRDefault="00776E49" w:rsidP="00776E49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(0.75-12.7)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76E49" w:rsidRPr="000B18B3" w:rsidRDefault="00776E49" w:rsidP="00776E49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0.117</w:t>
            </w:r>
          </w:p>
        </w:tc>
      </w:tr>
      <w:tr w:rsidR="000B18B3" w:rsidRPr="000B18B3" w:rsidTr="00E532B0">
        <w:trPr>
          <w:trHeight w:val="416"/>
          <w:jc w:val="center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6E49" w:rsidRPr="000B18B3" w:rsidRDefault="00776E49" w:rsidP="00776E49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 xml:space="preserve"> M</w:t>
            </w:r>
            <w:r w:rsidR="00706086"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76E49" w:rsidRPr="000B18B3" w:rsidRDefault="00776E49" w:rsidP="00776E49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1.73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6E49" w:rsidRPr="000B18B3" w:rsidRDefault="00776E49" w:rsidP="00776E49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(0.16-19.1)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76E49" w:rsidRPr="000B18B3" w:rsidRDefault="00776E49" w:rsidP="00776E49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0.656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76E49" w:rsidRPr="000B18B3" w:rsidRDefault="00776E49" w:rsidP="00776E49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1.86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76E49" w:rsidRPr="000B18B3" w:rsidRDefault="00776E49" w:rsidP="00776E49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(0.15-22.5)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76E49" w:rsidRPr="000B18B3" w:rsidRDefault="00776E49" w:rsidP="00776E49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0.627</w:t>
            </w:r>
          </w:p>
        </w:tc>
      </w:tr>
      <w:tr w:rsidR="000B18B3" w:rsidRPr="000B18B3" w:rsidTr="00E532B0">
        <w:trPr>
          <w:trHeight w:val="416"/>
          <w:jc w:val="center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6E49" w:rsidRPr="000B18B3" w:rsidRDefault="00776E49" w:rsidP="00776E49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 xml:space="preserve"> CV death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76E49" w:rsidRPr="000B18B3" w:rsidRDefault="00776E49" w:rsidP="00776E4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16.1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6E49" w:rsidRPr="000B18B3" w:rsidRDefault="00776E49" w:rsidP="00776E4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(1.88-138.1)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76E49" w:rsidRPr="000B18B3" w:rsidRDefault="00776E49" w:rsidP="00776E4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0.011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76E49" w:rsidRPr="000B18B3" w:rsidRDefault="00776E49" w:rsidP="00776E49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7.69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76E49" w:rsidRPr="000B18B3" w:rsidRDefault="00776E49" w:rsidP="00776E49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(0.75-79.0)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76E49" w:rsidRPr="000B18B3" w:rsidRDefault="00776E49" w:rsidP="00776E49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0.086</w:t>
            </w:r>
          </w:p>
        </w:tc>
      </w:tr>
      <w:tr w:rsidR="000B18B3" w:rsidRPr="000B18B3" w:rsidTr="00E532B0">
        <w:trPr>
          <w:trHeight w:val="416"/>
          <w:jc w:val="center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6E49" w:rsidRPr="000B18B3" w:rsidRDefault="00776E49" w:rsidP="00776E49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 xml:space="preserve"> All-cause mortality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76E49" w:rsidRPr="000B18B3" w:rsidRDefault="00776E49" w:rsidP="00776E4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3.55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6E49" w:rsidRPr="000B18B3" w:rsidRDefault="00776E49" w:rsidP="00776E4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(1.44-8.76)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76E49" w:rsidRPr="000B18B3" w:rsidRDefault="00776E49" w:rsidP="00776E4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0.006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76E49" w:rsidRPr="000B18B3" w:rsidRDefault="00776E49" w:rsidP="00776E49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1.51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76E49" w:rsidRPr="000B18B3" w:rsidRDefault="00776E49" w:rsidP="00776E49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(0.52-4.35)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76E49" w:rsidRPr="000B18B3" w:rsidRDefault="00776E49" w:rsidP="00776E49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0.445</w:t>
            </w:r>
          </w:p>
        </w:tc>
      </w:tr>
      <w:tr w:rsidR="000B18B3" w:rsidRPr="000B18B3" w:rsidTr="00E532B0">
        <w:trPr>
          <w:trHeight w:val="416"/>
          <w:jc w:val="center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6E49" w:rsidRPr="000B18B3" w:rsidRDefault="00776E49" w:rsidP="00776E49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 xml:space="preserve"> Distance in 6MWT (↓ 50 m)*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6E49" w:rsidRPr="000B18B3" w:rsidRDefault="00776E49" w:rsidP="00776E4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1.22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6E49" w:rsidRPr="000B18B3" w:rsidRDefault="00776E49" w:rsidP="00776E4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(1.05-1.49)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6E49" w:rsidRPr="000B18B3" w:rsidRDefault="00776E49" w:rsidP="00776E4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0.011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76E49" w:rsidRPr="000B18B3" w:rsidRDefault="00776E49" w:rsidP="00776E49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1.11*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76E49" w:rsidRPr="000B18B3" w:rsidRDefault="00776E49" w:rsidP="00776E49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(0.90-1.35)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76E49" w:rsidRPr="000B18B3" w:rsidRDefault="00776E49" w:rsidP="00776E49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0.307</w:t>
            </w:r>
          </w:p>
        </w:tc>
      </w:tr>
    </w:tbl>
    <w:p w:rsidR="008E2EF3" w:rsidRPr="000B18B3" w:rsidRDefault="008E2EF3" w:rsidP="008E2EF3">
      <w:pPr>
        <w:spacing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>Table S</w:t>
      </w:r>
      <w:r w:rsidR="003C363A"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presents univariate and adjusted Cox regression analyses, including respective HR, for primary and secondary outcomes related to subclinical LVSD (GLS &gt; -18%) in comparison to normal LV GLS (GLS ≤ -18%). The multivariate Cox regression (Model B) was adjusted for the following covariates</w:t>
      </w:r>
      <w:r w:rsidRPr="000B18B3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#</w:t>
      </w:r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>: age, sex, d</w:t>
      </w:r>
      <w:r w:rsidRPr="000B18B3">
        <w:rPr>
          <w:rFonts w:ascii="Times New Roman" w:hAnsi="Times New Roman" w:cs="Times New Roman"/>
          <w:color w:val="000000" w:themeColor="text1"/>
          <w:sz w:val="20"/>
          <w:szCs w:val="20"/>
          <w:lang w:bidi="en-US"/>
        </w:rPr>
        <w:t>iabetes mellitus</w:t>
      </w:r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RA duration, and </w:t>
      </w:r>
      <w:proofErr w:type="spellStart"/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>eGFR</w:t>
      </w:r>
      <w:proofErr w:type="spellEnd"/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8E2EF3" w:rsidRPr="000B18B3" w:rsidRDefault="008E2EF3" w:rsidP="008E2EF3">
      <w:pPr>
        <w:spacing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MACE consists of a composite of </w:t>
      </w:r>
      <w:r w:rsidR="00706086"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>MI</w:t>
      </w:r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>, HF hospitalisation, stroke, or CV death.</w:t>
      </w:r>
    </w:p>
    <w:p w:rsidR="008E2EF3" w:rsidRPr="000B18B3" w:rsidRDefault="008E2EF3" w:rsidP="008E2EF3">
      <w:pPr>
        <w:spacing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3-Point MACE consists of a composite of </w:t>
      </w:r>
      <w:r w:rsidR="00706086"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>MI</w:t>
      </w:r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>, stroke, or CV death.</w:t>
      </w:r>
    </w:p>
    <w:p w:rsidR="008E2EF3" w:rsidRPr="000B18B3" w:rsidRDefault="008E2EF3" w:rsidP="008E2EF3">
      <w:pPr>
        <w:spacing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>*Odds ratio per each less 50 m walked.</w:t>
      </w:r>
    </w:p>
    <w:p w:rsidR="008E2EF3" w:rsidRPr="000B18B3" w:rsidRDefault="008E2EF3" w:rsidP="008E2EF3">
      <w:pPr>
        <w:spacing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B18B3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#</w:t>
      </w:r>
      <w:proofErr w:type="gramStart"/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>Based</w:t>
      </w:r>
      <w:proofErr w:type="gramEnd"/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on the model </w:t>
      </w:r>
      <w:r w:rsidR="00434824"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>by</w:t>
      </w:r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Ferreira et al.</w:t>
      </w:r>
      <w:r w:rsidR="005F274D"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[8] </w:t>
      </w:r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>from the same cohort.</w:t>
      </w:r>
    </w:p>
    <w:p w:rsidR="008E2EF3" w:rsidRPr="000B18B3" w:rsidRDefault="008E2EF3" w:rsidP="008E2EF3">
      <w:pPr>
        <w:spacing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>Significant associations (</w:t>
      </w:r>
      <w:r w:rsidRPr="000B18B3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p-value</w:t>
      </w:r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&lt; 0.05) are in bold.</w:t>
      </w:r>
    </w:p>
    <w:p w:rsidR="008E2EF3" w:rsidRPr="000B18B3" w:rsidRDefault="008E2EF3" w:rsidP="008E2EF3">
      <w:pPr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>Abbreviations: 6MWT: 6-min walk test (distance in meters); BMI: body mass index; CI:</w:t>
      </w:r>
      <w:r w:rsidRPr="000B18B3">
        <w:rPr>
          <w:color w:val="000000" w:themeColor="text1"/>
        </w:rPr>
        <w:t xml:space="preserve"> </w:t>
      </w:r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confidence interval; CV: cardiovascular; </w:t>
      </w:r>
      <w:proofErr w:type="spellStart"/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>eGFR</w:t>
      </w:r>
      <w:proofErr w:type="spellEnd"/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estimated glomerular filtration rate; GLS: global longitudinal strain; HF: heart failure; HR: hazard ratio; </w:t>
      </w:r>
      <w:proofErr w:type="spellStart"/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>hsTnT</w:t>
      </w:r>
      <w:proofErr w:type="spellEnd"/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>: high-sensitivity troponin T; LV: left ventricle/</w:t>
      </w:r>
      <w:proofErr w:type="spellStart"/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>cular</w:t>
      </w:r>
      <w:proofErr w:type="spellEnd"/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>; LVSD: left ventricular systolic dysfunction; MACE: major adverse cardiovascular events</w:t>
      </w:r>
      <w:r w:rsidR="00706086"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>; MI: myocardial infarction</w:t>
      </w:r>
      <w:r w:rsidR="00911C97"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>; RA: rheumatoid arthritis</w:t>
      </w:r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0B18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:rsidR="008E2EF3" w:rsidRPr="000B18B3" w:rsidRDefault="008E2EF3" w:rsidP="008E2EF3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18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 S</w:t>
      </w:r>
      <w:r w:rsidR="00BE497D" w:rsidRPr="000B18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0B18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 Univariate and multivariate Cox regression analyses</w:t>
      </w:r>
      <w:r w:rsidRPr="000B18B3">
        <w:rPr>
          <w:color w:val="000000" w:themeColor="text1"/>
        </w:rPr>
        <w:t xml:space="preserve"> </w:t>
      </w:r>
      <w:r w:rsidRPr="000B18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for the occurrence of MACE in RA patients, categorised by LV GLS or diastolic function.</w:t>
      </w:r>
    </w:p>
    <w:tbl>
      <w:tblPr>
        <w:tblW w:w="10349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850"/>
        <w:gridCol w:w="1418"/>
        <w:gridCol w:w="1134"/>
        <w:gridCol w:w="1134"/>
        <w:gridCol w:w="1418"/>
        <w:gridCol w:w="1134"/>
      </w:tblGrid>
      <w:tr w:rsidR="000B18B3" w:rsidRPr="000B18B3" w:rsidTr="00E532B0">
        <w:trPr>
          <w:trHeight w:val="386"/>
          <w:jc w:val="center"/>
        </w:trPr>
        <w:tc>
          <w:tcPr>
            <w:tcW w:w="3261" w:type="dxa"/>
            <w:vMerge w:val="restart"/>
            <w:tcBorders>
              <w:top w:val="single" w:sz="8" w:space="0" w:color="auto"/>
            </w:tcBorders>
            <w:shd w:val="clear" w:color="auto" w:fill="E7E6E6" w:themeFill="background2"/>
            <w:vAlign w:val="center"/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MACE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E7E6E6" w:themeFill="background2"/>
            <w:vAlign w:val="center"/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Univariate Cox regression</w:t>
            </w:r>
          </w:p>
        </w:tc>
        <w:tc>
          <w:tcPr>
            <w:tcW w:w="3686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E7E6E6" w:themeFill="background2"/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Adjusted Cox regression</w:t>
            </w:r>
          </w:p>
        </w:tc>
      </w:tr>
      <w:tr w:rsidR="000B18B3" w:rsidRPr="000B18B3" w:rsidTr="00E532B0">
        <w:trPr>
          <w:trHeight w:val="386"/>
          <w:jc w:val="center"/>
        </w:trPr>
        <w:tc>
          <w:tcPr>
            <w:tcW w:w="3261" w:type="dxa"/>
            <w:vMerge/>
            <w:tcBorders>
              <w:bottom w:val="single" w:sz="8" w:space="0" w:color="auto"/>
            </w:tcBorders>
            <w:shd w:val="clear" w:color="auto" w:fill="E7E6E6" w:themeFill="background2"/>
            <w:vAlign w:val="center"/>
          </w:tcPr>
          <w:p w:rsidR="008E2EF3" w:rsidRPr="000B18B3" w:rsidRDefault="008E2EF3" w:rsidP="00E532B0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shd w:val="clear" w:color="auto" w:fill="E7E6E6" w:themeFill="background2"/>
            <w:vAlign w:val="center"/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HR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shd w:val="clear" w:color="auto" w:fill="E7E6E6" w:themeFill="background2"/>
            <w:vAlign w:val="center"/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95% CI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E7E6E6" w:themeFill="background2"/>
            <w:vAlign w:val="center"/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bidi="en-US"/>
              </w:rPr>
              <w:t>p-value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E7E6E6" w:themeFill="background2"/>
            <w:vAlign w:val="center"/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HR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shd w:val="clear" w:color="auto" w:fill="E7E6E6" w:themeFill="background2"/>
            <w:vAlign w:val="center"/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95% CI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E7E6E6" w:themeFill="background2"/>
            <w:vAlign w:val="center"/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bidi="en-US"/>
              </w:rPr>
              <w:t>p-value</w:t>
            </w:r>
          </w:p>
        </w:tc>
      </w:tr>
      <w:tr w:rsidR="000B18B3" w:rsidRPr="000B18B3" w:rsidTr="00E532B0">
        <w:trPr>
          <w:trHeight w:val="423"/>
          <w:jc w:val="center"/>
        </w:trPr>
        <w:tc>
          <w:tcPr>
            <w:tcW w:w="3261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:rsidR="008E2EF3" w:rsidRPr="000B18B3" w:rsidRDefault="008E2EF3" w:rsidP="00E532B0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LV GLS categories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0B18B3" w:rsidRPr="000B18B3" w:rsidTr="00E532B0">
        <w:trPr>
          <w:trHeight w:val="423"/>
          <w:jc w:val="center"/>
        </w:trPr>
        <w:tc>
          <w:tcPr>
            <w:tcW w:w="326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8E2EF3" w:rsidRPr="000B18B3" w:rsidRDefault="008E2EF3" w:rsidP="00E532B0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 xml:space="preserve"> Normal GLS (≤ -18%)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Ref.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vAlign w:val="center"/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Ref.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-</w:t>
            </w:r>
          </w:p>
        </w:tc>
      </w:tr>
      <w:tr w:rsidR="000B18B3" w:rsidRPr="000B18B3" w:rsidTr="00E532B0">
        <w:trPr>
          <w:trHeight w:val="423"/>
          <w:jc w:val="center"/>
        </w:trPr>
        <w:tc>
          <w:tcPr>
            <w:tcW w:w="326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8E2EF3" w:rsidRPr="000B18B3" w:rsidRDefault="008E2EF3" w:rsidP="00E532B0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bookmarkStart w:id="1" w:name="_Hlk154078999"/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 xml:space="preserve"> Borderline GLS (-18% &lt; GLS ≤ -16%)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3.16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vAlign w:val="center"/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(1.06-9.44)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0.039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2.38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(</w:t>
            </w:r>
            <w:bookmarkStart w:id="2" w:name="_Hlk156312373"/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0.78-7.2</w:t>
            </w:r>
            <w:bookmarkEnd w:id="2"/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0)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0.126</w:t>
            </w:r>
          </w:p>
        </w:tc>
      </w:tr>
      <w:tr w:rsidR="000B18B3" w:rsidRPr="000B18B3" w:rsidTr="00E532B0">
        <w:trPr>
          <w:trHeight w:val="416"/>
          <w:jc w:val="center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E2EF3" w:rsidRPr="000B18B3" w:rsidRDefault="008E2EF3" w:rsidP="00E532B0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bookmarkStart w:id="3" w:name="_Hlk154079086"/>
            <w:bookmarkEnd w:id="1"/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 xml:space="preserve"> Abnormal GLS (&gt; -16%)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9.47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(3.75-23.9)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&lt;0.001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7.18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(2.55-20.3)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&lt;0.001</w:t>
            </w:r>
          </w:p>
        </w:tc>
      </w:tr>
      <w:bookmarkEnd w:id="3"/>
      <w:tr w:rsidR="000B18B3" w:rsidRPr="000B18B3" w:rsidTr="00E532B0">
        <w:trPr>
          <w:trHeight w:val="416"/>
          <w:jc w:val="center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E2EF3" w:rsidRPr="000B18B3" w:rsidRDefault="008E2EF3" w:rsidP="00E532B0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  <w:t>Diastolic function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0B18B3" w:rsidRPr="000B18B3" w:rsidTr="00E532B0">
        <w:trPr>
          <w:trHeight w:val="416"/>
          <w:jc w:val="center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E2EF3" w:rsidRPr="000B18B3" w:rsidRDefault="008E2EF3" w:rsidP="00E532B0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 xml:space="preserve"> Normal diastolic function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Ref.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Ref.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-</w:t>
            </w:r>
          </w:p>
        </w:tc>
      </w:tr>
      <w:tr w:rsidR="000B18B3" w:rsidRPr="000B18B3" w:rsidTr="00E532B0">
        <w:trPr>
          <w:trHeight w:val="416"/>
          <w:jc w:val="center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E2EF3" w:rsidRPr="000B18B3" w:rsidRDefault="008E2EF3" w:rsidP="00E532B0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 xml:space="preserve"> Indeterminate diastolic function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2.70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(0.96-7.57)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0.059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1.95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(0.68-5.59)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0.215</w:t>
            </w:r>
          </w:p>
        </w:tc>
      </w:tr>
      <w:tr w:rsidR="000B18B3" w:rsidRPr="000B18B3" w:rsidTr="00E532B0">
        <w:trPr>
          <w:trHeight w:val="416"/>
          <w:jc w:val="center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E2EF3" w:rsidRPr="000B18B3" w:rsidRDefault="008E2EF3" w:rsidP="00E532B0">
            <w:pPr>
              <w:spacing w:after="0"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 xml:space="preserve"> Diastolic dysfunction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2.29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(0.81-6.41)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0.116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1.45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(0.47-4.42)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E2EF3" w:rsidRPr="000B18B3" w:rsidRDefault="008E2EF3" w:rsidP="00E532B0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</w:pPr>
            <w:r w:rsidRPr="000B18B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0.517</w:t>
            </w:r>
          </w:p>
        </w:tc>
      </w:tr>
    </w:tbl>
    <w:p w:rsidR="008E2EF3" w:rsidRPr="000B18B3" w:rsidRDefault="008E2EF3" w:rsidP="008E2EF3">
      <w:pPr>
        <w:spacing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4" w:name="_Hlk154081043"/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>Table S</w:t>
      </w:r>
      <w:r w:rsidR="00BE497D"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presents univariate and adjusted Cox regression analyses, including respective HR, for the occurrence of MACE in RA patients, categorised by LV GLS or diastolic function.</w:t>
      </w:r>
      <w:bookmarkStart w:id="5" w:name="_Hlk154083383"/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RA patients with abnormal LV GLS (</w:t>
      </w:r>
      <w:r w:rsidRPr="000B18B3">
        <w:rPr>
          <w:rFonts w:ascii="Times New Roman" w:hAnsi="Times New Roman" w:cs="Times New Roman"/>
          <w:color w:val="000000" w:themeColor="text1"/>
          <w:sz w:val="20"/>
          <w:szCs w:val="20"/>
          <w:lang w:bidi="en-US"/>
        </w:rPr>
        <w:t>&gt; -16%</w:t>
      </w:r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had an adjusted 7.2-fold higher risk of developing MACE (HR 7.18; 95% CI 2.55-20.3; </w:t>
      </w:r>
      <w:r w:rsidRPr="000B18B3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p</w:t>
      </w:r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>&lt;0.001) compared to RA patients with normal LV GLS (</w:t>
      </w:r>
      <w:r w:rsidRPr="000B18B3">
        <w:rPr>
          <w:rFonts w:ascii="Times New Roman" w:hAnsi="Times New Roman" w:cs="Times New Roman"/>
          <w:color w:val="000000" w:themeColor="text1"/>
          <w:sz w:val="20"/>
          <w:szCs w:val="20"/>
          <w:lang w:bidi="en-US"/>
        </w:rPr>
        <w:t>≤ -18%</w:t>
      </w:r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>). There were no significant differences between patients with normal LV GLS and those with borderline LV GLS (</w:t>
      </w:r>
      <w:r w:rsidRPr="000B18B3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p</w:t>
      </w:r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>=0.126).</w:t>
      </w:r>
      <w:bookmarkEnd w:id="5"/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Regarding diastolic function, there were no significant differences in the occurrence of MACE between patients with normal diastolic function and those with indeterminate or diastolic dysfunction (</w:t>
      </w:r>
      <w:r w:rsidRPr="000B18B3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p</w:t>
      </w:r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=0.215 and </w:t>
      </w:r>
      <w:r w:rsidRPr="000B18B3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p</w:t>
      </w:r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>=0.517, respectively).</w:t>
      </w:r>
    </w:p>
    <w:p w:rsidR="008E2EF3" w:rsidRPr="000B18B3" w:rsidRDefault="008E2EF3" w:rsidP="008E2EF3">
      <w:pPr>
        <w:spacing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MACE consists of a composite of </w:t>
      </w:r>
      <w:r w:rsidR="00706086"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>MI</w:t>
      </w:r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>, HF hospitalisation, stroke, or CV death.</w:t>
      </w:r>
    </w:p>
    <w:bookmarkEnd w:id="4"/>
    <w:p w:rsidR="008E2EF3" w:rsidRPr="000B18B3" w:rsidRDefault="008E2EF3" w:rsidP="008E2EF3">
      <w:pPr>
        <w:spacing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>Ref. indicates the reference category, which corresponds to normal LV GLS or normal diastolic function.</w:t>
      </w:r>
    </w:p>
    <w:p w:rsidR="001A4720" w:rsidRPr="000B18B3" w:rsidRDefault="001A4720" w:rsidP="008E2EF3">
      <w:pPr>
        <w:spacing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adjustment model included the following covariates: age, hypertension, dyslipidaemia, BMI, and </w:t>
      </w:r>
      <w:proofErr w:type="spellStart"/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>eGFR</w:t>
      </w:r>
      <w:proofErr w:type="spellEnd"/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8E2EF3" w:rsidRPr="000B18B3" w:rsidRDefault="008E2EF3" w:rsidP="008E2EF3">
      <w:pPr>
        <w:spacing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>Significant associations (</w:t>
      </w:r>
      <w:r w:rsidRPr="000B18B3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p-value</w:t>
      </w:r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&lt; 0.05) are in bold.</w:t>
      </w:r>
    </w:p>
    <w:p w:rsidR="008E2EF3" w:rsidRPr="000B18B3" w:rsidRDefault="008E2EF3" w:rsidP="008E2EF3">
      <w:pPr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>Abbreviations: BMI: body mass index; CI:</w:t>
      </w:r>
      <w:r w:rsidRPr="000B18B3">
        <w:rPr>
          <w:color w:val="000000" w:themeColor="text1"/>
        </w:rPr>
        <w:t xml:space="preserve"> </w:t>
      </w:r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confidence interval; CV: cardiovascular; </w:t>
      </w:r>
      <w:proofErr w:type="spellStart"/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>eGFR</w:t>
      </w:r>
      <w:proofErr w:type="spellEnd"/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>: estimated glomerular filtration rate; GLS: global longitudinal strain; HF: heart failure; HR: hazard ratio; LV: left ventricle/</w:t>
      </w:r>
      <w:proofErr w:type="spellStart"/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>cular</w:t>
      </w:r>
      <w:proofErr w:type="spellEnd"/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>; MACE: major adverse cardiovascular events;</w:t>
      </w:r>
      <w:r w:rsidRPr="000B18B3">
        <w:rPr>
          <w:color w:val="000000" w:themeColor="text1"/>
        </w:rPr>
        <w:t xml:space="preserve"> </w:t>
      </w:r>
      <w:r w:rsidR="00706086"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MI: myocardial infarction; </w:t>
      </w:r>
      <w:r w:rsidRPr="000B18B3">
        <w:rPr>
          <w:rFonts w:ascii="Times New Roman" w:hAnsi="Times New Roman" w:cs="Times New Roman"/>
          <w:color w:val="000000" w:themeColor="text1"/>
          <w:sz w:val="20"/>
          <w:szCs w:val="20"/>
        </w:rPr>
        <w:t>RA: rheumatoid arthritis.</w:t>
      </w:r>
      <w:r w:rsidRPr="000B18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:rsidR="008E2EF3" w:rsidRPr="000B18B3" w:rsidRDefault="008E2EF3" w:rsidP="008E2EF3">
      <w:pPr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B18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Figure Legends</w:t>
      </w:r>
    </w:p>
    <w:p w:rsidR="008E2EF3" w:rsidRPr="000B18B3" w:rsidRDefault="008E2EF3" w:rsidP="008E2EF3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18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Figure S1: Flowchart of the study population. </w:t>
      </w:r>
      <w:r w:rsidRPr="000B18B3">
        <w:rPr>
          <w:rFonts w:ascii="Times New Roman" w:hAnsi="Times New Roman" w:cs="Times New Roman"/>
          <w:color w:val="000000" w:themeColor="text1"/>
          <w:sz w:val="24"/>
          <w:szCs w:val="24"/>
        </w:rPr>
        <w:t>CABG: coronary artery bypass graft; CAD: coronary artery disease; PCI: percutaneous coronary intervention.</w:t>
      </w:r>
    </w:p>
    <w:p w:rsidR="008E2EF3" w:rsidRPr="000B18B3" w:rsidRDefault="008E2EF3" w:rsidP="008E2EF3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2EF3" w:rsidRPr="000B18B3" w:rsidRDefault="008E2EF3" w:rsidP="008E2EF3">
      <w:pPr>
        <w:spacing w:after="0" w:line="480" w:lineRule="auto"/>
        <w:rPr>
          <w:color w:val="000000" w:themeColor="text1"/>
        </w:rPr>
      </w:pPr>
      <w:r w:rsidRPr="000B18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Figure S2: Distribution of RA patients across different LV GLS categories. </w:t>
      </w:r>
      <w:r w:rsidRPr="000B18B3">
        <w:rPr>
          <w:rFonts w:ascii="Times New Roman" w:hAnsi="Times New Roman" w:cs="Times New Roman"/>
          <w:color w:val="000000" w:themeColor="text1"/>
          <w:sz w:val="24"/>
          <w:szCs w:val="24"/>
        </w:rPr>
        <w:t>Fig. S2 depicts the distribution of the study population across different LV GLS categories. Among the 277 RA patients without known heart disease included in the analysis, 76% (</w:t>
      </w:r>
      <w:r w:rsidRPr="000B18B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</w:t>
      </w:r>
      <w:r w:rsidRPr="000B18B3">
        <w:rPr>
          <w:rFonts w:ascii="Times New Roman" w:hAnsi="Times New Roman" w:cs="Times New Roman"/>
          <w:color w:val="000000" w:themeColor="text1"/>
          <w:sz w:val="24"/>
          <w:szCs w:val="24"/>
        </w:rPr>
        <w:t>=210) exhibited normal LV GLS, 14% (</w:t>
      </w:r>
      <w:r w:rsidRPr="000B18B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</w:t>
      </w:r>
      <w:r w:rsidRPr="000B18B3">
        <w:rPr>
          <w:rFonts w:ascii="Times New Roman" w:hAnsi="Times New Roman" w:cs="Times New Roman"/>
          <w:color w:val="000000" w:themeColor="text1"/>
          <w:sz w:val="24"/>
          <w:szCs w:val="24"/>
        </w:rPr>
        <w:t>=39) had borderline LV GLS, and 10% (</w:t>
      </w:r>
      <w:r w:rsidRPr="000B18B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</w:t>
      </w:r>
      <w:r w:rsidRPr="000B18B3">
        <w:rPr>
          <w:rFonts w:ascii="Times New Roman" w:hAnsi="Times New Roman" w:cs="Times New Roman"/>
          <w:color w:val="000000" w:themeColor="text1"/>
          <w:sz w:val="24"/>
          <w:szCs w:val="24"/>
        </w:rPr>
        <w:t>=28) had abnormal LV GLS.</w:t>
      </w:r>
    </w:p>
    <w:p w:rsidR="008E2EF3" w:rsidRPr="000B18B3" w:rsidRDefault="008E2EF3" w:rsidP="008E2EF3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2EF3" w:rsidRPr="000B18B3" w:rsidRDefault="008E2EF3" w:rsidP="008E2EF3">
      <w:pPr>
        <w:spacing w:after="0" w:line="480" w:lineRule="auto"/>
        <w:rPr>
          <w:color w:val="000000" w:themeColor="text1"/>
        </w:rPr>
      </w:pPr>
      <w:r w:rsidRPr="000B18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Figure S3: Distribution of LV GLS categories in relation to diastolic function. </w:t>
      </w:r>
      <w:r w:rsidRPr="000B18B3">
        <w:rPr>
          <w:rFonts w:ascii="Times New Roman" w:hAnsi="Times New Roman" w:cs="Times New Roman"/>
          <w:color w:val="000000" w:themeColor="text1"/>
          <w:sz w:val="24"/>
          <w:szCs w:val="24"/>
        </w:rPr>
        <w:t>Fig. S3 illustrates that the prevalence of subclinical LVSD is higher among patients with diastolic dysfunction, although not reaching statistical significance (</w:t>
      </w:r>
      <w:r w:rsidRPr="000B18B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p </w:t>
      </w:r>
      <w:r w:rsidRPr="000B18B3">
        <w:rPr>
          <w:rFonts w:ascii="Times New Roman" w:hAnsi="Times New Roman" w:cs="Times New Roman"/>
          <w:color w:val="000000" w:themeColor="text1"/>
          <w:sz w:val="24"/>
          <w:szCs w:val="24"/>
        </w:rPr>
        <w:t>= 0.073 – see Table 1).</w:t>
      </w:r>
    </w:p>
    <w:p w:rsidR="008E2EF3" w:rsidRPr="000B18B3" w:rsidRDefault="008E2EF3" w:rsidP="008E2EF3">
      <w:pPr>
        <w:spacing w:after="0" w:line="48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bookmarkStart w:id="6" w:name="_GoBack"/>
      <w:bookmarkEnd w:id="6"/>
    </w:p>
    <w:p w:rsidR="008E2EF3" w:rsidRPr="000B18B3" w:rsidRDefault="008E2EF3" w:rsidP="008E2EF3">
      <w:pPr>
        <w:spacing w:after="0" w:line="480" w:lineRule="auto"/>
        <w:rPr>
          <w:color w:val="000000" w:themeColor="text1"/>
        </w:rPr>
      </w:pPr>
      <w:r w:rsidRPr="000B18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Figure S4: Kaplan-Meier survival curves, categorised by LV GLS, in relation to the occurrence of MACE in RA patients. </w:t>
      </w:r>
      <w:r w:rsidRPr="000B18B3">
        <w:rPr>
          <w:rFonts w:ascii="Times New Roman" w:hAnsi="Times New Roman" w:cs="Times New Roman"/>
          <w:color w:val="000000" w:themeColor="text1"/>
          <w:sz w:val="24"/>
          <w:szCs w:val="24"/>
        </w:rPr>
        <w:t>Kaplan-Meier survival curves depicting the impact of LV GLS on MACE in RA patients. Survival analysis showed significant differences (</w:t>
      </w:r>
      <w:r w:rsidRPr="000B18B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p </w:t>
      </w:r>
      <w:r w:rsidRPr="000B18B3">
        <w:rPr>
          <w:rFonts w:ascii="Times New Roman" w:hAnsi="Times New Roman" w:cs="Times New Roman"/>
          <w:color w:val="000000" w:themeColor="text1"/>
          <w:sz w:val="24"/>
          <w:szCs w:val="24"/>
        </w:rPr>
        <w:t>&lt; 0.001; log-rank test) in the occurrence of MACE between the different LV GLS categories during a 7-year period of follow-up.</w:t>
      </w:r>
    </w:p>
    <w:p w:rsidR="008E2EF3" w:rsidRPr="000B18B3" w:rsidRDefault="008E2EF3" w:rsidP="008E2EF3">
      <w:pPr>
        <w:pStyle w:val="NormalWeb"/>
        <w:spacing w:before="0" w:beforeAutospacing="0" w:after="0" w:afterAutospacing="0" w:line="480" w:lineRule="auto"/>
        <w:rPr>
          <w:color w:val="000000" w:themeColor="text1"/>
          <w:lang w:val="en-GB"/>
        </w:rPr>
      </w:pPr>
    </w:p>
    <w:p w:rsidR="00574857" w:rsidRPr="000B18B3" w:rsidRDefault="008E2EF3" w:rsidP="008E2EF3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18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Figure S5: Cumulative MACE-free survival curves in RA patients, categorised by </w:t>
      </w:r>
      <w:bookmarkStart w:id="7" w:name="_Hlk154255325"/>
      <w:r w:rsidRPr="000B18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diastolic function</w:t>
      </w:r>
      <w:bookmarkEnd w:id="7"/>
      <w:r w:rsidRPr="000B18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Pr="000B18B3">
        <w:rPr>
          <w:rFonts w:ascii="Times New Roman" w:hAnsi="Times New Roman" w:cs="Times New Roman"/>
          <w:color w:val="000000" w:themeColor="text1"/>
          <w:sz w:val="24"/>
          <w:szCs w:val="24"/>
        </w:rPr>
        <w:t>Survival analysis showed no significant differences (</w:t>
      </w:r>
      <w:r w:rsidRPr="000B18B3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p </w:t>
      </w:r>
      <w:r w:rsidRPr="000B18B3">
        <w:rPr>
          <w:rFonts w:ascii="Times New Roman" w:hAnsi="Times New Roman" w:cs="Times New Roman"/>
          <w:color w:val="000000" w:themeColor="text1"/>
          <w:sz w:val="24"/>
          <w:szCs w:val="24"/>
        </w:rPr>
        <w:t>= 0.078; log-rank test) in the occurrence of MACE between the different diastolic function categories in RA patients during a 7-year period of follow-up.</w:t>
      </w:r>
    </w:p>
    <w:sectPr w:rsidR="00574857" w:rsidRPr="000B18B3" w:rsidSect="000B18B3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6A06" w:rsidRDefault="00516A06">
      <w:pPr>
        <w:spacing w:after="0" w:line="240" w:lineRule="auto"/>
      </w:pPr>
      <w:r>
        <w:separator/>
      </w:r>
    </w:p>
  </w:endnote>
  <w:endnote w:type="continuationSeparator" w:id="0">
    <w:p w:rsidR="00516A06" w:rsidRDefault="00516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2877432"/>
      <w:docPartObj>
        <w:docPartGallery w:val="Page Numbers (Bottom of Page)"/>
        <w:docPartUnique/>
      </w:docPartObj>
    </w:sdtPr>
    <w:sdtEndPr/>
    <w:sdtContent>
      <w:p w:rsidR="007A630C" w:rsidRPr="00F1738B" w:rsidRDefault="0061383B">
        <w:pPr>
          <w:pStyle w:val="Footer"/>
          <w:jc w:val="right"/>
        </w:pPr>
        <w:r w:rsidRPr="00F1738B">
          <w:fldChar w:fldCharType="begin"/>
        </w:r>
        <w:r w:rsidRPr="00F1738B">
          <w:instrText>PAGE   \* MERGEFORMAT</w:instrText>
        </w:r>
        <w:r w:rsidRPr="00F1738B">
          <w:fldChar w:fldCharType="separate"/>
        </w:r>
        <w:r w:rsidR="000B18B3">
          <w:rPr>
            <w:noProof/>
          </w:rPr>
          <w:t>6</w:t>
        </w:r>
        <w:r w:rsidRPr="00F1738B">
          <w:fldChar w:fldCharType="end"/>
        </w:r>
      </w:p>
    </w:sdtContent>
  </w:sdt>
  <w:p w:rsidR="007A630C" w:rsidRPr="00F1738B" w:rsidRDefault="007A630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6A06" w:rsidRDefault="00516A06">
      <w:pPr>
        <w:spacing w:after="0" w:line="240" w:lineRule="auto"/>
      </w:pPr>
      <w:r>
        <w:separator/>
      </w:r>
    </w:p>
  </w:footnote>
  <w:footnote w:type="continuationSeparator" w:id="0">
    <w:p w:rsidR="00516A06" w:rsidRDefault="00516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840BE"/>
    <w:multiLevelType w:val="hybridMultilevel"/>
    <w:tmpl w:val="BE320412"/>
    <w:lvl w:ilvl="0" w:tplc="9196AD3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C55BE"/>
    <w:multiLevelType w:val="hybridMultilevel"/>
    <w:tmpl w:val="E19223F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E281F"/>
    <w:multiLevelType w:val="hybridMultilevel"/>
    <w:tmpl w:val="8D3E25B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55ADC"/>
    <w:multiLevelType w:val="hybridMultilevel"/>
    <w:tmpl w:val="346218C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31429"/>
    <w:multiLevelType w:val="hybridMultilevel"/>
    <w:tmpl w:val="9864B39C"/>
    <w:lvl w:ilvl="0" w:tplc="B2561D6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A3CCE"/>
    <w:multiLevelType w:val="hybridMultilevel"/>
    <w:tmpl w:val="6B1C821E"/>
    <w:lvl w:ilvl="0" w:tplc="5EB246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793250"/>
    <w:multiLevelType w:val="hybridMultilevel"/>
    <w:tmpl w:val="52E4441C"/>
    <w:lvl w:ilvl="0" w:tplc="67E2DB7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BC7115"/>
    <w:multiLevelType w:val="hybridMultilevel"/>
    <w:tmpl w:val="067E7B44"/>
    <w:lvl w:ilvl="0" w:tplc="05D656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C17129"/>
    <w:multiLevelType w:val="hybridMultilevel"/>
    <w:tmpl w:val="2F3EBE72"/>
    <w:lvl w:ilvl="0" w:tplc="61208A04">
      <w:start w:val="2"/>
      <w:numFmt w:val="bullet"/>
      <w:lvlText w:val="-"/>
      <w:lvlJc w:val="left"/>
      <w:pPr>
        <w:ind w:left="10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78EE1899"/>
    <w:multiLevelType w:val="hybridMultilevel"/>
    <w:tmpl w:val="D696E33A"/>
    <w:lvl w:ilvl="0" w:tplc="454A83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4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EF3"/>
    <w:rsid w:val="00017D90"/>
    <w:rsid w:val="00020630"/>
    <w:rsid w:val="000B18B3"/>
    <w:rsid w:val="00123F10"/>
    <w:rsid w:val="00134580"/>
    <w:rsid w:val="00163F26"/>
    <w:rsid w:val="001A4720"/>
    <w:rsid w:val="001C5A9D"/>
    <w:rsid w:val="0025777B"/>
    <w:rsid w:val="00276304"/>
    <w:rsid w:val="002E1401"/>
    <w:rsid w:val="00323824"/>
    <w:rsid w:val="00384624"/>
    <w:rsid w:val="003C363A"/>
    <w:rsid w:val="00434824"/>
    <w:rsid w:val="00516A06"/>
    <w:rsid w:val="00532D19"/>
    <w:rsid w:val="00564BC5"/>
    <w:rsid w:val="00574857"/>
    <w:rsid w:val="005F274D"/>
    <w:rsid w:val="0061383B"/>
    <w:rsid w:val="00654E04"/>
    <w:rsid w:val="00706086"/>
    <w:rsid w:val="00724170"/>
    <w:rsid w:val="00734D62"/>
    <w:rsid w:val="0075525F"/>
    <w:rsid w:val="00776E49"/>
    <w:rsid w:val="00792E5E"/>
    <w:rsid w:val="007A630C"/>
    <w:rsid w:val="007B3A9D"/>
    <w:rsid w:val="008E2EF3"/>
    <w:rsid w:val="00911C97"/>
    <w:rsid w:val="00A15D26"/>
    <w:rsid w:val="00A613EC"/>
    <w:rsid w:val="00AA23D1"/>
    <w:rsid w:val="00AE63D7"/>
    <w:rsid w:val="00AF307C"/>
    <w:rsid w:val="00B45500"/>
    <w:rsid w:val="00BE497D"/>
    <w:rsid w:val="00C51668"/>
    <w:rsid w:val="00C65882"/>
    <w:rsid w:val="00E818B1"/>
    <w:rsid w:val="00F12075"/>
    <w:rsid w:val="00F244DA"/>
    <w:rsid w:val="00FA4719"/>
    <w:rsid w:val="00FB2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774903-6C4B-4C15-89D4-41AD7471E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EF3"/>
    <w:rPr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arter"/>
    <w:rsid w:val="008E2EF3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arter">
    <w:name w:val="EndNote Bibliography Title Caráter"/>
    <w:basedOn w:val="DefaultParagraphFont"/>
    <w:link w:val="EndNoteBibliographyTitle"/>
    <w:rsid w:val="008E2EF3"/>
    <w:rPr>
      <w:rFonts w:ascii="Calibri" w:hAnsi="Calibri" w:cs="Calibri"/>
      <w:noProof/>
      <w:kern w:val="0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arter"/>
    <w:rsid w:val="008E2EF3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arter">
    <w:name w:val="EndNote Bibliography Caráter"/>
    <w:basedOn w:val="DefaultParagraphFont"/>
    <w:link w:val="EndNoteBibliography"/>
    <w:rsid w:val="008E2EF3"/>
    <w:rPr>
      <w:rFonts w:ascii="Calibri" w:hAnsi="Calibri" w:cs="Calibri"/>
      <w:noProof/>
      <w:kern w:val="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8E2EF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E2EF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E2E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2EF3"/>
    <w:rPr>
      <w:kern w:val="0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E2E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2EF3"/>
    <w:rPr>
      <w:kern w:val="0"/>
      <w:lang w:val="en-GB"/>
      <w14:ligatures w14:val="none"/>
    </w:rPr>
  </w:style>
  <w:style w:type="paragraph" w:styleId="ListParagraph">
    <w:name w:val="List Paragraph"/>
    <w:basedOn w:val="Normal"/>
    <w:uiPriority w:val="34"/>
    <w:qFormat/>
    <w:rsid w:val="008E2EF3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8E2EF3"/>
  </w:style>
  <w:style w:type="character" w:styleId="CommentReference">
    <w:name w:val="annotation reference"/>
    <w:basedOn w:val="DefaultParagraphFont"/>
    <w:uiPriority w:val="99"/>
    <w:semiHidden/>
    <w:unhideWhenUsed/>
    <w:rsid w:val="008E2E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E2E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E2EF3"/>
    <w:rPr>
      <w:kern w:val="0"/>
      <w:sz w:val="20"/>
      <w:szCs w:val="20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2E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2EF3"/>
    <w:rPr>
      <w:b/>
      <w:bCs/>
      <w:kern w:val="0"/>
      <w:sz w:val="20"/>
      <w:szCs w:val="20"/>
      <w:lang w:val="en-GB"/>
      <w14:ligatures w14:val="none"/>
    </w:rPr>
  </w:style>
  <w:style w:type="paragraph" w:styleId="NormalWeb">
    <w:name w:val="Normal (Web)"/>
    <w:basedOn w:val="Normal"/>
    <w:uiPriority w:val="99"/>
    <w:unhideWhenUsed/>
    <w:rsid w:val="008E2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paragraph" w:styleId="Revision">
    <w:name w:val="Revision"/>
    <w:hidden/>
    <w:uiPriority w:val="99"/>
    <w:semiHidden/>
    <w:rsid w:val="008E2EF3"/>
    <w:pPr>
      <w:spacing w:after="0" w:line="240" w:lineRule="auto"/>
    </w:pPr>
    <w:rPr>
      <w:kern w:val="0"/>
      <w:lang w:val="en-GB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2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EF3"/>
    <w:rPr>
      <w:rFonts w:ascii="Segoe UI" w:hAnsi="Segoe UI" w:cs="Segoe UI"/>
      <w:kern w:val="0"/>
      <w:sz w:val="18"/>
      <w:szCs w:val="18"/>
      <w:lang w:val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8E2E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1299</Words>
  <Characters>7406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Alexandre</dc:creator>
  <cp:keywords/>
  <dc:description/>
  <cp:lastModifiedBy>Kishore V</cp:lastModifiedBy>
  <cp:revision>3</cp:revision>
  <dcterms:created xsi:type="dcterms:W3CDTF">2024-09-23T01:11:00Z</dcterms:created>
  <dcterms:modified xsi:type="dcterms:W3CDTF">2024-09-23T01:46:00Z</dcterms:modified>
</cp:coreProperties>
</file>