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73" w:rsidRPr="008B3586" w:rsidRDefault="00C51673" w:rsidP="00C51673">
      <w:pPr>
        <w:spacing w:line="276" w:lineRule="auto"/>
        <w:rPr>
          <w:b/>
          <w:color w:val="000000" w:themeColor="text1"/>
          <w:sz w:val="28"/>
          <w:szCs w:val="28"/>
        </w:rPr>
      </w:pPr>
      <w:r w:rsidRPr="008B3586">
        <w:rPr>
          <w:b/>
          <w:color w:val="000000" w:themeColor="text1"/>
          <w:sz w:val="28"/>
          <w:szCs w:val="28"/>
        </w:rPr>
        <w:t>Supplements</w:t>
      </w:r>
    </w:p>
    <w:p w:rsidR="00C51673" w:rsidRPr="008B3586" w:rsidRDefault="00C51673" w:rsidP="00C51673">
      <w:pPr>
        <w:spacing w:line="276" w:lineRule="auto"/>
        <w:jc w:val="both"/>
        <w:rPr>
          <w:b/>
          <w:color w:val="000000" w:themeColor="text1"/>
          <w:lang w:val="en-US"/>
        </w:rPr>
      </w:pPr>
      <w:r w:rsidRPr="008B3586">
        <w:rPr>
          <w:b/>
          <w:color w:val="000000" w:themeColor="text1"/>
          <w:lang w:val="en-US"/>
        </w:rPr>
        <w:t>Supplemental Table 1</w:t>
      </w:r>
      <w:r w:rsidRPr="008B3586">
        <w:rPr>
          <w:i/>
          <w:color w:val="000000" w:themeColor="text1"/>
          <w:lang w:val="en-US"/>
        </w:rPr>
        <w:t xml:space="preserve"> </w:t>
      </w:r>
      <w:r w:rsidRPr="008B3586">
        <w:rPr>
          <w:color w:val="000000" w:themeColor="text1"/>
        </w:rPr>
        <w:t xml:space="preserve">Analysability </w:t>
      </w:r>
      <w:r w:rsidRPr="008B3586">
        <w:rPr>
          <w:color w:val="000000" w:themeColor="text1"/>
          <w:lang w:val="en-US"/>
        </w:rPr>
        <w:t>of morphological and functional parameters of the heart measured by TTE and CMR</w:t>
      </w:r>
    </w:p>
    <w:tbl>
      <w:tblPr>
        <w:tblStyle w:val="GridTable3"/>
        <w:tblW w:w="3789" w:type="pct"/>
        <w:tblInd w:w="15" w:type="dxa"/>
        <w:tblLook w:val="04A0" w:firstRow="1" w:lastRow="0" w:firstColumn="1" w:lastColumn="0" w:noHBand="0" w:noVBand="1"/>
      </w:tblPr>
      <w:tblGrid>
        <w:gridCol w:w="3019"/>
        <w:gridCol w:w="1926"/>
        <w:gridCol w:w="1925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402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CMR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2126</w:t>
            </w:r>
          </w:p>
        </w:tc>
        <w:tc>
          <w:tcPr>
            <w:tcW w:w="1402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TTE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2126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mass (2D-TTE), g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1936 (91.1)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1746 (82.1)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  <w:hideMark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LVEF (2D-TTE), %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1916 (90.1)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1445 (68.0)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stroke volume (2D-TTE), ml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1986 (93.4)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1552 (73.0)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LVEDV (2D-TTE), ml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1943 (91.4)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1557 (73.2)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LVESV (2D-TTE), ml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1943 (91.4)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1562 (73.5)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LVEF (3D-TTE), %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1916 (90.1)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571 (26.9)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stroke volume (3D-TTE), ml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1986 (93.4)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  <w:lang w:val="en-GB"/>
              </w:rPr>
              <w:t xml:space="preserve"> </w:t>
            </w:r>
            <w:r w:rsidRPr="008B3586">
              <w:rPr>
                <w:color w:val="000000" w:themeColor="text1"/>
                <w:sz w:val="22"/>
              </w:rPr>
              <w:t xml:space="preserve">620 (29.2)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LVEDV </w:t>
            </w: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(3D-TTE)</w:t>
            </w:r>
            <w:r w:rsidRPr="008B3586">
              <w:rPr>
                <w:color w:val="000000" w:themeColor="text1"/>
                <w:sz w:val="22"/>
                <w:szCs w:val="22"/>
              </w:rPr>
              <w:t>, ml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1943 (91.4)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600 (28.2)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LVESV </w:t>
            </w: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(3D-TTE)</w:t>
            </w:r>
            <w:r w:rsidRPr="008B3586">
              <w:rPr>
                <w:color w:val="000000" w:themeColor="text1"/>
                <w:sz w:val="22"/>
                <w:szCs w:val="22"/>
              </w:rPr>
              <w:t>, ml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1943 (91.4)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690 (32.5)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LASV (2D-TTE), ml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1910 (89.8)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1533 (72.1)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RASV (2D-TTE), ml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1937 (91.1)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976 (45.9)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RVEDV (2D-TTE), ml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1969 (92.6)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1228 (57.8)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RVESV (2D-TTE), ml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1966 (92.5)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1204 (56.6)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RVEF (2D-TTE), %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1902 (89.5)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1206 (56.7) 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i/>
          <w:color w:val="000000" w:themeColor="text1"/>
          <w:lang w:val="en-US"/>
        </w:rPr>
      </w:pPr>
      <w:r w:rsidRPr="008B3586">
        <w:rPr>
          <w:color w:val="000000" w:themeColor="text1"/>
          <w:lang w:val="en-US"/>
        </w:rPr>
        <w:t xml:space="preserve">Continuous variables are presented as mean and standard deviation, and categorical variables are presented as absolute numbers and percentages. </w:t>
      </w:r>
      <w:r w:rsidRPr="008B3586">
        <w:rPr>
          <w:i/>
          <w:color w:val="000000" w:themeColor="text1"/>
          <w:lang w:val="en-US"/>
        </w:rPr>
        <w:t>Abbreviations: 2C = 2-chamber; 3D = three-dimensional; 4C = 4-chamber; AV PG = aortic valve pressure gradient; LADV = left atrial end-diastolic volume; LASV = left atrial end-systolic volume; LVEDV = left ventricular end-diastolic volume; LVESV = left ventricular end-systolic volume; LVEF = left ventricular ejection fraction; LVM = left ventricular mass; RADV = right atrial end-diastolic volume, RASV = right atrial end-systolic volume; RVEDV = right ventricular end-diastolic volume; RVESV = right ventricular end-systolic volume.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rPr>
          <w:b/>
          <w:color w:val="000000" w:themeColor="text1"/>
          <w:lang w:val="en-US"/>
        </w:rPr>
      </w:pPr>
      <w:r w:rsidRPr="008B3586">
        <w:rPr>
          <w:b/>
          <w:color w:val="000000" w:themeColor="text1"/>
          <w:lang w:val="en-US"/>
        </w:rPr>
        <w:br w:type="page"/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  <w:r w:rsidRPr="008B3586">
        <w:rPr>
          <w:b/>
          <w:color w:val="000000" w:themeColor="text1"/>
          <w:lang w:val="en-US"/>
        </w:rPr>
        <w:t>Supplemental Table 2</w:t>
      </w:r>
      <w:r w:rsidRPr="008B3586">
        <w:rPr>
          <w:color w:val="000000" w:themeColor="text1"/>
          <w:lang w:val="en-US"/>
        </w:rPr>
        <w:t xml:space="preserve"> Univariable linear regression analysis of predictors of the correlation of 2D-TTE LVEF and CMR LVEF</w:t>
      </w:r>
    </w:p>
    <w:tbl>
      <w:tblPr>
        <w:tblStyle w:val="PlainTable4"/>
        <w:tblW w:w="9072" w:type="dxa"/>
        <w:tblLook w:val="04A0" w:firstRow="1" w:lastRow="0" w:firstColumn="1" w:lastColumn="0" w:noHBand="0" w:noVBand="1"/>
      </w:tblPr>
      <w:tblGrid>
        <w:gridCol w:w="4733"/>
        <w:gridCol w:w="1447"/>
        <w:gridCol w:w="1577"/>
        <w:gridCol w:w="1315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3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47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ß (95%-CI)</w:t>
            </w:r>
          </w:p>
        </w:tc>
        <w:tc>
          <w:tcPr>
            <w:tcW w:w="1577" w:type="dxa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95%-CI</w:t>
            </w:r>
          </w:p>
        </w:tc>
        <w:tc>
          <w:tcPr>
            <w:tcW w:w="1315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3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</w:rPr>
              <w:t>Age</w:t>
            </w:r>
          </w:p>
        </w:tc>
        <w:tc>
          <w:tcPr>
            <w:tcW w:w="1447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0 </w:t>
            </w:r>
          </w:p>
        </w:tc>
        <w:tc>
          <w:tcPr>
            <w:tcW w:w="1577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-0.04; 0.04</w:t>
            </w:r>
          </w:p>
        </w:tc>
        <w:tc>
          <w:tcPr>
            <w:tcW w:w="1315" w:type="dxa"/>
            <w:noWrap/>
            <w:vAlign w:val="bottom"/>
            <w:hideMark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0.997</w:t>
            </w:r>
          </w:p>
        </w:tc>
      </w:tr>
      <w:tr w:rsidR="00C51673" w:rsidRPr="008B3586" w:rsidTr="004A12C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3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 xml:space="preserve">Female sex </w:t>
            </w:r>
          </w:p>
        </w:tc>
        <w:tc>
          <w:tcPr>
            <w:tcW w:w="1447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1.03 </w:t>
            </w:r>
          </w:p>
        </w:tc>
        <w:tc>
          <w:tcPr>
            <w:tcW w:w="1577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0.37; 1.68</w:t>
            </w:r>
          </w:p>
        </w:tc>
        <w:tc>
          <w:tcPr>
            <w:tcW w:w="1315" w:type="dxa"/>
            <w:noWrap/>
            <w:vAlign w:val="bottom"/>
            <w:hideMark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3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 xml:space="preserve">Obesity class II (BMI &gt;35) </w:t>
            </w:r>
          </w:p>
        </w:tc>
        <w:tc>
          <w:tcPr>
            <w:tcW w:w="1447" w:type="dxa"/>
            <w:noWrap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3.8</w:t>
            </w:r>
          </w:p>
        </w:tc>
        <w:tc>
          <w:tcPr>
            <w:tcW w:w="1577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  <w:lang w:val="en-US"/>
              </w:rPr>
              <w:t>2.06; 5.54</w:t>
            </w:r>
          </w:p>
        </w:tc>
        <w:tc>
          <w:tcPr>
            <w:tcW w:w="1315" w:type="dxa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  <w:lang w:val="en-US"/>
              </w:rPr>
              <w:t>&lt;0.001</w:t>
            </w:r>
          </w:p>
        </w:tc>
      </w:tr>
      <w:tr w:rsidR="00C51673" w:rsidRPr="008B3586" w:rsidTr="004A12C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3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 xml:space="preserve">COPD </w:t>
            </w:r>
          </w:p>
        </w:tc>
        <w:tc>
          <w:tcPr>
            <w:tcW w:w="1447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-0.69</w:t>
            </w:r>
          </w:p>
        </w:tc>
        <w:tc>
          <w:tcPr>
            <w:tcW w:w="1577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-2.03; 0.66</w:t>
            </w:r>
          </w:p>
        </w:tc>
        <w:tc>
          <w:tcPr>
            <w:tcW w:w="1315" w:type="dxa"/>
            <w:noWrap/>
            <w:vAlign w:val="bottom"/>
            <w:hideMark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0.315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3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Atrial fibrillation</w:t>
            </w:r>
          </w:p>
        </w:tc>
        <w:tc>
          <w:tcPr>
            <w:tcW w:w="1447" w:type="dxa"/>
            <w:noWrap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-2</w:t>
            </w:r>
          </w:p>
        </w:tc>
        <w:tc>
          <w:tcPr>
            <w:tcW w:w="1577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-3.44; -0.56</w:t>
            </w:r>
          </w:p>
        </w:tc>
        <w:tc>
          <w:tcPr>
            <w:tcW w:w="1315" w:type="dxa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0.007</w:t>
            </w:r>
          </w:p>
        </w:tc>
      </w:tr>
      <w:tr w:rsidR="00C51673" w:rsidRPr="008B3586" w:rsidTr="004A12C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3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CMR &lt;1 month after TTE vs. 1-3 months</w:t>
            </w:r>
          </w:p>
        </w:tc>
        <w:tc>
          <w:tcPr>
            <w:tcW w:w="1447" w:type="dxa"/>
            <w:noWrap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-0.02</w:t>
            </w:r>
          </w:p>
        </w:tc>
        <w:tc>
          <w:tcPr>
            <w:tcW w:w="1577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-0.73; 0.7</w:t>
            </w:r>
          </w:p>
        </w:tc>
        <w:tc>
          <w:tcPr>
            <w:tcW w:w="1315" w:type="dxa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0.965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3" w:type="dxa"/>
            <w:noWrap/>
            <w:hideMark/>
          </w:tcPr>
          <w:p w:rsidR="00C51673" w:rsidRPr="008B3586" w:rsidRDefault="00C51673" w:rsidP="004A12C3">
            <w:pPr>
              <w:spacing w:line="276" w:lineRule="auto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CMR &gt;3 months after TTE vs. 1-3 months</w:t>
            </w:r>
          </w:p>
        </w:tc>
        <w:tc>
          <w:tcPr>
            <w:tcW w:w="1447" w:type="dxa"/>
            <w:noWrap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-0.23</w:t>
            </w:r>
          </w:p>
        </w:tc>
        <w:tc>
          <w:tcPr>
            <w:tcW w:w="1577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-1.21; 0.76</w:t>
            </w:r>
          </w:p>
        </w:tc>
        <w:tc>
          <w:tcPr>
            <w:tcW w:w="1315" w:type="dxa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0.651</w:t>
            </w:r>
          </w:p>
        </w:tc>
      </w:tr>
      <w:tr w:rsidR="00C51673" w:rsidRPr="008B3586" w:rsidTr="004A12C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3" w:type="dxa"/>
            <w:noWrap/>
          </w:tcPr>
          <w:p w:rsidR="00C51673" w:rsidRPr="008B3586" w:rsidRDefault="00C51673" w:rsidP="004A12C3">
            <w:pPr>
              <w:spacing w:line="276" w:lineRule="auto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TTE image quality 2 vs. 1</w:t>
            </w:r>
          </w:p>
        </w:tc>
        <w:tc>
          <w:tcPr>
            <w:tcW w:w="1447" w:type="dxa"/>
            <w:noWrap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0.77 </w:t>
            </w:r>
          </w:p>
        </w:tc>
        <w:tc>
          <w:tcPr>
            <w:tcW w:w="1577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-0.05; 1.58</w:t>
            </w:r>
          </w:p>
        </w:tc>
        <w:tc>
          <w:tcPr>
            <w:tcW w:w="1315" w:type="dxa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0.065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3" w:type="dxa"/>
            <w:noWrap/>
          </w:tcPr>
          <w:p w:rsidR="00C51673" w:rsidRPr="008B3586" w:rsidRDefault="00C51673" w:rsidP="004A12C3">
            <w:pPr>
              <w:spacing w:line="276" w:lineRule="auto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TTE image quality 3 vs. 1</w:t>
            </w:r>
          </w:p>
        </w:tc>
        <w:tc>
          <w:tcPr>
            <w:tcW w:w="1447" w:type="dxa"/>
            <w:noWrap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0.51 </w:t>
            </w:r>
          </w:p>
        </w:tc>
        <w:tc>
          <w:tcPr>
            <w:tcW w:w="1577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-0.53; 1.54</w:t>
            </w:r>
          </w:p>
        </w:tc>
        <w:tc>
          <w:tcPr>
            <w:tcW w:w="1315" w:type="dxa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0.336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jc w:val="both"/>
        <w:rPr>
          <w:i/>
          <w:color w:val="000000" w:themeColor="text1"/>
          <w:lang w:val="en-US"/>
        </w:rPr>
      </w:pPr>
      <w:r w:rsidRPr="008B3586">
        <w:rPr>
          <w:color w:val="000000" w:themeColor="text1"/>
          <w:lang w:val="en-US"/>
        </w:rPr>
        <w:t xml:space="preserve">Univariable linear regression analysis for the association of absolute differences between TTE and CMR measurements of 2-D TTE LVEF with independent variables. Independent variables were age, sex, obesity class II, pre-existing COPD and atrial fibrillation, time between TTE and CMR examination as well as TTE image quality. Results are presented as ß and 95%-confidence interval (CI). </w:t>
      </w:r>
      <w:r w:rsidRPr="008B3586">
        <w:rPr>
          <w:i/>
          <w:color w:val="000000" w:themeColor="text1"/>
          <w:lang w:val="en-US"/>
        </w:rPr>
        <w:t xml:space="preserve">Abbreviations: BMI = body mass index, CMR = cardiac magnetic resonance imaging, COPD = chronic obstructive pulmonary disease, TTE = transthoracic echocardiography. </w:t>
      </w:r>
    </w:p>
    <w:p w:rsidR="00C51673" w:rsidRPr="008B3586" w:rsidRDefault="00C51673" w:rsidP="00C51673">
      <w:pPr>
        <w:spacing w:line="276" w:lineRule="auto"/>
        <w:jc w:val="both"/>
        <w:rPr>
          <w:i/>
          <w:color w:val="000000" w:themeColor="text1"/>
        </w:rPr>
      </w:pPr>
    </w:p>
    <w:p w:rsidR="00C51673" w:rsidRPr="008B3586" w:rsidRDefault="00C51673" w:rsidP="00C51673">
      <w:pPr>
        <w:rPr>
          <w:rFonts w:eastAsiaTheme="majorEastAsia"/>
          <w:b/>
          <w:color w:val="000000" w:themeColor="text1"/>
          <w:sz w:val="26"/>
          <w:szCs w:val="26"/>
        </w:rPr>
      </w:pPr>
      <w:r w:rsidRPr="008B3586">
        <w:rPr>
          <w:b/>
          <w:color w:val="000000" w:themeColor="text1"/>
        </w:rPr>
        <w:br w:type="page"/>
      </w:r>
    </w:p>
    <w:p w:rsidR="00C51673" w:rsidRPr="008B3586" w:rsidRDefault="00C51673" w:rsidP="00C51673">
      <w:pPr>
        <w:pStyle w:val="Heading2"/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8B3586">
        <w:rPr>
          <w:rFonts w:ascii="Times New Roman" w:hAnsi="Times New Roman" w:cs="Times New Roman"/>
          <w:b/>
          <w:color w:val="000000" w:themeColor="text1"/>
        </w:rPr>
        <w:t>Sensitivity analysis: Image quality</w:t>
      </w:r>
    </w:p>
    <w:p w:rsidR="00C51673" w:rsidRPr="008B3586" w:rsidRDefault="00C51673" w:rsidP="00C51673">
      <w:pPr>
        <w:pStyle w:val="Heading2"/>
        <w:spacing w:line="276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B3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following sensitivity analysis, all subjects with fair image quality (TTE image quality indicator 3) were excluded. 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</w:rPr>
      </w:pPr>
    </w:p>
    <w:p w:rsidR="00C51673" w:rsidRPr="008B3586" w:rsidRDefault="00C51673" w:rsidP="00C51673">
      <w:pPr>
        <w:pStyle w:val="Heading2"/>
        <w:spacing w:line="276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B3586">
        <w:rPr>
          <w:rFonts w:ascii="Times New Roman" w:hAnsi="Times New Roman" w:cs="Times New Roman"/>
          <w:b/>
          <w:color w:val="000000" w:themeColor="text1"/>
          <w:sz w:val="22"/>
          <w:szCs w:val="22"/>
          <w:lang w:val="en-US"/>
        </w:rPr>
        <w:t xml:space="preserve">Supplemental Table 3 </w:t>
      </w:r>
      <w:r w:rsidRPr="008B358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Baseline characteristics of the study population</w:t>
      </w:r>
    </w:p>
    <w:tbl>
      <w:tblPr>
        <w:tblStyle w:val="GridTable3"/>
        <w:tblW w:w="9057" w:type="dxa"/>
        <w:tblInd w:w="-5" w:type="dxa"/>
        <w:tblLook w:val="04A0" w:firstRow="1" w:lastRow="0" w:firstColumn="1" w:lastColumn="0" w:noHBand="0" w:noVBand="1"/>
      </w:tblPr>
      <w:tblGrid>
        <w:gridCol w:w="3967"/>
        <w:gridCol w:w="2621"/>
        <w:gridCol w:w="2469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21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  <w:lang w:val="en-US"/>
              </w:rPr>
              <w:t>Females</w:t>
            </w:r>
            <w:r w:rsidRPr="008B3586">
              <w:rPr>
                <w:color w:val="000000" w:themeColor="text1"/>
                <w:sz w:val="22"/>
                <w:szCs w:val="22"/>
                <w:lang w:val="en-US"/>
              </w:rPr>
              <w:br/>
            </w: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741</w:t>
            </w:r>
          </w:p>
        </w:tc>
        <w:tc>
          <w:tcPr>
            <w:tcW w:w="2469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Cs w:val="0"/>
                <w:color w:val="000000" w:themeColor="text1"/>
                <w:sz w:val="22"/>
                <w:szCs w:val="22"/>
                <w:lang w:val="en-US"/>
              </w:rPr>
              <w:t>Males</w:t>
            </w:r>
          </w:p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989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7" w:type="dxa"/>
            <w:gridSpan w:val="3"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/>
                <w:i w:val="0"/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i w:val="0"/>
                <w:color w:val="000000" w:themeColor="text1"/>
                <w:sz w:val="22"/>
                <w:szCs w:val="22"/>
              </w:rPr>
              <w:t>DEMOGRAPHICS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Age, years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64.4 (8.6)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64.6 (8.3)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BMI, kg/m²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26.4 (4.9)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27.1 (4.0)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Systolic blood pressure, mmHg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138.9 (19.4)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144.1 (19.1)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Heart rate, bpm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70.2 (11.2)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67.9 (11.2)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7" w:type="dxa"/>
            <w:gridSpan w:val="3"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/>
                <w:i w:val="0"/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i w:val="0"/>
                <w:color w:val="000000" w:themeColor="text1"/>
                <w:sz w:val="22"/>
                <w:szCs w:val="22"/>
              </w:rPr>
              <w:t>COMORBIDITIES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Hypertension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496 ( 69.2) 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716 (75.3) 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Diabetes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 56 ( 8.1) 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 97 (10.4)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Coronary artery disease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 33 ( 6.0) 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116 (14.4) 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Atrial fibrillation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 29 ( 4.4) 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 58 ( 6.4)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7" w:type="dxa"/>
            <w:gridSpan w:val="3"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/>
                <w:i w:val="0"/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i w:val="0"/>
                <w:color w:val="000000" w:themeColor="text1"/>
                <w:sz w:val="22"/>
                <w:szCs w:val="22"/>
              </w:rPr>
              <w:t>LABORATORIES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GFR, ml/min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83.1 [72.0, 92.4]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84.0 [73.8, 91.9]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NT-proBNP, ng/l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112.0 [62.0, 192.0]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70.0 [40.0, 131.0]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LDL-cholesterol, mg/dl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123.5 [100.0, 148.0]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119.0 [91.2, 141.8]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7" w:type="dxa"/>
            <w:gridSpan w:val="3"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i w:val="0"/>
                <w:color w:val="000000" w:themeColor="text1"/>
                <w:sz w:val="22"/>
                <w:szCs w:val="22"/>
              </w:rPr>
              <w:t>TTE IMAGE QUALITY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i w:val="0"/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Excellent (1)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180 ( 20.1) 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202 (16.4)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Good (2)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561 ( 62.5) 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787 (64.0) 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i/>
          <w:color w:val="000000" w:themeColor="text1"/>
        </w:rPr>
      </w:pPr>
      <w:r w:rsidRPr="008B3586">
        <w:rPr>
          <w:color w:val="000000" w:themeColor="text1"/>
          <w:lang w:val="en-US"/>
        </w:rPr>
        <w:t xml:space="preserve">Normally distributed continuous variables are presented as mean and standard deviation, non-normal continuous variables as median and interquartile range, and categorical variables are presented as absolute numbers and percentages. </w:t>
      </w:r>
      <w:r w:rsidRPr="008B3586">
        <w:rPr>
          <w:rFonts w:ascii="Calibri" w:hAnsi="Calibri" w:cs="Calibri"/>
          <w:color w:val="000000" w:themeColor="text1"/>
        </w:rPr>
        <w:t>﻿</w:t>
      </w:r>
      <w:r w:rsidRPr="008B3586">
        <w:rPr>
          <w:i/>
          <w:color w:val="000000" w:themeColor="text1"/>
        </w:rPr>
        <w:t xml:space="preserve"> Abbreviations: as in Table 1.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rPr>
          <w:b/>
          <w:color w:val="000000" w:themeColor="text1"/>
          <w:lang w:val="en-US"/>
        </w:rPr>
      </w:pPr>
      <w:r w:rsidRPr="008B3586">
        <w:rPr>
          <w:b/>
          <w:color w:val="000000" w:themeColor="text1"/>
          <w:lang w:val="en-US"/>
        </w:rPr>
        <w:br w:type="page"/>
      </w:r>
    </w:p>
    <w:p w:rsidR="00C51673" w:rsidRPr="008B3586" w:rsidRDefault="00C51673" w:rsidP="00C51673">
      <w:pPr>
        <w:spacing w:line="276" w:lineRule="auto"/>
        <w:jc w:val="both"/>
        <w:rPr>
          <w:b/>
          <w:color w:val="000000" w:themeColor="text1"/>
          <w:lang w:val="en-US"/>
        </w:rPr>
      </w:pPr>
      <w:r w:rsidRPr="008B3586">
        <w:rPr>
          <w:b/>
          <w:color w:val="000000" w:themeColor="text1"/>
          <w:lang w:val="en-US"/>
        </w:rPr>
        <w:t xml:space="preserve">Supplemental Table 4 </w:t>
      </w:r>
      <w:r w:rsidRPr="008B3586">
        <w:rPr>
          <w:color w:val="000000" w:themeColor="text1"/>
          <w:lang w:val="en-US"/>
        </w:rPr>
        <w:t>Morphological and functional parameters of the heart measured by TTE and CMR</w:t>
      </w:r>
    </w:p>
    <w:tbl>
      <w:tblPr>
        <w:tblStyle w:val="GridTable3"/>
        <w:tblW w:w="4955" w:type="pct"/>
        <w:tblInd w:w="20" w:type="dxa"/>
        <w:tblLook w:val="04A0" w:firstRow="1" w:lastRow="0" w:firstColumn="1" w:lastColumn="0" w:noHBand="0" w:noVBand="1"/>
      </w:tblPr>
      <w:tblGrid>
        <w:gridCol w:w="3009"/>
        <w:gridCol w:w="2228"/>
        <w:gridCol w:w="2013"/>
        <w:gridCol w:w="1734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69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CMR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1730</w:t>
            </w:r>
          </w:p>
        </w:tc>
        <w:tc>
          <w:tcPr>
            <w:tcW w:w="1126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TTE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1730</w:t>
            </w:r>
          </w:p>
        </w:tc>
        <w:tc>
          <w:tcPr>
            <w:tcW w:w="1016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p-value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mass (2D-TTE), g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117.0 [95.4, 142.3]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161.3 [133.6, 194.7]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  <w:hideMark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LVEF (2D-TTE), %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69.0 [64.1, 74.0]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58.4 [55.6, 61.8]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stroke volume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lang w:val="en-GB"/>
              </w:rPr>
              <w:t xml:space="preserve"> </w:t>
            </w:r>
            <w:r w:rsidRPr="008B3586">
              <w:rPr>
                <w:color w:val="000000" w:themeColor="text1"/>
                <w:sz w:val="22"/>
              </w:rPr>
              <w:t>81.0 [67.0, 96.0]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66.4 [54.4, 79.3]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LVEDV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117.1 [96.6, 138.6]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113.3 [94.4, 135.0]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0.007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LVESV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36.2 [27.0, 46.0]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47.1 [38.2, 57.8]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LVEF (3D-TTE), %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69.0 [64.1, 74.0]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59.1 [55.6, 63.2]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stroke volume (3D-TTE),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lang w:val="en-GB"/>
              </w:rPr>
              <w:t xml:space="preserve"> </w:t>
            </w:r>
            <w:r w:rsidRPr="008B3586">
              <w:rPr>
                <w:color w:val="000000" w:themeColor="text1"/>
                <w:sz w:val="22"/>
              </w:rPr>
              <w:t>81.0 [67.0, 96.0]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61.7 [52.0, 73.0]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LVEDV </w:t>
            </w: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(3D-TTE)</w:t>
            </w:r>
            <w:r w:rsidRPr="008B3586">
              <w:rPr>
                <w:color w:val="000000" w:themeColor="text1"/>
                <w:sz w:val="22"/>
                <w:szCs w:val="22"/>
              </w:rPr>
              <w:t>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117.1 [96.6, 138.6]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105.9 [89.4, 127.6]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LVESV </w:t>
            </w: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(3D-TTE)</w:t>
            </w:r>
            <w:r w:rsidRPr="008B3586">
              <w:rPr>
                <w:color w:val="000000" w:themeColor="text1"/>
                <w:sz w:val="22"/>
                <w:szCs w:val="22"/>
              </w:rPr>
              <w:t>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36.2 [27.0, 46.0]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42.2 [33.0, 54.6]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LASV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53.0 [40.2, 68.0]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52.4 [41.9, 65.0]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0.808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RASV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57.7 [43.2, 74.4]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41.4 [31.1, 53.5]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RVEDV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122.2 [99.5, 148.4]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45.0 [34.0, 59.7]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RVESV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50.0 [38.0, 64.0]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19.0 [14.1, 25.9]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RVEF (2D-TTE), %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59.0 [52.1, 65.0]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58.0 [52.8, 63.6]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0.148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i/>
          <w:color w:val="000000" w:themeColor="text1"/>
          <w:lang w:val="en-US"/>
        </w:rPr>
      </w:pPr>
      <w:r w:rsidRPr="008B3586">
        <w:rPr>
          <w:color w:val="000000" w:themeColor="text1"/>
          <w:lang w:val="en-US"/>
        </w:rPr>
        <w:t xml:space="preserve">Continuous variables are presented as mean and standard deviation, and categorical variables are presented as absolute numbers and percentages. </w:t>
      </w:r>
      <w:r w:rsidRPr="008B3586">
        <w:rPr>
          <w:i/>
          <w:color w:val="000000" w:themeColor="text1"/>
          <w:lang w:val="en-US"/>
        </w:rPr>
        <w:t>Abbreviations: as in Table 2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rPr>
          <w:b/>
          <w:color w:val="000000" w:themeColor="text1"/>
          <w:lang w:val="en-US"/>
        </w:rPr>
      </w:pPr>
      <w:r w:rsidRPr="008B3586">
        <w:rPr>
          <w:b/>
          <w:color w:val="000000" w:themeColor="text1"/>
          <w:lang w:val="en-US"/>
        </w:rPr>
        <w:br w:type="page"/>
      </w:r>
    </w:p>
    <w:p w:rsidR="00C51673" w:rsidRPr="008B3586" w:rsidRDefault="00C51673" w:rsidP="00C51673">
      <w:pPr>
        <w:spacing w:line="276" w:lineRule="auto"/>
        <w:jc w:val="both"/>
        <w:rPr>
          <w:b/>
          <w:color w:val="000000" w:themeColor="text1"/>
          <w:lang w:val="en-US"/>
        </w:rPr>
      </w:pPr>
      <w:r w:rsidRPr="008B3586">
        <w:rPr>
          <w:b/>
          <w:color w:val="000000" w:themeColor="text1"/>
          <w:lang w:val="en-US"/>
        </w:rPr>
        <w:t>Supplemental Table 5</w:t>
      </w:r>
      <w:r w:rsidRPr="008B3586">
        <w:rPr>
          <w:i/>
          <w:color w:val="000000" w:themeColor="text1"/>
          <w:lang w:val="en-US"/>
        </w:rPr>
        <w:t xml:space="preserve"> </w:t>
      </w:r>
      <w:r w:rsidRPr="008B3586">
        <w:rPr>
          <w:color w:val="000000" w:themeColor="text1"/>
        </w:rPr>
        <w:t xml:space="preserve">Analysability </w:t>
      </w:r>
      <w:r w:rsidRPr="008B3586">
        <w:rPr>
          <w:color w:val="000000" w:themeColor="text1"/>
          <w:lang w:val="en-US"/>
        </w:rPr>
        <w:t>of morphological and functional parameters of the heart measured by TTE and CMR</w:t>
      </w:r>
    </w:p>
    <w:tbl>
      <w:tblPr>
        <w:tblStyle w:val="GridTable3"/>
        <w:tblW w:w="3796" w:type="pct"/>
        <w:tblInd w:w="10" w:type="dxa"/>
        <w:tblLook w:val="04A0" w:firstRow="1" w:lastRow="0" w:firstColumn="1" w:lastColumn="0" w:noHBand="0" w:noVBand="1"/>
      </w:tblPr>
      <w:tblGrid>
        <w:gridCol w:w="3020"/>
        <w:gridCol w:w="1933"/>
        <w:gridCol w:w="1930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404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CMR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1730</w:t>
            </w:r>
          </w:p>
        </w:tc>
        <w:tc>
          <w:tcPr>
            <w:tcW w:w="1402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TTE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1730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mass (2D-TTE), g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1574 (91.0)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1430 (82.7)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  <w:hideMark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LVEF (2D-TTE), %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1558 (90.1)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1184 (68.4)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stroke volume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1613 (93.2)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1270 (73.4)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LVEDV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1574 (91.0)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1272 (73.5)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LVESV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1577 (91.2)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1275 (73.7)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LVEF (3D-TTE), %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1559 (90.1)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476 (27.5)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stroke volume (3D-TTE),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1613 (93.2)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8B3586">
              <w:rPr>
                <w:color w:val="000000" w:themeColor="text1"/>
                <w:sz w:val="22"/>
                <w:szCs w:val="22"/>
              </w:rPr>
              <w:t xml:space="preserve">518 (29.9)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LVEDV </w:t>
            </w: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(3D-TTE)</w:t>
            </w:r>
            <w:r w:rsidRPr="008B3586">
              <w:rPr>
                <w:color w:val="000000" w:themeColor="text1"/>
                <w:sz w:val="22"/>
                <w:szCs w:val="22"/>
              </w:rPr>
              <w:t>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1574 (91.0)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500 (28.9)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LVESV </w:t>
            </w: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(3D-TTE)</w:t>
            </w:r>
            <w:r w:rsidRPr="008B3586">
              <w:rPr>
                <w:color w:val="000000" w:themeColor="text1"/>
                <w:sz w:val="22"/>
                <w:szCs w:val="22"/>
              </w:rPr>
              <w:t>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1577 (91.2)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575 (33.2)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LASV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1557 (90.0)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1267 (73.2)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RASV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1577 (91.2)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797 (46.1)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RVEDV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1606 (92.8)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1034 (59.8)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RVESV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1601 (92.5)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1014 (58.6)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RVEF (2D-TTE), %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1547 (89.4)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1012 (58.5) 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  <w:r w:rsidRPr="008B3586">
        <w:rPr>
          <w:color w:val="000000" w:themeColor="text1"/>
          <w:lang w:val="en-US"/>
        </w:rPr>
        <w:t>Continuous variables are presented as mean and standard deviation, and categorical variables are presented as absolute numbers and percentages. Abbreviations: as in Table 2.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rPr>
          <w:b/>
          <w:color w:val="000000" w:themeColor="text1"/>
        </w:rPr>
      </w:pPr>
      <w:r w:rsidRPr="008B3586">
        <w:rPr>
          <w:b/>
          <w:color w:val="000000" w:themeColor="text1"/>
        </w:rPr>
        <w:br w:type="page"/>
      </w:r>
    </w:p>
    <w:p w:rsidR="00C51673" w:rsidRPr="008B3586" w:rsidRDefault="00C51673" w:rsidP="00C51673">
      <w:pPr>
        <w:spacing w:line="276" w:lineRule="auto"/>
        <w:jc w:val="both"/>
        <w:rPr>
          <w:b/>
          <w:color w:val="000000" w:themeColor="text1"/>
          <w:lang w:val="en-US"/>
        </w:rPr>
      </w:pPr>
      <w:r w:rsidRPr="008B3586">
        <w:rPr>
          <w:b/>
          <w:color w:val="000000" w:themeColor="text1"/>
        </w:rPr>
        <w:t>Supplemental Table 6</w:t>
      </w:r>
      <w:r w:rsidRPr="008B3586">
        <w:rPr>
          <w:color w:val="000000" w:themeColor="text1"/>
          <w:lang w:val="en-US"/>
        </w:rPr>
        <w:t xml:space="preserve"> Contingency table for concordance between TTE and CMR</w:t>
      </w:r>
    </w:p>
    <w:tbl>
      <w:tblPr>
        <w:tblStyle w:val="GridTable3"/>
        <w:tblW w:w="4592" w:type="pct"/>
        <w:tblInd w:w="-10" w:type="dxa"/>
        <w:tblLook w:val="04A0" w:firstRow="1" w:lastRow="0" w:firstColumn="1" w:lastColumn="0" w:noHBand="0" w:noVBand="1"/>
      </w:tblPr>
      <w:tblGrid>
        <w:gridCol w:w="521"/>
        <w:gridCol w:w="2097"/>
        <w:gridCol w:w="2711"/>
        <w:gridCol w:w="2997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9" w:type="pct"/>
            <w:tcBorders>
              <w:bottom w:val="nil"/>
            </w:tcBorders>
          </w:tcPr>
          <w:p w:rsidR="00C51673" w:rsidRPr="008B3586" w:rsidRDefault="00C51673" w:rsidP="004A12C3">
            <w:pPr>
              <w:spacing w:line="276" w:lineRule="auto"/>
              <w:rPr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64" w:type="pct"/>
            <w:tcBorders>
              <w:bottom w:val="nil"/>
            </w:tcBorders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437" w:type="pct"/>
            <w:gridSpan w:val="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CMR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tcBorders>
              <w:bottom w:val="single" w:sz="4" w:space="0" w:color="auto"/>
              <w:right w:val="nil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Cs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633" w:type="pct"/>
            <w:shd w:val="clear" w:color="auto" w:fill="auto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/>
                <w:iCs/>
                <w:color w:val="000000" w:themeColor="text1"/>
                <w:sz w:val="22"/>
                <w:szCs w:val="22"/>
              </w:rPr>
              <w:t>Normal</w:t>
            </w:r>
          </w:p>
        </w:tc>
        <w:tc>
          <w:tcPr>
            <w:tcW w:w="1804" w:type="pct"/>
            <w:shd w:val="clear" w:color="auto" w:fill="auto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/>
                <w:iCs/>
                <w:color w:val="000000" w:themeColor="text1"/>
                <w:sz w:val="22"/>
                <w:szCs w:val="22"/>
              </w:rPr>
              <w:t>Abnormal</w:t>
            </w:r>
          </w:p>
        </w:tc>
      </w:tr>
      <w:tr w:rsidR="00C51673" w:rsidRPr="008B3586" w:rsidTr="004A12C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 w:val="restart"/>
            <w:tcBorders>
              <w:right w:val="single" w:sz="4" w:space="0" w:color="auto"/>
            </w:tcBorders>
            <w:textDirection w:val="btLr"/>
          </w:tcPr>
          <w:p w:rsidR="00C51673" w:rsidRPr="008B3586" w:rsidRDefault="00C51673" w:rsidP="004A12C3">
            <w:pPr>
              <w:spacing w:line="276" w:lineRule="auto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color w:val="000000" w:themeColor="text1"/>
                <w:sz w:val="22"/>
                <w:szCs w:val="22"/>
              </w:rPr>
              <w:t>TTE</w:t>
            </w:r>
          </w:p>
        </w:tc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sz w:val="22"/>
                <w:szCs w:val="22"/>
              </w:rPr>
            </w:pPr>
            <w:r w:rsidRPr="008B3586">
              <w:rPr>
                <w:i/>
                <w:color w:val="000000" w:themeColor="text1"/>
                <w:sz w:val="22"/>
                <w:szCs w:val="22"/>
              </w:rPr>
              <w:t>LVEF (2D-TTE)</w:t>
            </w:r>
          </w:p>
        </w:tc>
        <w:tc>
          <w:tcPr>
            <w:tcW w:w="3437" w:type="pct"/>
            <w:gridSpan w:val="2"/>
            <w:tcBorders>
              <w:left w:val="single" w:sz="4" w:space="0" w:color="auto"/>
            </w:tcBorders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Cohens Kappa: 0.22 (0.07; 0.37)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Normal</w:t>
            </w:r>
          </w:p>
        </w:tc>
        <w:tc>
          <w:tcPr>
            <w:tcW w:w="163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1071</w:t>
            </w:r>
          </w:p>
        </w:tc>
        <w:tc>
          <w:tcPr>
            <w:tcW w:w="1804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C51673" w:rsidRPr="008B3586" w:rsidTr="004A12C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Abnormal</w:t>
            </w:r>
          </w:p>
        </w:tc>
        <w:tc>
          <w:tcPr>
            <w:tcW w:w="163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1804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  <w:sz w:val="22"/>
                <w:szCs w:val="22"/>
              </w:rPr>
            </w:pPr>
            <w:r w:rsidRPr="008B3586">
              <w:rPr>
                <w:i/>
                <w:color w:val="000000" w:themeColor="text1"/>
                <w:sz w:val="22"/>
                <w:szCs w:val="22"/>
              </w:rPr>
              <w:t>LVEF (3D-TTE)</w:t>
            </w:r>
          </w:p>
        </w:tc>
        <w:tc>
          <w:tcPr>
            <w:tcW w:w="343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Cohens Kappa: 0.07 (-0.08; 0.21)</w:t>
            </w:r>
          </w:p>
        </w:tc>
      </w:tr>
      <w:tr w:rsidR="00C51673" w:rsidRPr="008B3586" w:rsidTr="004A12C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Normal</w:t>
            </w:r>
          </w:p>
        </w:tc>
        <w:tc>
          <w:tcPr>
            <w:tcW w:w="163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401</w:t>
            </w:r>
          </w:p>
        </w:tc>
        <w:tc>
          <w:tcPr>
            <w:tcW w:w="1804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Abnormal</w:t>
            </w:r>
          </w:p>
        </w:tc>
        <w:tc>
          <w:tcPr>
            <w:tcW w:w="163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1804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C51673" w:rsidRPr="008B3586" w:rsidTr="004A12C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sz w:val="22"/>
                <w:szCs w:val="22"/>
              </w:rPr>
            </w:pPr>
            <w:r w:rsidRPr="008B3586">
              <w:rPr>
                <w:i/>
                <w:color w:val="000000" w:themeColor="text1"/>
                <w:sz w:val="22"/>
                <w:szCs w:val="22"/>
              </w:rPr>
              <w:t>LAVI (2D-TTE)</w:t>
            </w:r>
          </w:p>
        </w:tc>
        <w:tc>
          <w:tcPr>
            <w:tcW w:w="343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Cohens Kappa: 0.32 (0.26; 0.38)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Normal</w:t>
            </w:r>
          </w:p>
        </w:tc>
        <w:tc>
          <w:tcPr>
            <w:tcW w:w="163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705</w:t>
            </w:r>
          </w:p>
        </w:tc>
        <w:tc>
          <w:tcPr>
            <w:tcW w:w="1804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194</w:t>
            </w:r>
          </w:p>
        </w:tc>
      </w:tr>
      <w:tr w:rsidR="00C51673" w:rsidRPr="008B3586" w:rsidTr="004A12C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Abnormal</w:t>
            </w:r>
          </w:p>
        </w:tc>
        <w:tc>
          <w:tcPr>
            <w:tcW w:w="163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94</w:t>
            </w:r>
          </w:p>
        </w:tc>
        <w:tc>
          <w:tcPr>
            <w:tcW w:w="1804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135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i/>
          <w:color w:val="000000" w:themeColor="text1"/>
          <w:lang w:val="en-US"/>
        </w:rPr>
      </w:pPr>
      <w:r w:rsidRPr="008B3586">
        <w:rPr>
          <w:color w:val="000000" w:themeColor="text1"/>
          <w:lang w:val="en-US"/>
        </w:rPr>
        <w:t>The following thresholds were used for both modalities: LVEF ≤50%; LVEDV; LAVI ≥34 ml/m</w:t>
      </w:r>
      <w:r w:rsidRPr="008B3586">
        <w:rPr>
          <w:color w:val="000000" w:themeColor="text1"/>
          <w:vertAlign w:val="superscript"/>
          <w:lang w:val="en-US"/>
        </w:rPr>
        <w:t>2</w:t>
      </w:r>
      <w:r w:rsidRPr="008B3586">
        <w:rPr>
          <w:color w:val="000000" w:themeColor="text1"/>
          <w:lang w:val="en-US"/>
        </w:rPr>
        <w:t xml:space="preserve">. LVEF and LAVI were measured in TTE biplane and triplane (3D), in CMR only biplane. </w:t>
      </w:r>
      <w:r w:rsidRPr="008B3586">
        <w:rPr>
          <w:i/>
          <w:color w:val="000000" w:themeColor="text1"/>
          <w:lang w:val="en-US"/>
        </w:rPr>
        <w:t>Abbreviations: LAVI = left atrial volume index; LVEF = left ventricular ejection fraction.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vertAlign w:val="superscript"/>
          <w:lang w:val="en-US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rPr>
          <w:b/>
          <w:color w:val="000000" w:themeColor="text1"/>
        </w:rPr>
      </w:pPr>
      <w:r w:rsidRPr="008B3586">
        <w:rPr>
          <w:b/>
          <w:color w:val="000000" w:themeColor="text1"/>
        </w:rPr>
        <w:br w:type="page"/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  <w:r w:rsidRPr="008B3586">
        <w:rPr>
          <w:b/>
          <w:color w:val="000000" w:themeColor="text1"/>
        </w:rPr>
        <w:t xml:space="preserve">Supplemental Table 7 </w:t>
      </w:r>
      <w:r w:rsidRPr="008B3586">
        <w:rPr>
          <w:color w:val="000000" w:themeColor="text1"/>
        </w:rPr>
        <w:t>Reproducibility and correlation of TTE and CMR measurements</w:t>
      </w:r>
    </w:p>
    <w:tbl>
      <w:tblPr>
        <w:tblStyle w:val="TableGrid"/>
        <w:tblW w:w="9373" w:type="dxa"/>
        <w:tblLook w:val="04A0" w:firstRow="1" w:lastRow="0" w:firstColumn="1" w:lastColumn="0" w:noHBand="0" w:noVBand="1"/>
      </w:tblPr>
      <w:tblGrid>
        <w:gridCol w:w="1861"/>
        <w:gridCol w:w="1385"/>
        <w:gridCol w:w="1098"/>
        <w:gridCol w:w="1220"/>
        <w:gridCol w:w="1820"/>
        <w:gridCol w:w="1989"/>
      </w:tblGrid>
      <w:tr w:rsidR="00C51673" w:rsidRPr="008B3586" w:rsidTr="004A12C3">
        <w:trPr>
          <w:trHeight w:val="280"/>
        </w:trPr>
        <w:tc>
          <w:tcPr>
            <w:tcW w:w="1861" w:type="dxa"/>
            <w:vMerge w:val="restart"/>
            <w:tcBorders>
              <w:top w:val="nil"/>
              <w:left w:val="nil"/>
            </w:tcBorders>
          </w:tcPr>
          <w:p w:rsidR="00C51673" w:rsidRPr="008B3586" w:rsidRDefault="00C51673" w:rsidP="004A12C3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83" w:type="dxa"/>
            <w:gridSpan w:val="2"/>
            <w:shd w:val="clear" w:color="auto" w:fill="FFFFFF" w:themeFill="background1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3040" w:type="dxa"/>
            <w:gridSpan w:val="2"/>
            <w:shd w:val="clear" w:color="auto" w:fill="FFFFFF" w:themeFill="background1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Bland-Altman analysis</w:t>
            </w:r>
          </w:p>
        </w:tc>
        <w:tc>
          <w:tcPr>
            <w:tcW w:w="1989" w:type="dxa"/>
            <w:vMerge w:val="restart"/>
            <w:shd w:val="clear" w:color="auto" w:fill="FFFFFF" w:themeFill="background1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Absolute difference</w:t>
            </w:r>
          </w:p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± standard deviation</w:t>
            </w:r>
          </w:p>
        </w:tc>
      </w:tr>
      <w:tr w:rsidR="00C51673" w:rsidRPr="008B3586" w:rsidTr="004A12C3">
        <w:trPr>
          <w:trHeight w:val="446"/>
        </w:trPr>
        <w:tc>
          <w:tcPr>
            <w:tcW w:w="1861" w:type="dxa"/>
            <w:vMerge/>
            <w:tcBorders>
              <w:left w:val="nil"/>
              <w:bottom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 xml:space="preserve">Correlation </w:t>
            </w:r>
          </w:p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coefficient</w:t>
            </w:r>
          </w:p>
        </w:tc>
        <w:tc>
          <w:tcPr>
            <w:tcW w:w="1098" w:type="dxa"/>
            <w:shd w:val="clear" w:color="auto" w:fill="auto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1220" w:type="dxa"/>
            <w:shd w:val="clear" w:color="auto" w:fill="auto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Bias (mean)</w:t>
            </w:r>
          </w:p>
        </w:tc>
        <w:tc>
          <w:tcPr>
            <w:tcW w:w="1820" w:type="dxa"/>
            <w:shd w:val="clear" w:color="auto" w:fill="auto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 xml:space="preserve">95% limits </w:t>
            </w:r>
          </w:p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of agreement</w:t>
            </w:r>
          </w:p>
        </w:tc>
        <w:tc>
          <w:tcPr>
            <w:tcW w:w="1989" w:type="dxa"/>
            <w:vMerge/>
            <w:shd w:val="clear" w:color="auto" w:fill="E7E6E6" w:themeFill="background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en-GB"/>
              </w:rPr>
            </w:pPr>
            <w:r w:rsidRPr="008B3586">
              <w:rPr>
                <w:color w:val="000000" w:themeColor="text1"/>
                <w:sz w:val="18"/>
                <w:szCs w:val="18"/>
                <w:lang w:val="en-GB"/>
              </w:rPr>
              <w:t>LV mass (2D-TTE), g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098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-44.8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[-102; 12.5]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-44.8 ±29.2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LVEF (2D-TTE), %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0.41</w:t>
            </w:r>
          </w:p>
        </w:tc>
        <w:tc>
          <w:tcPr>
            <w:tcW w:w="1098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10.7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[-2.5; 23.9]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10.7 ±6.7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en-GB"/>
              </w:rPr>
            </w:pPr>
            <w:r w:rsidRPr="008B3586">
              <w:rPr>
                <w:color w:val="000000" w:themeColor="text1"/>
                <w:sz w:val="18"/>
                <w:szCs w:val="18"/>
                <w:lang w:val="en-GB"/>
              </w:rPr>
              <w:t>LV stroke volume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098" w:type="dxa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14.7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[-21.1; 50.5]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14.7 ±18.3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LVEDV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[-44.2; 50.9]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3.4 ±24.2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LVESV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1098" w:type="dxa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-10.7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[-35.1; 13.8]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-10.7 ±12.5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LVEF (3D-TTE), %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0.006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9.3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[-4.7; 23.3]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9.3 ±7.1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en-GB"/>
              </w:rPr>
            </w:pPr>
            <w:r w:rsidRPr="008B3586">
              <w:rPr>
                <w:color w:val="000000" w:themeColor="text1"/>
                <w:sz w:val="18"/>
                <w:szCs w:val="18"/>
                <w:lang w:val="en-GB"/>
              </w:rPr>
              <w:t>LV stroke volume (3D-TTE),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1098" w:type="dxa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19.9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[-9.5; 49.3]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19.9 ±15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 xml:space="preserve">LVEDV </w:t>
            </w:r>
            <w:r w:rsidRPr="008B3586">
              <w:rPr>
                <w:color w:val="000000" w:themeColor="text1"/>
                <w:sz w:val="18"/>
                <w:szCs w:val="18"/>
                <w:lang w:val="en-GB"/>
              </w:rPr>
              <w:t>(3D-TTE)</w:t>
            </w:r>
            <w:r w:rsidRPr="008B3586">
              <w:rPr>
                <w:color w:val="000000" w:themeColor="text1"/>
                <w:sz w:val="18"/>
                <w:szCs w:val="18"/>
              </w:rPr>
              <w:t>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[-30.5; 54.6]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12 ±21.7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 xml:space="preserve">LVESV </w:t>
            </w:r>
            <w:r w:rsidRPr="008B3586">
              <w:rPr>
                <w:color w:val="000000" w:themeColor="text1"/>
                <w:sz w:val="18"/>
                <w:szCs w:val="18"/>
                <w:lang w:val="en-GB"/>
              </w:rPr>
              <w:t>(3D-TTE)</w:t>
            </w:r>
            <w:r w:rsidRPr="008B3586">
              <w:rPr>
                <w:color w:val="000000" w:themeColor="text1"/>
                <w:sz w:val="18"/>
                <w:szCs w:val="18"/>
              </w:rPr>
              <w:t>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1098" w:type="dxa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-5.3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[-36.6; 25.9]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-5.3 ±16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LASV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0.62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[-31.5; 35.1]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1.8 ±17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RASV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1098" w:type="dxa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16.1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[-21.4; 53.7]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16.1 ±19.1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RVEDV (2D-TTE), ml</w:t>
            </w:r>
          </w:p>
        </w:tc>
        <w:tc>
          <w:tcPr>
            <w:tcW w:w="1385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75.2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[20; 130.4]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75.2 ±28.2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RVESV (2D-TTE), ml</w:t>
            </w:r>
          </w:p>
        </w:tc>
        <w:tc>
          <w:tcPr>
            <w:tcW w:w="1385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1098" w:type="dxa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30.2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[0.6; 59.9]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30.2 ±15.1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RVEF (2D-TTE), %</w:t>
            </w:r>
          </w:p>
        </w:tc>
        <w:tc>
          <w:tcPr>
            <w:tcW w:w="1385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0.2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[-20.7; 22.2]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0.8 ±10.9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i/>
          <w:color w:val="000000" w:themeColor="text1"/>
        </w:rPr>
      </w:pPr>
      <w:r w:rsidRPr="008B3586">
        <w:rPr>
          <w:i/>
          <w:color w:val="000000" w:themeColor="text1"/>
        </w:rPr>
        <w:t>Abbreviations:</w:t>
      </w:r>
      <w:r w:rsidRPr="008B3586">
        <w:rPr>
          <w:b/>
          <w:color w:val="000000" w:themeColor="text1"/>
        </w:rPr>
        <w:t xml:space="preserve"> </w:t>
      </w:r>
      <w:r w:rsidRPr="008B3586">
        <w:rPr>
          <w:color w:val="000000" w:themeColor="text1"/>
        </w:rPr>
        <w:t xml:space="preserve">CI = confidence interval; </w:t>
      </w:r>
      <w:r w:rsidRPr="008B3586">
        <w:rPr>
          <w:i/>
          <w:color w:val="000000" w:themeColor="text1"/>
        </w:rPr>
        <w:t>ICC = intraclass correlation coefficient; OV = observer. Other abbreviations as in Table 2.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</w:rPr>
      </w:pPr>
    </w:p>
    <w:p w:rsidR="00C51673" w:rsidRPr="008B3586" w:rsidRDefault="00C51673" w:rsidP="00C51673">
      <w:pPr>
        <w:rPr>
          <w:rFonts w:eastAsiaTheme="majorEastAsia"/>
          <w:b/>
          <w:color w:val="000000" w:themeColor="text1"/>
          <w:sz w:val="26"/>
          <w:szCs w:val="26"/>
        </w:rPr>
      </w:pPr>
      <w:r w:rsidRPr="008B3586">
        <w:rPr>
          <w:b/>
          <w:color w:val="000000" w:themeColor="text1"/>
        </w:rPr>
        <w:br w:type="page"/>
      </w:r>
    </w:p>
    <w:p w:rsidR="00C51673" w:rsidRPr="008B3586" w:rsidRDefault="00C51673" w:rsidP="00C51673">
      <w:pPr>
        <w:pStyle w:val="Heading2"/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8B3586">
        <w:rPr>
          <w:rFonts w:ascii="Times New Roman" w:hAnsi="Times New Roman" w:cs="Times New Roman"/>
          <w:b/>
          <w:color w:val="000000" w:themeColor="text1"/>
        </w:rPr>
        <w:t>Sensitivity Analysis: Atrial Fibrillation</w:t>
      </w:r>
    </w:p>
    <w:p w:rsidR="00C51673" w:rsidRPr="008B3586" w:rsidRDefault="00C51673" w:rsidP="00C51673">
      <w:pPr>
        <w:pStyle w:val="Heading2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3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following sensitivity analysis all subjects with atrial fibrillation were excluded. </w:t>
      </w:r>
    </w:p>
    <w:p w:rsidR="00C51673" w:rsidRPr="008B3586" w:rsidRDefault="00C51673" w:rsidP="00C51673">
      <w:pPr>
        <w:spacing w:line="276" w:lineRule="auto"/>
        <w:rPr>
          <w:color w:val="000000" w:themeColor="text1"/>
        </w:rPr>
      </w:pPr>
    </w:p>
    <w:p w:rsidR="00C51673" w:rsidRPr="008B3586" w:rsidRDefault="00C51673" w:rsidP="00C51673">
      <w:pPr>
        <w:spacing w:line="276" w:lineRule="auto"/>
        <w:rPr>
          <w:color w:val="000000" w:themeColor="text1"/>
        </w:rPr>
      </w:pPr>
      <w:r w:rsidRPr="008B3586">
        <w:rPr>
          <w:b/>
          <w:color w:val="000000" w:themeColor="text1"/>
        </w:rPr>
        <w:t xml:space="preserve">Supplemental Table </w:t>
      </w:r>
      <w:r w:rsidRPr="008B3586">
        <w:rPr>
          <w:b/>
          <w:color w:val="000000" w:themeColor="text1"/>
          <w:lang w:val="en-US"/>
        </w:rPr>
        <w:t xml:space="preserve">8 </w:t>
      </w:r>
      <w:r w:rsidRPr="008B3586">
        <w:rPr>
          <w:color w:val="000000" w:themeColor="text1"/>
          <w:lang w:val="en-US"/>
        </w:rPr>
        <w:t>Baseline characteristics of the study population</w:t>
      </w:r>
    </w:p>
    <w:tbl>
      <w:tblPr>
        <w:tblStyle w:val="GridTable3"/>
        <w:tblW w:w="9057" w:type="dxa"/>
        <w:tblInd w:w="-5" w:type="dxa"/>
        <w:tblLook w:val="04A0" w:firstRow="1" w:lastRow="0" w:firstColumn="1" w:lastColumn="0" w:noHBand="0" w:noVBand="1"/>
      </w:tblPr>
      <w:tblGrid>
        <w:gridCol w:w="3967"/>
        <w:gridCol w:w="2621"/>
        <w:gridCol w:w="2469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21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  <w:lang w:val="en-US"/>
              </w:rPr>
              <w:t>Females</w:t>
            </w:r>
            <w:r w:rsidRPr="008B3586">
              <w:rPr>
                <w:color w:val="000000" w:themeColor="text1"/>
                <w:sz w:val="22"/>
                <w:szCs w:val="22"/>
                <w:lang w:val="en-US"/>
              </w:rPr>
              <w:br/>
            </w: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752</w:t>
            </w:r>
          </w:p>
        </w:tc>
        <w:tc>
          <w:tcPr>
            <w:tcW w:w="2469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Cs w:val="0"/>
                <w:color w:val="000000" w:themeColor="text1"/>
                <w:sz w:val="22"/>
                <w:szCs w:val="22"/>
                <w:lang w:val="en-US"/>
              </w:rPr>
              <w:t>Males</w:t>
            </w:r>
          </w:p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1055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7" w:type="dxa"/>
            <w:gridSpan w:val="3"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/>
                <w:i w:val="0"/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i w:val="0"/>
                <w:color w:val="000000" w:themeColor="text1"/>
                <w:sz w:val="22"/>
                <w:szCs w:val="22"/>
              </w:rPr>
              <w:t>DEMOGRAPHICS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Age, years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64.2 (8.7)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64.8 (8.2)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BMI, kg/m²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26.5 (5.0)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27.3 (4.1)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Systolic blood pressure, mmHg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139.6 (20.2)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144.1 (19.2)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Heart rate, bpm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70.8 (10.8)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68.2 (11.5)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7" w:type="dxa"/>
            <w:gridSpan w:val="3"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/>
                <w:i w:val="0"/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i w:val="0"/>
                <w:color w:val="000000" w:themeColor="text1"/>
                <w:sz w:val="22"/>
                <w:szCs w:val="22"/>
              </w:rPr>
              <w:t>COMORBIDITIES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Hypertension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500 ( 68.6) 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765 ( 75.1) 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Diabetes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 62 ( 8.7) 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102 ( 10.2)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Coronary artery disease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 29 ( 5.2) 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105 ( 12.2) 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Atrial fibrillation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752 (100.0) 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1055 (100.0)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7" w:type="dxa"/>
            <w:gridSpan w:val="3"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/>
                <w:i w:val="0"/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i w:val="0"/>
                <w:color w:val="000000" w:themeColor="text1"/>
                <w:sz w:val="22"/>
                <w:szCs w:val="22"/>
              </w:rPr>
              <w:t>LABORATORIES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GFR, ml/min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83.8 [72.9, 92.4]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84.1 [73.8, 91.5]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NT-proBNP, ng/l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104.0 [62.0, 181.0]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68.0 [39.0, 123.0]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LDL-cholesterol, mg/dl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123.5 [100.0, 148.0]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117.0 [91.0, 141.0]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  <w:r w:rsidRPr="008B3586">
        <w:rPr>
          <w:color w:val="000000" w:themeColor="text1"/>
          <w:lang w:val="en-US"/>
        </w:rPr>
        <w:t xml:space="preserve">Normally distributed continuous variables are presented as mean and standard deviation, non-normal continuous variables as median and interquartile range, and categorical variables are presented as absolute numbers and percentages. </w:t>
      </w:r>
      <w:r w:rsidRPr="008B3586">
        <w:rPr>
          <w:rFonts w:ascii="Calibri" w:hAnsi="Calibri" w:cs="Calibri"/>
          <w:color w:val="000000" w:themeColor="text1"/>
        </w:rPr>
        <w:t>﻿</w:t>
      </w:r>
      <w:r w:rsidRPr="008B3586">
        <w:rPr>
          <w:color w:val="000000" w:themeColor="text1"/>
          <w:lang w:val="en-US"/>
        </w:rPr>
        <w:t xml:space="preserve">Abbreviations as in Table 1. 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rPr>
          <w:b/>
          <w:color w:val="000000" w:themeColor="text1"/>
        </w:rPr>
      </w:pPr>
      <w:r w:rsidRPr="008B3586">
        <w:rPr>
          <w:b/>
          <w:color w:val="000000" w:themeColor="text1"/>
        </w:rPr>
        <w:br w:type="page"/>
      </w:r>
    </w:p>
    <w:p w:rsidR="00C51673" w:rsidRPr="008B3586" w:rsidRDefault="00C51673" w:rsidP="00C51673">
      <w:pPr>
        <w:spacing w:line="276" w:lineRule="auto"/>
        <w:jc w:val="both"/>
        <w:rPr>
          <w:b/>
          <w:color w:val="000000" w:themeColor="text1"/>
          <w:lang w:val="en-US"/>
        </w:rPr>
      </w:pPr>
      <w:r w:rsidRPr="008B3586">
        <w:rPr>
          <w:b/>
          <w:color w:val="000000" w:themeColor="text1"/>
        </w:rPr>
        <w:t>Supplemental Table 9</w:t>
      </w:r>
      <w:r w:rsidRPr="008B3586">
        <w:rPr>
          <w:color w:val="000000" w:themeColor="text1"/>
          <w:lang w:val="en-US"/>
        </w:rPr>
        <w:t xml:space="preserve"> Morphological and functional parameters of the heart measured by TTE and CMR</w:t>
      </w:r>
    </w:p>
    <w:tbl>
      <w:tblPr>
        <w:tblStyle w:val="GridTable3"/>
        <w:tblW w:w="4955" w:type="pct"/>
        <w:tblInd w:w="20" w:type="dxa"/>
        <w:tblLook w:val="04A0" w:firstRow="1" w:lastRow="0" w:firstColumn="1" w:lastColumn="0" w:noHBand="0" w:noVBand="1"/>
      </w:tblPr>
      <w:tblGrid>
        <w:gridCol w:w="3009"/>
        <w:gridCol w:w="2228"/>
        <w:gridCol w:w="2013"/>
        <w:gridCol w:w="1734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69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CMR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1807</w:t>
            </w:r>
          </w:p>
        </w:tc>
        <w:tc>
          <w:tcPr>
            <w:tcW w:w="1126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TTE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1807</w:t>
            </w:r>
          </w:p>
        </w:tc>
        <w:tc>
          <w:tcPr>
            <w:tcW w:w="1016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p-value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mass (2D-TTE), g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117.6 [96.0, 143.0]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163.0 [133.8, 197.1]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  <w:hideMark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LVEF (2D-TTE), %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69.2 [64.4, 74.0]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58.5 [55.6, 61.8]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stroke volume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lang w:val="en-GB"/>
              </w:rPr>
              <w:t xml:space="preserve"> </w:t>
            </w:r>
            <w:r w:rsidRPr="008B3586">
              <w:rPr>
                <w:color w:val="000000" w:themeColor="text1"/>
                <w:sz w:val="22"/>
              </w:rPr>
              <w:t>81.0 [67.0, 95.4]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65.5 [54.1, 78.7]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LVEDV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116.7 [96.0, 138.4]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112.2 [93.5, 134.6]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0.003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LVESV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35.9 [26.7, 46.0]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46.7 [37.7, 57.8]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LVEF (3D-TTE), %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69.2 [64.4, 74.0]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59.1 [56.0, 62.9]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stroke volume (3D-TTE),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lang w:val="en-GB"/>
              </w:rPr>
              <w:t xml:space="preserve"> </w:t>
            </w:r>
            <w:r w:rsidRPr="008B3586">
              <w:rPr>
                <w:color w:val="000000" w:themeColor="text1"/>
                <w:sz w:val="22"/>
              </w:rPr>
              <w:t>81.0 [67.0, 95.4]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62.0 [51.7, 73.7]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LVEDV </w:t>
            </w: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(3D-TTE)</w:t>
            </w:r>
            <w:r w:rsidRPr="008B3586">
              <w:rPr>
                <w:color w:val="000000" w:themeColor="text1"/>
                <w:sz w:val="22"/>
                <w:szCs w:val="22"/>
              </w:rPr>
              <w:t>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116.7 [96.0, 138.4]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106.6 [89.5, 129.1]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LVESV </w:t>
            </w: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(3D-TTE)</w:t>
            </w:r>
            <w:r w:rsidRPr="008B3586">
              <w:rPr>
                <w:color w:val="000000" w:themeColor="text1"/>
                <w:sz w:val="22"/>
                <w:szCs w:val="22"/>
              </w:rPr>
              <w:t>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35.9 [26.7, 46.0]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42.4 [32.9, 54.8]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LASV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52.4 [40.0, 67.0]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51.4 [41.3, 63.1]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0.187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RASV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56.1 [43.2, 73.7]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40.7 [31.3, 53.1]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RVEDV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122.0 [99.0, 147.0]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44.8 [33.9, 59.7]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RVESV (2D-TTE), ml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49.3 [37.6, 64.0]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19.1 [13.9, 25.9]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8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RVEF (2D-TTE), %</w:t>
            </w:r>
          </w:p>
        </w:tc>
        <w:tc>
          <w:tcPr>
            <w:tcW w:w="1269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58.3 [52.0, 65.0]</w:t>
            </w:r>
          </w:p>
        </w:tc>
        <w:tc>
          <w:tcPr>
            <w:tcW w:w="112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58.0 [52.8, 63.6]</w:t>
            </w:r>
          </w:p>
        </w:tc>
        <w:tc>
          <w:tcPr>
            <w:tcW w:w="1016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</w:rPr>
              <w:t xml:space="preserve"> 0.197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  <w:r w:rsidRPr="008B3586">
        <w:rPr>
          <w:color w:val="000000" w:themeColor="text1"/>
          <w:lang w:val="en-US"/>
        </w:rPr>
        <w:t>Continuous variables are presented as mean and standard deviation, and categorical variables are presented as absolute numbers and percentages. Abbreviations: as in Table 2.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rPr>
          <w:b/>
          <w:color w:val="000000" w:themeColor="text1"/>
        </w:rPr>
      </w:pPr>
      <w:r w:rsidRPr="008B3586">
        <w:rPr>
          <w:b/>
          <w:color w:val="000000" w:themeColor="text1"/>
        </w:rPr>
        <w:br w:type="page"/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  <w:r w:rsidRPr="008B3586">
        <w:rPr>
          <w:b/>
          <w:color w:val="000000" w:themeColor="text1"/>
        </w:rPr>
        <w:t xml:space="preserve">Supplemental Table </w:t>
      </w:r>
      <w:r w:rsidRPr="008B3586">
        <w:rPr>
          <w:color w:val="000000" w:themeColor="text1"/>
        </w:rPr>
        <w:t>10</w:t>
      </w:r>
      <w:r w:rsidRPr="008B3586">
        <w:rPr>
          <w:i/>
          <w:color w:val="000000" w:themeColor="text1"/>
          <w:lang w:val="en-US"/>
        </w:rPr>
        <w:t xml:space="preserve"> </w:t>
      </w:r>
      <w:r w:rsidRPr="008B3586">
        <w:rPr>
          <w:color w:val="000000" w:themeColor="text1"/>
        </w:rPr>
        <w:t xml:space="preserve">Analysability </w:t>
      </w:r>
      <w:r w:rsidRPr="008B3586">
        <w:rPr>
          <w:color w:val="000000" w:themeColor="text1"/>
          <w:lang w:val="en-US"/>
        </w:rPr>
        <w:t>of morphological and functional parameters of the heart measured by TTE and CMR</w:t>
      </w:r>
    </w:p>
    <w:tbl>
      <w:tblPr>
        <w:tblStyle w:val="GridTable3"/>
        <w:tblW w:w="3793" w:type="pct"/>
        <w:tblInd w:w="15" w:type="dxa"/>
        <w:tblLook w:val="04A0" w:firstRow="1" w:lastRow="0" w:firstColumn="1" w:lastColumn="0" w:noHBand="0" w:noVBand="1"/>
      </w:tblPr>
      <w:tblGrid>
        <w:gridCol w:w="3018"/>
        <w:gridCol w:w="1931"/>
        <w:gridCol w:w="1928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404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CMR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1807</w:t>
            </w:r>
          </w:p>
        </w:tc>
        <w:tc>
          <w:tcPr>
            <w:tcW w:w="1402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TTE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1807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mass (2D-TTE), g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1648 (91.2)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1478 (81.8)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  <w:hideMark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LVEF (2D-TTE), %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1633 (90.4)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1219 (67.5)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stroke volume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1697 (93.9)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1311 (72.6)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LVEDV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1655 (91.6)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1311 (72.6)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LVESV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1654 (91.5)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1315 (72.8)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LVEF (3D-TTE), %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1633 (90.4)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480 (26.6)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stroke volume (3D-TTE),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1697 (93.9)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8B3586">
              <w:rPr>
                <w:color w:val="000000" w:themeColor="text1"/>
                <w:sz w:val="22"/>
                <w:szCs w:val="22"/>
              </w:rPr>
              <w:t xml:space="preserve">523 (28.9)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LVEDV </w:t>
            </w: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(3D-TTE)</w:t>
            </w:r>
            <w:r w:rsidRPr="008B3586">
              <w:rPr>
                <w:color w:val="000000" w:themeColor="text1"/>
                <w:sz w:val="22"/>
                <w:szCs w:val="22"/>
              </w:rPr>
              <w:t>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1655 (91.6)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507 (28.1)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LVESV </w:t>
            </w: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(3D-TTE)</w:t>
            </w:r>
            <w:r w:rsidRPr="008B3586">
              <w:rPr>
                <w:color w:val="000000" w:themeColor="text1"/>
                <w:sz w:val="22"/>
                <w:szCs w:val="22"/>
              </w:rPr>
              <w:t>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1654 (91.5)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585 (32.4)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LASV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1636 (90.5)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1303 (72.1)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RASV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1656 (91.6)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852 (47.1)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RVEDV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1675 (92.7)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1042 (57.7)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RVESV (2D-TTE), ml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1673 (92.6)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1026 (56.8) 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RVEF (2D-TTE), %</w:t>
            </w:r>
          </w:p>
        </w:tc>
        <w:tc>
          <w:tcPr>
            <w:tcW w:w="1404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1616 (89.4) </w:t>
            </w:r>
          </w:p>
        </w:tc>
        <w:tc>
          <w:tcPr>
            <w:tcW w:w="1402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1024 (56.7) 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  <w:r w:rsidRPr="008B3586">
        <w:rPr>
          <w:color w:val="000000" w:themeColor="text1"/>
          <w:lang w:val="en-US"/>
        </w:rPr>
        <w:t xml:space="preserve">Continuous variables are presented as mean and standard deviation, and categorical variables are presented as absolute numbers and percentages. </w:t>
      </w:r>
      <w:r w:rsidRPr="008B3586">
        <w:rPr>
          <w:i/>
          <w:color w:val="000000" w:themeColor="text1"/>
          <w:lang w:val="en-US"/>
        </w:rPr>
        <w:t>Abbreviations: as in Table 2</w:t>
      </w:r>
      <w:r w:rsidRPr="008B3586">
        <w:rPr>
          <w:color w:val="000000" w:themeColor="text1"/>
          <w:lang w:val="en-US"/>
        </w:rPr>
        <w:t>.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  <w:r w:rsidRPr="008B3586">
        <w:rPr>
          <w:b/>
          <w:color w:val="000000" w:themeColor="text1"/>
        </w:rPr>
        <w:t>Supplemental Table 11</w:t>
      </w:r>
      <w:r w:rsidRPr="008B3586">
        <w:rPr>
          <w:color w:val="000000" w:themeColor="text1"/>
          <w:lang w:val="en-US"/>
        </w:rPr>
        <w:t xml:space="preserve"> Contingency table for concordance between TTE and CMR</w:t>
      </w:r>
      <w:r w:rsidRPr="008B3586" w:rsidDel="00824FB4">
        <w:rPr>
          <w:color w:val="000000" w:themeColor="text1"/>
          <w:lang w:val="en-US"/>
        </w:rPr>
        <w:t xml:space="preserve"> </w:t>
      </w:r>
    </w:p>
    <w:tbl>
      <w:tblPr>
        <w:tblStyle w:val="GridTable3"/>
        <w:tblW w:w="4592" w:type="pct"/>
        <w:tblInd w:w="-10" w:type="dxa"/>
        <w:tblLook w:val="04A0" w:firstRow="1" w:lastRow="0" w:firstColumn="1" w:lastColumn="0" w:noHBand="0" w:noVBand="1"/>
      </w:tblPr>
      <w:tblGrid>
        <w:gridCol w:w="521"/>
        <w:gridCol w:w="2097"/>
        <w:gridCol w:w="2711"/>
        <w:gridCol w:w="2997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9" w:type="pct"/>
            <w:tcBorders>
              <w:bottom w:val="nil"/>
            </w:tcBorders>
          </w:tcPr>
          <w:p w:rsidR="00C51673" w:rsidRPr="008B3586" w:rsidRDefault="00C51673" w:rsidP="004A12C3">
            <w:pPr>
              <w:spacing w:line="276" w:lineRule="auto"/>
              <w:rPr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64" w:type="pct"/>
            <w:tcBorders>
              <w:bottom w:val="nil"/>
            </w:tcBorders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437" w:type="pct"/>
            <w:gridSpan w:val="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CMR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tcBorders>
              <w:bottom w:val="single" w:sz="4" w:space="0" w:color="auto"/>
              <w:right w:val="nil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Cs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633" w:type="pct"/>
            <w:shd w:val="clear" w:color="auto" w:fill="auto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/>
                <w:iCs/>
                <w:color w:val="000000" w:themeColor="text1"/>
                <w:sz w:val="22"/>
                <w:szCs w:val="22"/>
              </w:rPr>
              <w:t>Normal</w:t>
            </w:r>
          </w:p>
        </w:tc>
        <w:tc>
          <w:tcPr>
            <w:tcW w:w="1804" w:type="pct"/>
            <w:shd w:val="clear" w:color="auto" w:fill="auto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/>
                <w:iCs/>
                <w:color w:val="000000" w:themeColor="text1"/>
                <w:sz w:val="22"/>
                <w:szCs w:val="22"/>
              </w:rPr>
              <w:t>Abnormal</w:t>
            </w:r>
          </w:p>
        </w:tc>
      </w:tr>
      <w:tr w:rsidR="00C51673" w:rsidRPr="008B3586" w:rsidTr="004A12C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 w:val="restart"/>
            <w:tcBorders>
              <w:right w:val="single" w:sz="4" w:space="0" w:color="auto"/>
            </w:tcBorders>
            <w:textDirection w:val="btLr"/>
          </w:tcPr>
          <w:p w:rsidR="00C51673" w:rsidRPr="008B3586" w:rsidRDefault="00C51673" w:rsidP="004A12C3">
            <w:pPr>
              <w:spacing w:line="276" w:lineRule="auto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color w:val="000000" w:themeColor="text1"/>
                <w:sz w:val="22"/>
                <w:szCs w:val="22"/>
              </w:rPr>
              <w:t>TTE</w:t>
            </w:r>
          </w:p>
        </w:tc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sz w:val="22"/>
                <w:szCs w:val="22"/>
              </w:rPr>
            </w:pPr>
            <w:r w:rsidRPr="008B3586">
              <w:rPr>
                <w:i/>
                <w:color w:val="000000" w:themeColor="text1"/>
                <w:sz w:val="22"/>
                <w:szCs w:val="22"/>
              </w:rPr>
              <w:t>LVEF (2D-TTE)</w:t>
            </w:r>
          </w:p>
        </w:tc>
        <w:tc>
          <w:tcPr>
            <w:tcW w:w="3437" w:type="pct"/>
            <w:gridSpan w:val="2"/>
            <w:tcBorders>
              <w:left w:val="single" w:sz="4" w:space="0" w:color="auto"/>
            </w:tcBorders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Cohens Kappa: 0.25 (0.08; 0.42)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Normal</w:t>
            </w:r>
          </w:p>
        </w:tc>
        <w:tc>
          <w:tcPr>
            <w:tcW w:w="163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1115</w:t>
            </w:r>
          </w:p>
        </w:tc>
        <w:tc>
          <w:tcPr>
            <w:tcW w:w="1804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C51673" w:rsidRPr="008B3586" w:rsidTr="004A12C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Abnormal</w:t>
            </w:r>
          </w:p>
        </w:tc>
        <w:tc>
          <w:tcPr>
            <w:tcW w:w="163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1804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 w:themeColor="text1"/>
                <w:sz w:val="22"/>
                <w:szCs w:val="22"/>
              </w:rPr>
            </w:pPr>
            <w:r w:rsidRPr="008B3586">
              <w:rPr>
                <w:i/>
                <w:color w:val="000000" w:themeColor="text1"/>
                <w:sz w:val="22"/>
                <w:szCs w:val="22"/>
              </w:rPr>
              <w:t>LVEF (3D-TTE)</w:t>
            </w:r>
          </w:p>
        </w:tc>
        <w:tc>
          <w:tcPr>
            <w:tcW w:w="343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Cohens Kappa: 0.17 (-0.05; 0.38)</w:t>
            </w:r>
          </w:p>
        </w:tc>
      </w:tr>
      <w:tr w:rsidR="00C51673" w:rsidRPr="008B3586" w:rsidTr="004A12C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Normal</w:t>
            </w:r>
          </w:p>
        </w:tc>
        <w:tc>
          <w:tcPr>
            <w:tcW w:w="163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415</w:t>
            </w:r>
          </w:p>
        </w:tc>
        <w:tc>
          <w:tcPr>
            <w:tcW w:w="1804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Abnormal</w:t>
            </w:r>
          </w:p>
        </w:tc>
        <w:tc>
          <w:tcPr>
            <w:tcW w:w="163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804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2</w:t>
            </w:r>
          </w:p>
        </w:tc>
      </w:tr>
      <w:tr w:rsidR="00C51673" w:rsidRPr="008B3586" w:rsidTr="004A12C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sz w:val="22"/>
                <w:szCs w:val="22"/>
              </w:rPr>
            </w:pPr>
            <w:r w:rsidRPr="008B3586">
              <w:rPr>
                <w:i/>
                <w:color w:val="000000" w:themeColor="text1"/>
                <w:sz w:val="22"/>
                <w:szCs w:val="22"/>
              </w:rPr>
              <w:t>LAVI (2D-TTE)</w:t>
            </w:r>
          </w:p>
        </w:tc>
        <w:tc>
          <w:tcPr>
            <w:tcW w:w="343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Cohens Kappa: 0.30 (0.23; 0.35)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Normal</w:t>
            </w:r>
          </w:p>
        </w:tc>
        <w:tc>
          <w:tcPr>
            <w:tcW w:w="163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778</w:t>
            </w:r>
          </w:p>
        </w:tc>
        <w:tc>
          <w:tcPr>
            <w:tcW w:w="1804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204</w:t>
            </w:r>
          </w:p>
        </w:tc>
      </w:tr>
      <w:tr w:rsidR="00C51673" w:rsidRPr="008B3586" w:rsidTr="004A12C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Abnormal</w:t>
            </w:r>
          </w:p>
        </w:tc>
        <w:tc>
          <w:tcPr>
            <w:tcW w:w="1633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93</w:t>
            </w:r>
          </w:p>
        </w:tc>
        <w:tc>
          <w:tcPr>
            <w:tcW w:w="1804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118</w:t>
            </w:r>
          </w:p>
        </w:tc>
      </w:tr>
    </w:tbl>
    <w:p w:rsidR="00C51673" w:rsidRPr="008B3586" w:rsidRDefault="00C51673" w:rsidP="00C51673">
      <w:pPr>
        <w:spacing w:line="276" w:lineRule="auto"/>
        <w:jc w:val="center"/>
        <w:rPr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rPr>
          <w:i/>
          <w:color w:val="000000" w:themeColor="text1"/>
          <w:vertAlign w:val="superscript"/>
          <w:lang w:val="en-US"/>
        </w:rPr>
      </w:pPr>
      <w:r w:rsidRPr="008B3586">
        <w:rPr>
          <w:color w:val="000000" w:themeColor="text1"/>
          <w:lang w:val="en-US"/>
        </w:rPr>
        <w:t>The following thresholds were used for both modalities: LVEF ≤50%; LVEDV; LAVI ≥34 ml/m</w:t>
      </w:r>
      <w:r w:rsidRPr="008B3586">
        <w:rPr>
          <w:color w:val="000000" w:themeColor="text1"/>
          <w:vertAlign w:val="superscript"/>
          <w:lang w:val="en-US"/>
        </w:rPr>
        <w:t>2</w:t>
      </w:r>
      <w:r w:rsidRPr="008B3586">
        <w:rPr>
          <w:color w:val="000000" w:themeColor="text1"/>
          <w:lang w:val="en-US"/>
        </w:rPr>
        <w:t xml:space="preserve">. LVEF and LAVI were measured in TTE biplane and triplane (3D), in CMR only biplane. </w:t>
      </w:r>
      <w:r w:rsidRPr="008B3586">
        <w:rPr>
          <w:i/>
          <w:color w:val="000000" w:themeColor="text1"/>
          <w:lang w:val="en-US"/>
        </w:rPr>
        <w:t>Abbreviations: LAVI = left atrial volume index; LVEF = left ventricular ejection fraction.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</w:rPr>
      </w:pPr>
      <w:r w:rsidRPr="008B3586">
        <w:rPr>
          <w:b/>
          <w:color w:val="000000" w:themeColor="text1"/>
        </w:rPr>
        <w:t xml:space="preserve">Supplemental Table 12 </w:t>
      </w:r>
      <w:r w:rsidRPr="008B3586">
        <w:rPr>
          <w:color w:val="000000" w:themeColor="text1"/>
        </w:rPr>
        <w:t>Reproducibility and correlation of TTE and CMR measurements</w:t>
      </w:r>
    </w:p>
    <w:tbl>
      <w:tblPr>
        <w:tblStyle w:val="TableGrid"/>
        <w:tblW w:w="9373" w:type="dxa"/>
        <w:tblLook w:val="04A0" w:firstRow="1" w:lastRow="0" w:firstColumn="1" w:lastColumn="0" w:noHBand="0" w:noVBand="1"/>
      </w:tblPr>
      <w:tblGrid>
        <w:gridCol w:w="1861"/>
        <w:gridCol w:w="1385"/>
        <w:gridCol w:w="1098"/>
        <w:gridCol w:w="1220"/>
        <w:gridCol w:w="1820"/>
        <w:gridCol w:w="1989"/>
      </w:tblGrid>
      <w:tr w:rsidR="00C51673" w:rsidRPr="008B3586" w:rsidTr="004A12C3">
        <w:trPr>
          <w:trHeight w:val="280"/>
        </w:trPr>
        <w:tc>
          <w:tcPr>
            <w:tcW w:w="1861" w:type="dxa"/>
            <w:vMerge w:val="restart"/>
            <w:tcBorders>
              <w:top w:val="nil"/>
              <w:left w:val="nil"/>
            </w:tcBorders>
          </w:tcPr>
          <w:p w:rsidR="00C51673" w:rsidRPr="008B3586" w:rsidRDefault="00C51673" w:rsidP="004A12C3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83" w:type="dxa"/>
            <w:gridSpan w:val="2"/>
            <w:shd w:val="clear" w:color="auto" w:fill="FFFFFF" w:themeFill="background1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3040" w:type="dxa"/>
            <w:gridSpan w:val="2"/>
            <w:shd w:val="clear" w:color="auto" w:fill="FFFFFF" w:themeFill="background1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Bland-Altman analysis</w:t>
            </w:r>
          </w:p>
        </w:tc>
        <w:tc>
          <w:tcPr>
            <w:tcW w:w="1989" w:type="dxa"/>
            <w:vMerge w:val="restart"/>
            <w:shd w:val="clear" w:color="auto" w:fill="FFFFFF" w:themeFill="background1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Absolute difference</w:t>
            </w:r>
          </w:p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± standard deviation</w:t>
            </w:r>
          </w:p>
        </w:tc>
      </w:tr>
      <w:tr w:rsidR="00C51673" w:rsidRPr="008B3586" w:rsidTr="004A12C3">
        <w:trPr>
          <w:trHeight w:val="446"/>
        </w:trPr>
        <w:tc>
          <w:tcPr>
            <w:tcW w:w="1861" w:type="dxa"/>
            <w:vMerge/>
            <w:tcBorders>
              <w:left w:val="nil"/>
              <w:bottom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 xml:space="preserve">Correlation </w:t>
            </w:r>
          </w:p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coefficient</w:t>
            </w:r>
          </w:p>
        </w:tc>
        <w:tc>
          <w:tcPr>
            <w:tcW w:w="1098" w:type="dxa"/>
            <w:shd w:val="clear" w:color="auto" w:fill="auto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1220" w:type="dxa"/>
            <w:shd w:val="clear" w:color="auto" w:fill="auto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Bias (mean)</w:t>
            </w:r>
          </w:p>
        </w:tc>
        <w:tc>
          <w:tcPr>
            <w:tcW w:w="1820" w:type="dxa"/>
            <w:shd w:val="clear" w:color="auto" w:fill="auto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 xml:space="preserve">95% limits </w:t>
            </w:r>
          </w:p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of agreement</w:t>
            </w:r>
          </w:p>
        </w:tc>
        <w:tc>
          <w:tcPr>
            <w:tcW w:w="1989" w:type="dxa"/>
            <w:vMerge/>
            <w:shd w:val="clear" w:color="auto" w:fill="E7E6E6" w:themeFill="background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en-GB"/>
              </w:rPr>
            </w:pPr>
            <w:r w:rsidRPr="008B3586">
              <w:rPr>
                <w:color w:val="000000" w:themeColor="text1"/>
                <w:sz w:val="18"/>
                <w:szCs w:val="18"/>
                <w:lang w:val="en-GB"/>
              </w:rPr>
              <w:t>LV mass (2D-TTE), g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098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-45.1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[-102.8; 12.6]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-45.1 ±29.4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LVEF (2D-TTE), %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0.38</w:t>
            </w:r>
          </w:p>
        </w:tc>
        <w:tc>
          <w:tcPr>
            <w:tcW w:w="1098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10.7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[-2.5; 23.9]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10.7 ±6.7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en-GB"/>
              </w:rPr>
            </w:pPr>
            <w:r w:rsidRPr="008B3586">
              <w:rPr>
                <w:color w:val="000000" w:themeColor="text1"/>
                <w:sz w:val="18"/>
                <w:szCs w:val="18"/>
                <w:lang w:val="en-GB"/>
              </w:rPr>
              <w:t>LV stroke volume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098" w:type="dxa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15.1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[-20.5; 50.6]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15.1 ±18.1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LVEDV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3.6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[-43.9; 51.1]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3.6 ±24.2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LVESV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1098" w:type="dxa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-10.6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[-35.2; 13.9]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-10.6 ±12.5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LVEF (3D-TTE), %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9.5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[-4.6; 23.5]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9.5 ±7.2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en-GB"/>
              </w:rPr>
            </w:pPr>
            <w:r w:rsidRPr="008B3586">
              <w:rPr>
                <w:color w:val="000000" w:themeColor="text1"/>
                <w:sz w:val="18"/>
                <w:szCs w:val="18"/>
                <w:lang w:val="en-GB"/>
              </w:rPr>
              <w:t>LV stroke volume (3D-TTE),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1098" w:type="dxa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19.7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[-10.1; 49.6]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19.7 ±15.2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 xml:space="preserve">LVEDV </w:t>
            </w:r>
            <w:r w:rsidRPr="008B3586">
              <w:rPr>
                <w:color w:val="000000" w:themeColor="text1"/>
                <w:sz w:val="18"/>
                <w:szCs w:val="18"/>
                <w:lang w:val="en-GB"/>
              </w:rPr>
              <w:t>(3D-TTE)</w:t>
            </w:r>
            <w:r w:rsidRPr="008B3586">
              <w:rPr>
                <w:color w:val="000000" w:themeColor="text1"/>
                <w:sz w:val="18"/>
                <w:szCs w:val="18"/>
              </w:rPr>
              <w:t>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11.8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[-30.6; 54.1]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11.8 ±21.6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 xml:space="preserve">LVESV </w:t>
            </w:r>
            <w:r w:rsidRPr="008B3586">
              <w:rPr>
                <w:color w:val="000000" w:themeColor="text1"/>
                <w:sz w:val="18"/>
                <w:szCs w:val="18"/>
                <w:lang w:val="en-GB"/>
              </w:rPr>
              <w:t>(3D-TTE)</w:t>
            </w:r>
            <w:r w:rsidRPr="008B3586">
              <w:rPr>
                <w:color w:val="000000" w:themeColor="text1"/>
                <w:sz w:val="18"/>
                <w:szCs w:val="18"/>
              </w:rPr>
              <w:t>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1098" w:type="dxa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-5.5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[-37; 26]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-5.5 ±16.1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LASV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[-31.6; 35.5]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1.9 ±17.1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RASV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1098" w:type="dxa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16.2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[-20.9; 53.2]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16.2 ±18.9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RVEDV (2D-TTE), ml</w:t>
            </w:r>
          </w:p>
        </w:tc>
        <w:tc>
          <w:tcPr>
            <w:tcW w:w="1385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74.8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[18.8; 130.9]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74.8 ±28.6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RVESV (2D-TTE), ml</w:t>
            </w:r>
          </w:p>
        </w:tc>
        <w:tc>
          <w:tcPr>
            <w:tcW w:w="1385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1098" w:type="dxa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30.2</w:t>
            </w:r>
          </w:p>
        </w:tc>
        <w:tc>
          <w:tcPr>
            <w:tcW w:w="1820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[0.1; 60.4]</w:t>
            </w:r>
          </w:p>
        </w:tc>
        <w:tc>
          <w:tcPr>
            <w:tcW w:w="1989" w:type="dxa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30.2 ±15.4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RVEF (2D-TTE), %</w:t>
            </w:r>
          </w:p>
        </w:tc>
        <w:tc>
          <w:tcPr>
            <w:tcW w:w="1385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0.2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[-20.8; 22.4]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bottom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20"/>
                <w:szCs w:val="20"/>
              </w:rPr>
              <w:t>0.8 ±11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color w:val="000000" w:themeColor="text1"/>
        </w:rPr>
      </w:pPr>
      <w:r w:rsidRPr="008B3586">
        <w:rPr>
          <w:i/>
          <w:color w:val="000000" w:themeColor="text1"/>
        </w:rPr>
        <w:t>Abbreviations:</w:t>
      </w:r>
      <w:r w:rsidRPr="008B3586">
        <w:rPr>
          <w:b/>
          <w:color w:val="000000" w:themeColor="text1"/>
        </w:rPr>
        <w:t xml:space="preserve"> </w:t>
      </w:r>
      <w:r w:rsidRPr="008B3586">
        <w:rPr>
          <w:color w:val="000000" w:themeColor="text1"/>
        </w:rPr>
        <w:t xml:space="preserve">CI = confidence interval; </w:t>
      </w:r>
      <w:r w:rsidRPr="008B3586">
        <w:rPr>
          <w:i/>
          <w:color w:val="000000" w:themeColor="text1"/>
        </w:rPr>
        <w:t>ICC = intraclass correlation coefficient; OV = observer. Other abbreviations as in Table 2.</w:t>
      </w:r>
    </w:p>
    <w:p w:rsidR="00C51673" w:rsidRPr="008B3586" w:rsidRDefault="00C51673" w:rsidP="00C51673">
      <w:pPr>
        <w:rPr>
          <w:rFonts w:eastAsiaTheme="majorEastAsia"/>
          <w:color w:val="000000" w:themeColor="text1"/>
          <w:sz w:val="26"/>
          <w:szCs w:val="26"/>
        </w:rPr>
      </w:pPr>
      <w:r w:rsidRPr="008B3586">
        <w:rPr>
          <w:color w:val="000000" w:themeColor="text1"/>
        </w:rPr>
        <w:br w:type="page"/>
      </w:r>
    </w:p>
    <w:p w:rsidR="00C51673" w:rsidRPr="008B3586" w:rsidRDefault="00C51673" w:rsidP="00C51673">
      <w:pPr>
        <w:pStyle w:val="Heading2"/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8B3586">
        <w:rPr>
          <w:rFonts w:ascii="Times New Roman" w:hAnsi="Times New Roman" w:cs="Times New Roman"/>
          <w:b/>
          <w:color w:val="000000" w:themeColor="text1"/>
        </w:rPr>
        <w:t>Sensitivity Analysis: Single plane measurements</w:t>
      </w:r>
    </w:p>
    <w:p w:rsidR="00C51673" w:rsidRPr="008B3586" w:rsidRDefault="00C51673" w:rsidP="00C51673">
      <w:pPr>
        <w:pStyle w:val="Heading2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35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following sensitivity analysis all subjects with single-plane measurements were excluded. </w:t>
      </w:r>
    </w:p>
    <w:p w:rsidR="00C51673" w:rsidRPr="008B3586" w:rsidRDefault="00C51673" w:rsidP="00C51673">
      <w:pPr>
        <w:spacing w:line="276" w:lineRule="auto"/>
        <w:rPr>
          <w:color w:val="000000" w:themeColor="text1"/>
        </w:rPr>
      </w:pPr>
    </w:p>
    <w:p w:rsidR="00C51673" w:rsidRPr="008B3586" w:rsidRDefault="00C51673" w:rsidP="00C51673">
      <w:pPr>
        <w:spacing w:line="276" w:lineRule="auto"/>
        <w:rPr>
          <w:color w:val="000000" w:themeColor="text1"/>
        </w:rPr>
      </w:pPr>
      <w:r w:rsidRPr="008B3586">
        <w:rPr>
          <w:b/>
          <w:color w:val="000000" w:themeColor="text1"/>
        </w:rPr>
        <w:t xml:space="preserve">Supplemental Table </w:t>
      </w:r>
      <w:r w:rsidRPr="008B3586">
        <w:rPr>
          <w:b/>
          <w:color w:val="000000" w:themeColor="text1"/>
          <w:lang w:val="en-US"/>
        </w:rPr>
        <w:t xml:space="preserve">13 </w:t>
      </w:r>
      <w:r w:rsidRPr="008B3586">
        <w:rPr>
          <w:color w:val="000000" w:themeColor="text1"/>
          <w:lang w:val="en-US"/>
        </w:rPr>
        <w:t>Baseline characteristics of the study population</w:t>
      </w:r>
    </w:p>
    <w:tbl>
      <w:tblPr>
        <w:tblStyle w:val="GridTable3"/>
        <w:tblW w:w="9057" w:type="dxa"/>
        <w:tblInd w:w="-5" w:type="dxa"/>
        <w:tblLook w:val="04A0" w:firstRow="1" w:lastRow="0" w:firstColumn="1" w:lastColumn="0" w:noHBand="0" w:noVBand="1"/>
      </w:tblPr>
      <w:tblGrid>
        <w:gridCol w:w="3967"/>
        <w:gridCol w:w="2621"/>
        <w:gridCol w:w="2469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621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  <w:lang w:val="en-US"/>
              </w:rPr>
              <w:t>Females</w:t>
            </w:r>
            <w:r w:rsidRPr="008B3586">
              <w:rPr>
                <w:color w:val="000000" w:themeColor="text1"/>
                <w:sz w:val="22"/>
                <w:szCs w:val="22"/>
                <w:lang w:val="en-US"/>
              </w:rPr>
              <w:br/>
            </w: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720</w:t>
            </w:r>
          </w:p>
        </w:tc>
        <w:tc>
          <w:tcPr>
            <w:tcW w:w="2469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Cs w:val="0"/>
                <w:color w:val="000000" w:themeColor="text1"/>
                <w:sz w:val="22"/>
                <w:szCs w:val="22"/>
                <w:lang w:val="en-US"/>
              </w:rPr>
              <w:t>Males</w:t>
            </w:r>
          </w:p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962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7" w:type="dxa"/>
            <w:gridSpan w:val="3"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/>
                <w:i w:val="0"/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i w:val="0"/>
                <w:color w:val="000000" w:themeColor="text1"/>
                <w:sz w:val="22"/>
                <w:szCs w:val="22"/>
              </w:rPr>
              <w:t>DEMOGRAPHICS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Age, years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64.2 (8.5)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64.4 (8.2)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BMI, kg/m²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26.4 (4.8)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27.2 (3.9)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Systolic blood pressure, mmHg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139.6 (20.1)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143.6 (18.6)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Heart rate, bpm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70.4 (10.8)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67.7 (11.3)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7" w:type="dxa"/>
            <w:gridSpan w:val="3"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/>
                <w:i w:val="0"/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i w:val="0"/>
                <w:color w:val="000000" w:themeColor="text1"/>
                <w:sz w:val="22"/>
                <w:szCs w:val="22"/>
              </w:rPr>
              <w:t>COMORBIDITIES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Hypertension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485 ( 69.7) 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701 (75.8) 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Diabetes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 56 ( 8.4) 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105 (11.5)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Coronary artery disease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 29 ( 5.4) 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103 (13.4) 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Atrial fibrillation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 33 ( 5.2) </w:t>
            </w:r>
          </w:p>
        </w:tc>
        <w:tc>
          <w:tcPr>
            <w:tcW w:w="0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 60 ( 6.9) 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7" w:type="dxa"/>
            <w:gridSpan w:val="3"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/>
                <w:i w:val="0"/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i w:val="0"/>
                <w:color w:val="000000" w:themeColor="text1"/>
                <w:sz w:val="22"/>
                <w:szCs w:val="22"/>
              </w:rPr>
              <w:t>LABORATORIES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GFR, ml/min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83.4 [72.0, 92.4]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84.1 [73.9, 91.7]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NT-proBNP, ng/l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112.0 [62.0, 188.0]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68.0 [39.0, 128.0]</w:t>
            </w:r>
          </w:p>
        </w:tc>
      </w:tr>
      <w:tr w:rsidR="00C51673" w:rsidRPr="008B3586" w:rsidTr="004A12C3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7" w:type="dxa"/>
            <w:vAlign w:val="center"/>
          </w:tcPr>
          <w:p w:rsidR="00C51673" w:rsidRPr="008B3586" w:rsidRDefault="00C51673" w:rsidP="004A12C3">
            <w:pPr>
              <w:tabs>
                <w:tab w:val="left" w:pos="1098"/>
              </w:tabs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LDL-cholesterol, mg/dl</w:t>
            </w:r>
          </w:p>
        </w:tc>
        <w:tc>
          <w:tcPr>
            <w:tcW w:w="2621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124.0 [99.0, 146.0]</w:t>
            </w:r>
          </w:p>
        </w:tc>
        <w:tc>
          <w:tcPr>
            <w:tcW w:w="2469" w:type="dxa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118.0 [92.0, 140.0]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  <w:r w:rsidRPr="008B3586">
        <w:rPr>
          <w:color w:val="000000" w:themeColor="text1"/>
          <w:lang w:val="en-US"/>
        </w:rPr>
        <w:t xml:space="preserve">Normally distributed continuous variables are presented as mean and standard deviation, non-normal continuous variables as median and interquartile range, and categorical variables are presented as absolute numbers and percentages. </w:t>
      </w:r>
      <w:r w:rsidRPr="008B3586">
        <w:rPr>
          <w:rFonts w:ascii="Calibri" w:hAnsi="Calibri" w:cs="Calibri"/>
          <w:color w:val="000000" w:themeColor="text1"/>
        </w:rPr>
        <w:t>﻿</w:t>
      </w:r>
      <w:r w:rsidRPr="008B3586">
        <w:rPr>
          <w:color w:val="000000" w:themeColor="text1"/>
          <w:lang w:val="en-US"/>
        </w:rPr>
        <w:t xml:space="preserve">Abbreviations as in Table 1. 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rPr>
          <w:color w:val="000000" w:themeColor="text1"/>
          <w:lang w:val="en-US"/>
        </w:rPr>
      </w:pPr>
    </w:p>
    <w:p w:rsidR="00C51673" w:rsidRPr="008B3586" w:rsidRDefault="00C51673" w:rsidP="00C51673">
      <w:pPr>
        <w:rPr>
          <w:b/>
          <w:color w:val="000000" w:themeColor="text1"/>
        </w:rPr>
      </w:pPr>
      <w:r w:rsidRPr="008B3586">
        <w:rPr>
          <w:b/>
          <w:color w:val="000000" w:themeColor="text1"/>
        </w:rPr>
        <w:t>Supplemental Table 14</w:t>
      </w:r>
      <w:r w:rsidRPr="008B3586">
        <w:rPr>
          <w:color w:val="000000" w:themeColor="text1"/>
          <w:lang w:val="en-US"/>
        </w:rPr>
        <w:t xml:space="preserve"> Morphological and functional parameters of the heart measured by TTE and CMR</w:t>
      </w:r>
    </w:p>
    <w:tbl>
      <w:tblPr>
        <w:tblStyle w:val="GridTable3"/>
        <w:tblW w:w="4412" w:type="pct"/>
        <w:tblInd w:w="10" w:type="dxa"/>
        <w:tblLook w:val="04A0" w:firstRow="1" w:lastRow="0" w:firstColumn="1" w:lastColumn="0" w:noHBand="0" w:noVBand="1"/>
      </w:tblPr>
      <w:tblGrid>
        <w:gridCol w:w="3011"/>
        <w:gridCol w:w="1906"/>
        <w:gridCol w:w="1915"/>
        <w:gridCol w:w="1168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82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91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CMR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1682</w:t>
            </w:r>
          </w:p>
        </w:tc>
        <w:tc>
          <w:tcPr>
            <w:tcW w:w="1197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TTE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b w:val="0"/>
                <w:color w:val="000000" w:themeColor="text1"/>
                <w:sz w:val="22"/>
                <w:szCs w:val="22"/>
                <w:lang w:val="en-US"/>
              </w:rPr>
              <w:t>n = 1682</w:t>
            </w:r>
          </w:p>
        </w:tc>
        <w:tc>
          <w:tcPr>
            <w:tcW w:w="731" w:type="pct"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p-value</w:t>
            </w:r>
          </w:p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pct"/>
            <w:noWrap/>
            <w:vAlign w:val="center"/>
            <w:hideMark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LVEF (2D-TTE), %</w:t>
            </w:r>
          </w:p>
        </w:tc>
        <w:tc>
          <w:tcPr>
            <w:tcW w:w="1191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69.2 [64.5, 74.0]</w:t>
            </w:r>
          </w:p>
        </w:tc>
        <w:tc>
          <w:tcPr>
            <w:tcW w:w="1197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58.3 [55.5, 61.7]</w:t>
            </w:r>
          </w:p>
        </w:tc>
        <w:tc>
          <w:tcPr>
            <w:tcW w:w="731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GB"/>
              </w:rPr>
            </w:pPr>
            <w:r w:rsidRPr="008B3586">
              <w:rPr>
                <w:color w:val="000000" w:themeColor="text1"/>
                <w:sz w:val="22"/>
                <w:szCs w:val="22"/>
                <w:lang w:val="en-GB"/>
              </w:rPr>
              <w:t>LV stroke volume (2D-TTE), ml</w:t>
            </w:r>
          </w:p>
        </w:tc>
        <w:tc>
          <w:tcPr>
            <w:tcW w:w="1191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8B3586">
              <w:rPr>
                <w:color w:val="000000" w:themeColor="text1"/>
                <w:sz w:val="22"/>
                <w:szCs w:val="22"/>
              </w:rPr>
              <w:t>81.0 [68.0, 95.0]</w:t>
            </w:r>
          </w:p>
        </w:tc>
        <w:tc>
          <w:tcPr>
            <w:tcW w:w="1197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8B3586">
              <w:rPr>
                <w:color w:val="000000" w:themeColor="text1"/>
                <w:sz w:val="22"/>
                <w:szCs w:val="22"/>
              </w:rPr>
              <w:t>65.4 [53.9, 78.6]</w:t>
            </w:r>
          </w:p>
        </w:tc>
        <w:tc>
          <w:tcPr>
            <w:tcW w:w="731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LVEDV (2D-TTE), ml</w:t>
            </w:r>
          </w:p>
        </w:tc>
        <w:tc>
          <w:tcPr>
            <w:tcW w:w="1191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117.0 [97.4, 138.0]</w:t>
            </w:r>
          </w:p>
        </w:tc>
        <w:tc>
          <w:tcPr>
            <w:tcW w:w="1197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111.8 [93.6, 134.3]</w:t>
            </w:r>
          </w:p>
        </w:tc>
        <w:tc>
          <w:tcPr>
            <w:tcW w:w="731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C51673" w:rsidRPr="008B3586" w:rsidTr="004A12C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pct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left"/>
              <w:rPr>
                <w:color w:val="000000" w:themeColor="text1"/>
                <w:sz w:val="22"/>
                <w:szCs w:val="22"/>
                <w:lang w:val="en-US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LVESV (2D-TTE), ml</w:t>
            </w:r>
          </w:p>
        </w:tc>
        <w:tc>
          <w:tcPr>
            <w:tcW w:w="1191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36.0 [27.0, 46.0]</w:t>
            </w:r>
          </w:p>
        </w:tc>
        <w:tc>
          <w:tcPr>
            <w:tcW w:w="1197" w:type="pct"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 xml:space="preserve"> 46.7 [37.9, 57.5]</w:t>
            </w:r>
          </w:p>
        </w:tc>
        <w:tc>
          <w:tcPr>
            <w:tcW w:w="731" w:type="pct"/>
            <w:noWrap/>
            <w:vAlign w:val="bottom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&lt;0.001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  <w:r w:rsidRPr="008B3586">
        <w:rPr>
          <w:color w:val="000000" w:themeColor="text1"/>
          <w:lang w:val="en-US"/>
        </w:rPr>
        <w:t>Continuous variables are presented as mean and standard deviation, and categorical variables are presented as absolute numbers and percentages. Abbreviations: as in Table 2.</w:t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</w:p>
    <w:p w:rsidR="00C51673" w:rsidRPr="008B3586" w:rsidRDefault="00C51673" w:rsidP="00C51673">
      <w:pPr>
        <w:rPr>
          <w:b/>
          <w:color w:val="000000" w:themeColor="text1"/>
        </w:rPr>
      </w:pPr>
      <w:r w:rsidRPr="008B3586">
        <w:rPr>
          <w:b/>
          <w:color w:val="000000" w:themeColor="text1"/>
        </w:rPr>
        <w:br w:type="page"/>
      </w: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  <w:lang w:val="en-US"/>
        </w:rPr>
      </w:pPr>
      <w:r w:rsidRPr="008B3586">
        <w:rPr>
          <w:b/>
          <w:color w:val="000000" w:themeColor="text1"/>
        </w:rPr>
        <w:t>Supplemental Table 15</w:t>
      </w:r>
      <w:r w:rsidRPr="008B3586">
        <w:rPr>
          <w:color w:val="000000" w:themeColor="text1"/>
          <w:lang w:val="en-US"/>
        </w:rPr>
        <w:t xml:space="preserve"> Contingency table for concordance between TTE and CMR</w:t>
      </w:r>
      <w:r w:rsidRPr="008B3586" w:rsidDel="00824FB4">
        <w:rPr>
          <w:color w:val="000000" w:themeColor="text1"/>
          <w:lang w:val="en-US"/>
        </w:rPr>
        <w:t xml:space="preserve"> </w:t>
      </w:r>
    </w:p>
    <w:tbl>
      <w:tblPr>
        <w:tblStyle w:val="GridTable3"/>
        <w:tblW w:w="4592" w:type="pct"/>
        <w:tblInd w:w="-10" w:type="dxa"/>
        <w:tblLook w:val="04A0" w:firstRow="1" w:lastRow="0" w:firstColumn="1" w:lastColumn="0" w:noHBand="0" w:noVBand="1"/>
      </w:tblPr>
      <w:tblGrid>
        <w:gridCol w:w="521"/>
        <w:gridCol w:w="2097"/>
        <w:gridCol w:w="2711"/>
        <w:gridCol w:w="2997"/>
      </w:tblGrid>
      <w:tr w:rsidR="00C51673" w:rsidRPr="008B3586" w:rsidTr="004A12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8" w:type="pct"/>
            <w:tcBorders>
              <w:bottom w:val="nil"/>
            </w:tcBorders>
          </w:tcPr>
          <w:p w:rsidR="00C51673" w:rsidRPr="008B3586" w:rsidRDefault="00C51673" w:rsidP="004A12C3">
            <w:pPr>
              <w:spacing w:line="276" w:lineRule="auto"/>
              <w:rPr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61" w:type="pct"/>
            <w:tcBorders>
              <w:bottom w:val="nil"/>
            </w:tcBorders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431" w:type="pct"/>
            <w:gridSpan w:val="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 w:val="0"/>
                <w:i/>
                <w:iCs/>
                <w:color w:val="000000" w:themeColor="text1"/>
                <w:sz w:val="22"/>
                <w:szCs w:val="22"/>
              </w:rPr>
              <w:t>CMR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tcBorders>
              <w:bottom w:val="single" w:sz="4" w:space="0" w:color="auto"/>
              <w:right w:val="nil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Cs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630" w:type="pct"/>
            <w:shd w:val="clear" w:color="auto" w:fill="auto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/>
                <w:iCs/>
                <w:color w:val="000000" w:themeColor="text1"/>
                <w:sz w:val="22"/>
                <w:szCs w:val="22"/>
              </w:rPr>
              <w:t>Normal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8B3586">
              <w:rPr>
                <w:bCs/>
                <w:iCs/>
                <w:color w:val="000000" w:themeColor="text1"/>
                <w:sz w:val="22"/>
                <w:szCs w:val="22"/>
              </w:rPr>
              <w:t>Abnormal</w:t>
            </w:r>
          </w:p>
        </w:tc>
      </w:tr>
      <w:tr w:rsidR="00C51673" w:rsidRPr="008B3586" w:rsidTr="004A12C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vMerge w:val="restart"/>
            <w:tcBorders>
              <w:right w:val="single" w:sz="4" w:space="0" w:color="auto"/>
            </w:tcBorders>
            <w:textDirection w:val="btLr"/>
          </w:tcPr>
          <w:p w:rsidR="00C51673" w:rsidRPr="008B3586" w:rsidRDefault="00C51673" w:rsidP="004A12C3">
            <w:pPr>
              <w:spacing w:line="276" w:lineRule="auto"/>
              <w:ind w:left="113" w:right="113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8B3586">
              <w:rPr>
                <w:b/>
                <w:color w:val="000000" w:themeColor="text1"/>
                <w:sz w:val="22"/>
                <w:szCs w:val="22"/>
              </w:rPr>
              <w:t>TTE</w:t>
            </w:r>
          </w:p>
        </w:tc>
        <w:tc>
          <w:tcPr>
            <w:tcW w:w="1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 w:themeColor="text1"/>
                <w:sz w:val="22"/>
                <w:szCs w:val="22"/>
              </w:rPr>
            </w:pPr>
            <w:r w:rsidRPr="008B3586">
              <w:rPr>
                <w:i/>
                <w:color w:val="000000" w:themeColor="text1"/>
                <w:sz w:val="22"/>
                <w:szCs w:val="22"/>
              </w:rPr>
              <w:t>LVEF (2D-TTE)</w:t>
            </w:r>
          </w:p>
        </w:tc>
        <w:tc>
          <w:tcPr>
            <w:tcW w:w="3431" w:type="pct"/>
            <w:gridSpan w:val="2"/>
            <w:tcBorders>
              <w:left w:val="single" w:sz="4" w:space="0" w:color="auto"/>
            </w:tcBorders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Cohens Kappa: 0.27 (0.12, 0.41)</w:t>
            </w:r>
          </w:p>
        </w:tc>
      </w:tr>
      <w:tr w:rsidR="00C51673" w:rsidRPr="008B3586" w:rsidTr="004A12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Normal</w:t>
            </w:r>
          </w:p>
        </w:tc>
        <w:tc>
          <w:tcPr>
            <w:tcW w:w="163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1311</w:t>
            </w:r>
          </w:p>
        </w:tc>
        <w:tc>
          <w:tcPr>
            <w:tcW w:w="1801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7</w:t>
            </w:r>
          </w:p>
        </w:tc>
      </w:tr>
      <w:tr w:rsidR="00C51673" w:rsidRPr="008B3586" w:rsidTr="004A12C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" w:type="pct"/>
            <w:vMerge/>
            <w:tcBorders>
              <w:right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Abnormal</w:t>
            </w:r>
          </w:p>
        </w:tc>
        <w:tc>
          <w:tcPr>
            <w:tcW w:w="1630" w:type="pct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1801" w:type="pct"/>
            <w:shd w:val="clear" w:color="auto" w:fill="FFFFFF" w:themeFill="background1"/>
            <w:noWrap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B3586">
              <w:rPr>
                <w:color w:val="000000" w:themeColor="text1"/>
                <w:sz w:val="22"/>
                <w:szCs w:val="22"/>
              </w:rPr>
              <w:t>9</w:t>
            </w:r>
          </w:p>
        </w:tc>
      </w:tr>
    </w:tbl>
    <w:p w:rsidR="00C51673" w:rsidRPr="008B3586" w:rsidRDefault="00C51673" w:rsidP="00C51673">
      <w:pPr>
        <w:spacing w:line="276" w:lineRule="auto"/>
        <w:jc w:val="center"/>
        <w:rPr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rPr>
          <w:i/>
          <w:color w:val="000000" w:themeColor="text1"/>
          <w:lang w:val="en-US"/>
        </w:rPr>
      </w:pPr>
      <w:r w:rsidRPr="008B3586">
        <w:rPr>
          <w:color w:val="000000" w:themeColor="text1"/>
          <w:lang w:val="en-US"/>
        </w:rPr>
        <w:t xml:space="preserve">The following thresholds were used for both modalities: LVEF ≤50%. </w:t>
      </w:r>
      <w:r w:rsidRPr="008B3586">
        <w:rPr>
          <w:i/>
          <w:color w:val="000000" w:themeColor="text1"/>
          <w:lang w:val="en-US"/>
        </w:rPr>
        <w:t>Abbreviations:; LVEF = left ventricular ejection fraction.</w:t>
      </w:r>
    </w:p>
    <w:p w:rsidR="00C51673" w:rsidRPr="008B3586" w:rsidRDefault="00C51673" w:rsidP="00C51673">
      <w:pPr>
        <w:spacing w:line="276" w:lineRule="auto"/>
        <w:rPr>
          <w:i/>
          <w:color w:val="000000" w:themeColor="text1"/>
          <w:lang w:val="en-US"/>
        </w:rPr>
      </w:pPr>
    </w:p>
    <w:p w:rsidR="00C51673" w:rsidRPr="008B3586" w:rsidRDefault="00C51673" w:rsidP="00C51673">
      <w:pPr>
        <w:spacing w:line="276" w:lineRule="auto"/>
        <w:jc w:val="both"/>
        <w:rPr>
          <w:color w:val="000000" w:themeColor="text1"/>
        </w:rPr>
      </w:pPr>
      <w:r w:rsidRPr="008B3586">
        <w:rPr>
          <w:b/>
          <w:color w:val="000000" w:themeColor="text1"/>
        </w:rPr>
        <w:t xml:space="preserve">Supplemental Table 16 </w:t>
      </w:r>
      <w:r w:rsidRPr="008B3586">
        <w:rPr>
          <w:color w:val="000000" w:themeColor="text1"/>
        </w:rPr>
        <w:t>Reproducibility and correlation of TTE and CMR measurements</w:t>
      </w:r>
    </w:p>
    <w:tbl>
      <w:tblPr>
        <w:tblStyle w:val="TableGrid"/>
        <w:tblW w:w="9373" w:type="dxa"/>
        <w:tblLook w:val="04A0" w:firstRow="1" w:lastRow="0" w:firstColumn="1" w:lastColumn="0" w:noHBand="0" w:noVBand="1"/>
      </w:tblPr>
      <w:tblGrid>
        <w:gridCol w:w="1861"/>
        <w:gridCol w:w="1385"/>
        <w:gridCol w:w="1098"/>
        <w:gridCol w:w="1220"/>
        <w:gridCol w:w="1820"/>
        <w:gridCol w:w="1989"/>
      </w:tblGrid>
      <w:tr w:rsidR="00C51673" w:rsidRPr="008B3586" w:rsidTr="004A12C3">
        <w:trPr>
          <w:trHeight w:val="280"/>
        </w:trPr>
        <w:tc>
          <w:tcPr>
            <w:tcW w:w="1861" w:type="dxa"/>
            <w:vMerge w:val="restart"/>
            <w:tcBorders>
              <w:top w:val="nil"/>
              <w:left w:val="nil"/>
            </w:tcBorders>
          </w:tcPr>
          <w:p w:rsidR="00C51673" w:rsidRPr="008B3586" w:rsidRDefault="00C51673" w:rsidP="004A12C3">
            <w:pPr>
              <w:spacing w:line="276" w:lineRule="auto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83" w:type="dxa"/>
            <w:gridSpan w:val="2"/>
            <w:shd w:val="clear" w:color="auto" w:fill="FFFFFF" w:themeFill="background1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Pearson correlation</w:t>
            </w:r>
          </w:p>
        </w:tc>
        <w:tc>
          <w:tcPr>
            <w:tcW w:w="3040" w:type="dxa"/>
            <w:gridSpan w:val="2"/>
            <w:shd w:val="clear" w:color="auto" w:fill="FFFFFF" w:themeFill="background1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Bland-Altman analysis</w:t>
            </w:r>
          </w:p>
        </w:tc>
        <w:tc>
          <w:tcPr>
            <w:tcW w:w="1989" w:type="dxa"/>
            <w:vMerge w:val="restart"/>
            <w:shd w:val="clear" w:color="auto" w:fill="FFFFFF" w:themeFill="background1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Absolute difference</w:t>
            </w:r>
          </w:p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± standard deviation</w:t>
            </w:r>
          </w:p>
        </w:tc>
      </w:tr>
      <w:tr w:rsidR="00C51673" w:rsidRPr="008B3586" w:rsidTr="004A12C3">
        <w:trPr>
          <w:trHeight w:val="446"/>
        </w:trPr>
        <w:tc>
          <w:tcPr>
            <w:tcW w:w="1861" w:type="dxa"/>
            <w:vMerge/>
            <w:tcBorders>
              <w:left w:val="nil"/>
              <w:bottom w:val="single" w:sz="4" w:space="0" w:color="auto"/>
            </w:tcBorders>
          </w:tcPr>
          <w:p w:rsidR="00C51673" w:rsidRPr="008B3586" w:rsidRDefault="00C51673" w:rsidP="004A12C3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auto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 xml:space="preserve">Correlation </w:t>
            </w:r>
          </w:p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coefficient</w:t>
            </w:r>
          </w:p>
        </w:tc>
        <w:tc>
          <w:tcPr>
            <w:tcW w:w="1098" w:type="dxa"/>
            <w:shd w:val="clear" w:color="auto" w:fill="auto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p-value</w:t>
            </w:r>
          </w:p>
        </w:tc>
        <w:tc>
          <w:tcPr>
            <w:tcW w:w="1220" w:type="dxa"/>
            <w:shd w:val="clear" w:color="auto" w:fill="auto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Bias (mean)</w:t>
            </w:r>
          </w:p>
        </w:tc>
        <w:tc>
          <w:tcPr>
            <w:tcW w:w="1820" w:type="dxa"/>
            <w:shd w:val="clear" w:color="auto" w:fill="auto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 xml:space="preserve">95% limits </w:t>
            </w:r>
          </w:p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8B3586">
              <w:rPr>
                <w:b/>
                <w:color w:val="000000" w:themeColor="text1"/>
                <w:sz w:val="20"/>
                <w:szCs w:val="20"/>
              </w:rPr>
              <w:t>of agreement</w:t>
            </w:r>
          </w:p>
        </w:tc>
        <w:tc>
          <w:tcPr>
            <w:tcW w:w="1989" w:type="dxa"/>
            <w:vMerge/>
            <w:shd w:val="clear" w:color="auto" w:fill="E7E6E6" w:themeFill="background2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LVEF (2D-TTE), %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0.40</w:t>
            </w:r>
          </w:p>
        </w:tc>
        <w:tc>
          <w:tcPr>
            <w:tcW w:w="1098" w:type="dxa"/>
            <w:shd w:val="clear" w:color="auto" w:fill="F2F2F2" w:themeFill="background1" w:themeFillShade="F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10.7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[-2.6; 24.0]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10,7 (6,8)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  <w:lang w:val="en-GB"/>
              </w:rPr>
            </w:pPr>
            <w:r w:rsidRPr="008B3586">
              <w:rPr>
                <w:color w:val="000000" w:themeColor="text1"/>
                <w:sz w:val="18"/>
                <w:szCs w:val="18"/>
                <w:lang w:val="en-GB"/>
              </w:rPr>
              <w:t>LV stroke volume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0.58</w:t>
            </w:r>
          </w:p>
        </w:tc>
        <w:tc>
          <w:tcPr>
            <w:tcW w:w="1098" w:type="dxa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220" w:type="dxa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14.9</w:t>
            </w:r>
          </w:p>
        </w:tc>
        <w:tc>
          <w:tcPr>
            <w:tcW w:w="1820" w:type="dxa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[-20.4; 50.2]</w:t>
            </w:r>
          </w:p>
        </w:tc>
        <w:tc>
          <w:tcPr>
            <w:tcW w:w="1989" w:type="dxa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14,9 (18)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LVEDV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0.70</w:t>
            </w:r>
          </w:p>
        </w:tc>
        <w:tc>
          <w:tcPr>
            <w:tcW w:w="1098" w:type="dxa"/>
            <w:shd w:val="clear" w:color="auto" w:fill="F2F2F2" w:themeFill="background1" w:themeFillShade="F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3.7</w:t>
            </w:r>
          </w:p>
        </w:tc>
        <w:tc>
          <w:tcPr>
            <w:tcW w:w="1820" w:type="dxa"/>
            <w:shd w:val="clear" w:color="auto" w:fill="F2F2F2" w:themeFill="background1" w:themeFillShade="F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[-43.5; 50.8]</w:t>
            </w:r>
          </w:p>
        </w:tc>
        <w:tc>
          <w:tcPr>
            <w:tcW w:w="1989" w:type="dxa"/>
            <w:shd w:val="clear" w:color="auto" w:fill="F2F2F2" w:themeFill="background1" w:themeFillShade="F2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3,7 (24)</w:t>
            </w:r>
          </w:p>
        </w:tc>
      </w:tr>
      <w:tr w:rsidR="00C51673" w:rsidRPr="008B3586" w:rsidTr="004A12C3">
        <w:trPr>
          <w:trHeight w:val="425"/>
        </w:trPr>
        <w:tc>
          <w:tcPr>
            <w:tcW w:w="18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rPr>
                <w:i/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LVESV (2D-TTE), ml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0.67</w:t>
            </w:r>
          </w:p>
        </w:tc>
        <w:tc>
          <w:tcPr>
            <w:tcW w:w="1098" w:type="dxa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220" w:type="dxa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-10.5</w:t>
            </w:r>
          </w:p>
        </w:tc>
        <w:tc>
          <w:tcPr>
            <w:tcW w:w="1820" w:type="dxa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[-34.8; 13.8]</w:t>
            </w:r>
          </w:p>
        </w:tc>
        <w:tc>
          <w:tcPr>
            <w:tcW w:w="1989" w:type="dxa"/>
            <w:vAlign w:val="center"/>
          </w:tcPr>
          <w:p w:rsidR="00C51673" w:rsidRPr="008B3586" w:rsidRDefault="00C51673" w:rsidP="004A12C3">
            <w:pPr>
              <w:spacing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B3586">
              <w:rPr>
                <w:color w:val="000000" w:themeColor="text1"/>
                <w:sz w:val="18"/>
                <w:szCs w:val="18"/>
              </w:rPr>
              <w:t>-10,5 (12,4)</w:t>
            </w:r>
          </w:p>
        </w:tc>
      </w:tr>
    </w:tbl>
    <w:p w:rsidR="00C51673" w:rsidRPr="008B3586" w:rsidRDefault="00C51673" w:rsidP="00C51673">
      <w:pPr>
        <w:spacing w:line="276" w:lineRule="auto"/>
        <w:jc w:val="both"/>
        <w:rPr>
          <w:color w:val="000000" w:themeColor="text1"/>
        </w:rPr>
      </w:pPr>
      <w:r w:rsidRPr="008B3586">
        <w:rPr>
          <w:i/>
          <w:color w:val="000000" w:themeColor="text1"/>
        </w:rPr>
        <w:t>Abbreviations:</w:t>
      </w:r>
      <w:r w:rsidRPr="008B3586">
        <w:rPr>
          <w:b/>
          <w:color w:val="000000" w:themeColor="text1"/>
        </w:rPr>
        <w:t xml:space="preserve"> </w:t>
      </w:r>
      <w:r w:rsidRPr="008B3586">
        <w:rPr>
          <w:i/>
          <w:color w:val="000000" w:themeColor="text1"/>
        </w:rPr>
        <w:t>Abbreviations as in Table 2.</w:t>
      </w:r>
    </w:p>
    <w:p w:rsidR="00C51673" w:rsidRPr="008B3586" w:rsidRDefault="00C51673" w:rsidP="00C51673">
      <w:pPr>
        <w:spacing w:line="276" w:lineRule="auto"/>
        <w:rPr>
          <w:i/>
          <w:color w:val="000000" w:themeColor="text1"/>
          <w:vertAlign w:val="superscript"/>
          <w:lang w:val="en-US"/>
        </w:rPr>
      </w:pPr>
    </w:p>
    <w:p w:rsidR="00C51673" w:rsidRPr="008B3586" w:rsidRDefault="00C51673" w:rsidP="00C51673">
      <w:pPr>
        <w:pStyle w:val="Heading2"/>
        <w:spacing w:line="276" w:lineRule="auto"/>
        <w:rPr>
          <w:rFonts w:ascii="Times New Roman" w:hAnsi="Times New Roman" w:cs="Times New Roman"/>
          <w:color w:val="000000" w:themeColor="text1"/>
          <w:lang w:val="en-US"/>
        </w:rPr>
      </w:pPr>
    </w:p>
    <w:p w:rsidR="00C51673" w:rsidRPr="008B3586" w:rsidRDefault="00C51673" w:rsidP="00C51673">
      <w:pPr>
        <w:pStyle w:val="Heading2"/>
        <w:spacing w:line="276" w:lineRule="auto"/>
        <w:rPr>
          <w:rFonts w:ascii="Times New Roman" w:hAnsi="Times New Roman" w:cs="Times New Roman"/>
          <w:color w:val="000000" w:themeColor="text1"/>
          <w:lang w:val="en-US"/>
        </w:rPr>
      </w:pPr>
    </w:p>
    <w:p w:rsidR="006327DD" w:rsidRDefault="006327DD">
      <w:bookmarkStart w:id="0" w:name="_GoBack"/>
      <w:bookmarkEnd w:id="0"/>
    </w:p>
    <w:sectPr w:rsidR="006327DD" w:rsidSect="00CE6176">
      <w:headerReference w:type="default" r:id="rId4"/>
      <w:footerReference w:type="even" r:id="rId5"/>
      <w:footerReference w:type="default" r:id="rId6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BDE" w:rsidRDefault="00C51673" w:rsidP="00341D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4BDE" w:rsidRDefault="00C51673">
    <w:pPr>
      <w:pStyle w:val="Footer"/>
    </w:pPr>
  </w:p>
  <w:p w:rsidR="00654BDE" w:rsidRDefault="00C5167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BDE" w:rsidRPr="0011127D" w:rsidRDefault="00C51673" w:rsidP="00341D66">
    <w:pPr>
      <w:pStyle w:val="Footer"/>
      <w:framePr w:wrap="around" w:vAnchor="text" w:hAnchor="margin" w:xAlign="center" w:y="1"/>
      <w:rPr>
        <w:rStyle w:val="PageNumber"/>
        <w:rFonts w:asciiTheme="majorHAnsi" w:hAnsiTheme="majorHAnsi" w:cstheme="majorHAnsi"/>
      </w:rPr>
    </w:pPr>
    <w:r w:rsidRPr="0011127D">
      <w:rPr>
        <w:rStyle w:val="PageNumber"/>
        <w:rFonts w:asciiTheme="majorHAnsi" w:hAnsiTheme="majorHAnsi" w:cstheme="majorHAnsi"/>
      </w:rPr>
      <w:fldChar w:fldCharType="begin"/>
    </w:r>
    <w:r w:rsidRPr="0011127D">
      <w:rPr>
        <w:rStyle w:val="PageNumber"/>
        <w:rFonts w:asciiTheme="majorHAnsi" w:hAnsiTheme="majorHAnsi" w:cstheme="majorHAnsi"/>
      </w:rPr>
      <w:instrText xml:space="preserve">PAGE </w:instrText>
    </w:r>
    <w:r w:rsidRPr="0011127D">
      <w:rPr>
        <w:rStyle w:val="PageNumber"/>
        <w:rFonts w:asciiTheme="majorHAnsi" w:hAnsiTheme="majorHAnsi" w:cstheme="majorHAnsi"/>
      </w:rPr>
      <w:instrText xml:space="preserve"> </w:instrText>
    </w:r>
    <w:r w:rsidRPr="0011127D">
      <w:rPr>
        <w:rStyle w:val="PageNumber"/>
        <w:rFonts w:asciiTheme="majorHAnsi" w:hAnsiTheme="majorHAnsi" w:cstheme="majorHAnsi"/>
      </w:rPr>
      <w:fldChar w:fldCharType="separate"/>
    </w:r>
    <w:r>
      <w:rPr>
        <w:rStyle w:val="PageNumber"/>
        <w:rFonts w:asciiTheme="majorHAnsi" w:hAnsiTheme="majorHAnsi" w:cstheme="majorHAnsi"/>
        <w:noProof/>
      </w:rPr>
      <w:t>43</w:t>
    </w:r>
    <w:r w:rsidRPr="0011127D">
      <w:rPr>
        <w:rStyle w:val="PageNumber"/>
        <w:rFonts w:asciiTheme="majorHAnsi" w:hAnsiTheme="majorHAnsi" w:cstheme="majorHAnsi"/>
      </w:rPr>
      <w:fldChar w:fldCharType="end"/>
    </w:r>
  </w:p>
  <w:p w:rsidR="00654BDE" w:rsidRPr="0011127D" w:rsidRDefault="00C51673" w:rsidP="00341D66">
    <w:pPr>
      <w:pStyle w:val="Footer"/>
      <w:jc w:val="right"/>
      <w:rPr>
        <w:rFonts w:asciiTheme="majorHAnsi" w:hAnsiTheme="majorHAnsi" w:cstheme="majorHAnsi"/>
      </w:rPr>
    </w:pPr>
  </w:p>
  <w:p w:rsidR="00654BDE" w:rsidRPr="0011127D" w:rsidRDefault="00C51673">
    <w:pPr>
      <w:rPr>
        <w:rFonts w:asciiTheme="majorHAnsi" w:hAnsiTheme="majorHAnsi" w:cstheme="majorHAnsi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BDE" w:rsidRDefault="00C51673" w:rsidP="00341D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9C"/>
    <w:rsid w:val="000017A6"/>
    <w:rsid w:val="00003506"/>
    <w:rsid w:val="00004F1B"/>
    <w:rsid w:val="00004FC0"/>
    <w:rsid w:val="000055E7"/>
    <w:rsid w:val="00011352"/>
    <w:rsid w:val="00011E0A"/>
    <w:rsid w:val="000126D4"/>
    <w:rsid w:val="000127FF"/>
    <w:rsid w:val="00013106"/>
    <w:rsid w:val="00014BCA"/>
    <w:rsid w:val="00015C9C"/>
    <w:rsid w:val="000164E8"/>
    <w:rsid w:val="00017BA7"/>
    <w:rsid w:val="000211F5"/>
    <w:rsid w:val="0002643F"/>
    <w:rsid w:val="0003127F"/>
    <w:rsid w:val="00031CEB"/>
    <w:rsid w:val="00033B53"/>
    <w:rsid w:val="00034B96"/>
    <w:rsid w:val="000360AB"/>
    <w:rsid w:val="00036737"/>
    <w:rsid w:val="00036882"/>
    <w:rsid w:val="0003768D"/>
    <w:rsid w:val="00040CAC"/>
    <w:rsid w:val="00041A10"/>
    <w:rsid w:val="00041A5C"/>
    <w:rsid w:val="00042113"/>
    <w:rsid w:val="0004286F"/>
    <w:rsid w:val="000433C7"/>
    <w:rsid w:val="000439AA"/>
    <w:rsid w:val="000455BE"/>
    <w:rsid w:val="000459D9"/>
    <w:rsid w:val="000469F2"/>
    <w:rsid w:val="00046F08"/>
    <w:rsid w:val="000518C7"/>
    <w:rsid w:val="00052B2F"/>
    <w:rsid w:val="0005316E"/>
    <w:rsid w:val="00055883"/>
    <w:rsid w:val="00056FE9"/>
    <w:rsid w:val="000602C2"/>
    <w:rsid w:val="0006297E"/>
    <w:rsid w:val="00070628"/>
    <w:rsid w:val="0007065C"/>
    <w:rsid w:val="00073C54"/>
    <w:rsid w:val="00073F5F"/>
    <w:rsid w:val="00075B8C"/>
    <w:rsid w:val="00081641"/>
    <w:rsid w:val="00083607"/>
    <w:rsid w:val="0008495B"/>
    <w:rsid w:val="0008513D"/>
    <w:rsid w:val="0008552F"/>
    <w:rsid w:val="00086B41"/>
    <w:rsid w:val="00090674"/>
    <w:rsid w:val="0009163D"/>
    <w:rsid w:val="00091922"/>
    <w:rsid w:val="0009269C"/>
    <w:rsid w:val="000932D3"/>
    <w:rsid w:val="0009362D"/>
    <w:rsid w:val="00093683"/>
    <w:rsid w:val="00096561"/>
    <w:rsid w:val="00096CF8"/>
    <w:rsid w:val="00096E1C"/>
    <w:rsid w:val="00096F4A"/>
    <w:rsid w:val="00097369"/>
    <w:rsid w:val="00097F56"/>
    <w:rsid w:val="000A0555"/>
    <w:rsid w:val="000A098A"/>
    <w:rsid w:val="000A282B"/>
    <w:rsid w:val="000A30CC"/>
    <w:rsid w:val="000A339A"/>
    <w:rsid w:val="000A490C"/>
    <w:rsid w:val="000A6C04"/>
    <w:rsid w:val="000A7CA4"/>
    <w:rsid w:val="000B003F"/>
    <w:rsid w:val="000B048A"/>
    <w:rsid w:val="000B1FC4"/>
    <w:rsid w:val="000B2B2A"/>
    <w:rsid w:val="000B3C1E"/>
    <w:rsid w:val="000B5DA6"/>
    <w:rsid w:val="000B5EBF"/>
    <w:rsid w:val="000B6ACC"/>
    <w:rsid w:val="000C0DEC"/>
    <w:rsid w:val="000C1B42"/>
    <w:rsid w:val="000C1D2D"/>
    <w:rsid w:val="000D014A"/>
    <w:rsid w:val="000D0BFB"/>
    <w:rsid w:val="000D2B34"/>
    <w:rsid w:val="000D3B9B"/>
    <w:rsid w:val="000D6FEC"/>
    <w:rsid w:val="000D795D"/>
    <w:rsid w:val="000E005B"/>
    <w:rsid w:val="000E1F18"/>
    <w:rsid w:val="000E4346"/>
    <w:rsid w:val="000E6B3C"/>
    <w:rsid w:val="000E7A7A"/>
    <w:rsid w:val="000F0855"/>
    <w:rsid w:val="000F1FA4"/>
    <w:rsid w:val="000F2632"/>
    <w:rsid w:val="000F37AC"/>
    <w:rsid w:val="000F4220"/>
    <w:rsid w:val="000F4942"/>
    <w:rsid w:val="000F5A78"/>
    <w:rsid w:val="000F694F"/>
    <w:rsid w:val="0010027C"/>
    <w:rsid w:val="00100953"/>
    <w:rsid w:val="001013AD"/>
    <w:rsid w:val="00103674"/>
    <w:rsid w:val="0010474A"/>
    <w:rsid w:val="001055D9"/>
    <w:rsid w:val="001060C8"/>
    <w:rsid w:val="00106308"/>
    <w:rsid w:val="001106D1"/>
    <w:rsid w:val="00110D05"/>
    <w:rsid w:val="0011274D"/>
    <w:rsid w:val="00112B54"/>
    <w:rsid w:val="00117E75"/>
    <w:rsid w:val="001201D0"/>
    <w:rsid w:val="00121147"/>
    <w:rsid w:val="00130732"/>
    <w:rsid w:val="001318EF"/>
    <w:rsid w:val="00132535"/>
    <w:rsid w:val="001333F3"/>
    <w:rsid w:val="0013448F"/>
    <w:rsid w:val="00134BC7"/>
    <w:rsid w:val="00135B7E"/>
    <w:rsid w:val="00136AF9"/>
    <w:rsid w:val="00136DED"/>
    <w:rsid w:val="00140A55"/>
    <w:rsid w:val="00140A7A"/>
    <w:rsid w:val="00140E4D"/>
    <w:rsid w:val="0014159A"/>
    <w:rsid w:val="00141B5C"/>
    <w:rsid w:val="0014256A"/>
    <w:rsid w:val="00142939"/>
    <w:rsid w:val="0014570D"/>
    <w:rsid w:val="00146CBB"/>
    <w:rsid w:val="00150156"/>
    <w:rsid w:val="001501E3"/>
    <w:rsid w:val="00151E46"/>
    <w:rsid w:val="001557F1"/>
    <w:rsid w:val="001562E3"/>
    <w:rsid w:val="001673A8"/>
    <w:rsid w:val="001679B5"/>
    <w:rsid w:val="001741CA"/>
    <w:rsid w:val="00174592"/>
    <w:rsid w:val="00176552"/>
    <w:rsid w:val="001769BC"/>
    <w:rsid w:val="00180CAB"/>
    <w:rsid w:val="00181A1A"/>
    <w:rsid w:val="00184E33"/>
    <w:rsid w:val="0018655D"/>
    <w:rsid w:val="00187653"/>
    <w:rsid w:val="00191DDC"/>
    <w:rsid w:val="00192758"/>
    <w:rsid w:val="0019338C"/>
    <w:rsid w:val="00193B74"/>
    <w:rsid w:val="00196688"/>
    <w:rsid w:val="001966F4"/>
    <w:rsid w:val="001A0E2C"/>
    <w:rsid w:val="001A0F42"/>
    <w:rsid w:val="001A3615"/>
    <w:rsid w:val="001A463A"/>
    <w:rsid w:val="001A5CDC"/>
    <w:rsid w:val="001B2D5F"/>
    <w:rsid w:val="001B302B"/>
    <w:rsid w:val="001B493C"/>
    <w:rsid w:val="001B4D6F"/>
    <w:rsid w:val="001B5AAB"/>
    <w:rsid w:val="001B616B"/>
    <w:rsid w:val="001C2357"/>
    <w:rsid w:val="001C2879"/>
    <w:rsid w:val="001C3AB7"/>
    <w:rsid w:val="001D0E0C"/>
    <w:rsid w:val="001D3A4A"/>
    <w:rsid w:val="001D5949"/>
    <w:rsid w:val="001D7834"/>
    <w:rsid w:val="001E0FB8"/>
    <w:rsid w:val="001E1A6E"/>
    <w:rsid w:val="001E3699"/>
    <w:rsid w:val="001E3F08"/>
    <w:rsid w:val="001E4A4A"/>
    <w:rsid w:val="001E5FC6"/>
    <w:rsid w:val="001E7E5D"/>
    <w:rsid w:val="001F194A"/>
    <w:rsid w:val="001F63CC"/>
    <w:rsid w:val="001F73FC"/>
    <w:rsid w:val="00200833"/>
    <w:rsid w:val="002027FF"/>
    <w:rsid w:val="00202CA5"/>
    <w:rsid w:val="0020337F"/>
    <w:rsid w:val="00203724"/>
    <w:rsid w:val="00205026"/>
    <w:rsid w:val="00205752"/>
    <w:rsid w:val="0020745C"/>
    <w:rsid w:val="00210D17"/>
    <w:rsid w:val="00210D4E"/>
    <w:rsid w:val="00211E26"/>
    <w:rsid w:val="00212040"/>
    <w:rsid w:val="00214533"/>
    <w:rsid w:val="0021468E"/>
    <w:rsid w:val="00214FA1"/>
    <w:rsid w:val="0021505A"/>
    <w:rsid w:val="00216703"/>
    <w:rsid w:val="002220CE"/>
    <w:rsid w:val="0022215F"/>
    <w:rsid w:val="002234C5"/>
    <w:rsid w:val="00223868"/>
    <w:rsid w:val="00225229"/>
    <w:rsid w:val="00225E26"/>
    <w:rsid w:val="00226175"/>
    <w:rsid w:val="00227298"/>
    <w:rsid w:val="00230536"/>
    <w:rsid w:val="00230799"/>
    <w:rsid w:val="00230C4A"/>
    <w:rsid w:val="00230F68"/>
    <w:rsid w:val="002318A4"/>
    <w:rsid w:val="0023421E"/>
    <w:rsid w:val="0023617E"/>
    <w:rsid w:val="00237774"/>
    <w:rsid w:val="00240038"/>
    <w:rsid w:val="00240048"/>
    <w:rsid w:val="0024005E"/>
    <w:rsid w:val="002400D3"/>
    <w:rsid w:val="002425B1"/>
    <w:rsid w:val="00245B52"/>
    <w:rsid w:val="00246C1D"/>
    <w:rsid w:val="00247D68"/>
    <w:rsid w:val="002514C0"/>
    <w:rsid w:val="00253882"/>
    <w:rsid w:val="00255923"/>
    <w:rsid w:val="002561C2"/>
    <w:rsid w:val="00260E1E"/>
    <w:rsid w:val="00262469"/>
    <w:rsid w:val="00262DBF"/>
    <w:rsid w:val="00264948"/>
    <w:rsid w:val="00265A3A"/>
    <w:rsid w:val="00265DAE"/>
    <w:rsid w:val="00265E69"/>
    <w:rsid w:val="00266661"/>
    <w:rsid w:val="00271395"/>
    <w:rsid w:val="0027351D"/>
    <w:rsid w:val="00273882"/>
    <w:rsid w:val="00276825"/>
    <w:rsid w:val="002770D5"/>
    <w:rsid w:val="00282BD9"/>
    <w:rsid w:val="002834B0"/>
    <w:rsid w:val="00285955"/>
    <w:rsid w:val="00285C4D"/>
    <w:rsid w:val="002872DE"/>
    <w:rsid w:val="00291422"/>
    <w:rsid w:val="00291749"/>
    <w:rsid w:val="00291A93"/>
    <w:rsid w:val="00292CED"/>
    <w:rsid w:val="00292D45"/>
    <w:rsid w:val="00292E60"/>
    <w:rsid w:val="00293DB3"/>
    <w:rsid w:val="00294465"/>
    <w:rsid w:val="00295A0B"/>
    <w:rsid w:val="00295FA6"/>
    <w:rsid w:val="0029790A"/>
    <w:rsid w:val="002A2B4D"/>
    <w:rsid w:val="002A54CD"/>
    <w:rsid w:val="002A701D"/>
    <w:rsid w:val="002A72E5"/>
    <w:rsid w:val="002B093B"/>
    <w:rsid w:val="002B4E40"/>
    <w:rsid w:val="002B555B"/>
    <w:rsid w:val="002B6AA8"/>
    <w:rsid w:val="002B7814"/>
    <w:rsid w:val="002C1D09"/>
    <w:rsid w:val="002C29CC"/>
    <w:rsid w:val="002C3D6A"/>
    <w:rsid w:val="002C5AD9"/>
    <w:rsid w:val="002C6957"/>
    <w:rsid w:val="002D0A5B"/>
    <w:rsid w:val="002D0C45"/>
    <w:rsid w:val="002D19BF"/>
    <w:rsid w:val="002D23CA"/>
    <w:rsid w:val="002D2D25"/>
    <w:rsid w:val="002D42A2"/>
    <w:rsid w:val="002D45F1"/>
    <w:rsid w:val="002D52FE"/>
    <w:rsid w:val="002E0988"/>
    <w:rsid w:val="002E177A"/>
    <w:rsid w:val="002E1973"/>
    <w:rsid w:val="002F032E"/>
    <w:rsid w:val="002F0352"/>
    <w:rsid w:val="002F1000"/>
    <w:rsid w:val="002F1C55"/>
    <w:rsid w:val="002F3B58"/>
    <w:rsid w:val="002F4646"/>
    <w:rsid w:val="002F4FF1"/>
    <w:rsid w:val="002F5044"/>
    <w:rsid w:val="002F51F5"/>
    <w:rsid w:val="003025B2"/>
    <w:rsid w:val="00303A17"/>
    <w:rsid w:val="00305E76"/>
    <w:rsid w:val="00306403"/>
    <w:rsid w:val="003069F7"/>
    <w:rsid w:val="00307E0B"/>
    <w:rsid w:val="00311169"/>
    <w:rsid w:val="003138F9"/>
    <w:rsid w:val="003146C6"/>
    <w:rsid w:val="00315268"/>
    <w:rsid w:val="0031632F"/>
    <w:rsid w:val="0031656D"/>
    <w:rsid w:val="0031753E"/>
    <w:rsid w:val="003176A6"/>
    <w:rsid w:val="0032348B"/>
    <w:rsid w:val="00323E3A"/>
    <w:rsid w:val="00325BF3"/>
    <w:rsid w:val="00330920"/>
    <w:rsid w:val="00330A64"/>
    <w:rsid w:val="0033584B"/>
    <w:rsid w:val="0033679C"/>
    <w:rsid w:val="0033681B"/>
    <w:rsid w:val="00337760"/>
    <w:rsid w:val="00342A0C"/>
    <w:rsid w:val="003457F7"/>
    <w:rsid w:val="00347090"/>
    <w:rsid w:val="0035063F"/>
    <w:rsid w:val="003512C8"/>
    <w:rsid w:val="003523D0"/>
    <w:rsid w:val="003530BE"/>
    <w:rsid w:val="00354001"/>
    <w:rsid w:val="003543A0"/>
    <w:rsid w:val="003552B3"/>
    <w:rsid w:val="003562C7"/>
    <w:rsid w:val="003604B4"/>
    <w:rsid w:val="003607C1"/>
    <w:rsid w:val="00360859"/>
    <w:rsid w:val="00361350"/>
    <w:rsid w:val="00362C7E"/>
    <w:rsid w:val="003636C2"/>
    <w:rsid w:val="00365852"/>
    <w:rsid w:val="003661C1"/>
    <w:rsid w:val="00367083"/>
    <w:rsid w:val="00367D6C"/>
    <w:rsid w:val="003702A4"/>
    <w:rsid w:val="00371DEE"/>
    <w:rsid w:val="00371DFB"/>
    <w:rsid w:val="00371FFE"/>
    <w:rsid w:val="0037243D"/>
    <w:rsid w:val="003750FE"/>
    <w:rsid w:val="00375486"/>
    <w:rsid w:val="00375516"/>
    <w:rsid w:val="00377615"/>
    <w:rsid w:val="00377D0B"/>
    <w:rsid w:val="003829A1"/>
    <w:rsid w:val="0038314F"/>
    <w:rsid w:val="00383D69"/>
    <w:rsid w:val="0038459C"/>
    <w:rsid w:val="003854FE"/>
    <w:rsid w:val="003855F3"/>
    <w:rsid w:val="00387C95"/>
    <w:rsid w:val="003A13AC"/>
    <w:rsid w:val="003A1DB6"/>
    <w:rsid w:val="003A2406"/>
    <w:rsid w:val="003A75E8"/>
    <w:rsid w:val="003B0729"/>
    <w:rsid w:val="003B1FA2"/>
    <w:rsid w:val="003B33DD"/>
    <w:rsid w:val="003B3CF2"/>
    <w:rsid w:val="003B47C8"/>
    <w:rsid w:val="003B5746"/>
    <w:rsid w:val="003C08AA"/>
    <w:rsid w:val="003C0D1D"/>
    <w:rsid w:val="003C72E9"/>
    <w:rsid w:val="003C75B0"/>
    <w:rsid w:val="003D1673"/>
    <w:rsid w:val="003D34AA"/>
    <w:rsid w:val="003D40FF"/>
    <w:rsid w:val="003D5B14"/>
    <w:rsid w:val="003D682C"/>
    <w:rsid w:val="003D6895"/>
    <w:rsid w:val="003E05BC"/>
    <w:rsid w:val="003E0CB1"/>
    <w:rsid w:val="003E0D3C"/>
    <w:rsid w:val="003E0FC4"/>
    <w:rsid w:val="003E1102"/>
    <w:rsid w:val="003E2C43"/>
    <w:rsid w:val="003E51FC"/>
    <w:rsid w:val="003E55ED"/>
    <w:rsid w:val="003E66E5"/>
    <w:rsid w:val="003E6946"/>
    <w:rsid w:val="003F0D9A"/>
    <w:rsid w:val="003F0FF5"/>
    <w:rsid w:val="003F1B3A"/>
    <w:rsid w:val="003F25DC"/>
    <w:rsid w:val="003F50DA"/>
    <w:rsid w:val="003F7A20"/>
    <w:rsid w:val="0040101E"/>
    <w:rsid w:val="00401F7E"/>
    <w:rsid w:val="00403714"/>
    <w:rsid w:val="00404273"/>
    <w:rsid w:val="0040568B"/>
    <w:rsid w:val="00407150"/>
    <w:rsid w:val="00411E88"/>
    <w:rsid w:val="00412FF2"/>
    <w:rsid w:val="00415652"/>
    <w:rsid w:val="00424D85"/>
    <w:rsid w:val="004265FF"/>
    <w:rsid w:val="004267E3"/>
    <w:rsid w:val="00430C2D"/>
    <w:rsid w:val="004317C5"/>
    <w:rsid w:val="00433BCF"/>
    <w:rsid w:val="00434EA5"/>
    <w:rsid w:val="0043559F"/>
    <w:rsid w:val="0043681D"/>
    <w:rsid w:val="00437CB0"/>
    <w:rsid w:val="00440A53"/>
    <w:rsid w:val="00440C0B"/>
    <w:rsid w:val="0044168F"/>
    <w:rsid w:val="0044171E"/>
    <w:rsid w:val="00442D96"/>
    <w:rsid w:val="00444B67"/>
    <w:rsid w:val="00446602"/>
    <w:rsid w:val="00446F9C"/>
    <w:rsid w:val="004470B7"/>
    <w:rsid w:val="00447A47"/>
    <w:rsid w:val="00447EC8"/>
    <w:rsid w:val="004517BC"/>
    <w:rsid w:val="00452A34"/>
    <w:rsid w:val="00452B4A"/>
    <w:rsid w:val="00454816"/>
    <w:rsid w:val="00454ADF"/>
    <w:rsid w:val="00455415"/>
    <w:rsid w:val="0045544C"/>
    <w:rsid w:val="00455752"/>
    <w:rsid w:val="00457EAC"/>
    <w:rsid w:val="00460E74"/>
    <w:rsid w:val="00462E79"/>
    <w:rsid w:val="00464EDA"/>
    <w:rsid w:val="004651C1"/>
    <w:rsid w:val="0046564D"/>
    <w:rsid w:val="00465A11"/>
    <w:rsid w:val="00466BA7"/>
    <w:rsid w:val="00466F16"/>
    <w:rsid w:val="004672E8"/>
    <w:rsid w:val="004679D0"/>
    <w:rsid w:val="00470C1F"/>
    <w:rsid w:val="004714A3"/>
    <w:rsid w:val="004721B1"/>
    <w:rsid w:val="00472D6E"/>
    <w:rsid w:val="00477A2B"/>
    <w:rsid w:val="00480E04"/>
    <w:rsid w:val="00486CF1"/>
    <w:rsid w:val="00490547"/>
    <w:rsid w:val="00490BCC"/>
    <w:rsid w:val="00490EE8"/>
    <w:rsid w:val="004946DD"/>
    <w:rsid w:val="00494978"/>
    <w:rsid w:val="00495272"/>
    <w:rsid w:val="004A13AD"/>
    <w:rsid w:val="004A20D9"/>
    <w:rsid w:val="004A47E2"/>
    <w:rsid w:val="004A4B14"/>
    <w:rsid w:val="004A60B6"/>
    <w:rsid w:val="004A743A"/>
    <w:rsid w:val="004B424D"/>
    <w:rsid w:val="004B51DA"/>
    <w:rsid w:val="004B5F46"/>
    <w:rsid w:val="004B743B"/>
    <w:rsid w:val="004B7C81"/>
    <w:rsid w:val="004C0D05"/>
    <w:rsid w:val="004C23F8"/>
    <w:rsid w:val="004C28BC"/>
    <w:rsid w:val="004C2EF2"/>
    <w:rsid w:val="004C3E23"/>
    <w:rsid w:val="004C3F67"/>
    <w:rsid w:val="004C4EED"/>
    <w:rsid w:val="004C58D8"/>
    <w:rsid w:val="004C599D"/>
    <w:rsid w:val="004D1D19"/>
    <w:rsid w:val="004D3A7A"/>
    <w:rsid w:val="004D4EBD"/>
    <w:rsid w:val="004D616B"/>
    <w:rsid w:val="004E012D"/>
    <w:rsid w:val="004E29C4"/>
    <w:rsid w:val="004E5AE5"/>
    <w:rsid w:val="004E5B69"/>
    <w:rsid w:val="004E661F"/>
    <w:rsid w:val="004F405C"/>
    <w:rsid w:val="004F44A1"/>
    <w:rsid w:val="004F493C"/>
    <w:rsid w:val="00500C6C"/>
    <w:rsid w:val="00502459"/>
    <w:rsid w:val="00503BD8"/>
    <w:rsid w:val="005046FE"/>
    <w:rsid w:val="0050535A"/>
    <w:rsid w:val="00506823"/>
    <w:rsid w:val="00506A4B"/>
    <w:rsid w:val="005125A3"/>
    <w:rsid w:val="005143DF"/>
    <w:rsid w:val="00515824"/>
    <w:rsid w:val="005200D2"/>
    <w:rsid w:val="00520B53"/>
    <w:rsid w:val="005226F2"/>
    <w:rsid w:val="005234F9"/>
    <w:rsid w:val="00523F9E"/>
    <w:rsid w:val="00524320"/>
    <w:rsid w:val="005247D9"/>
    <w:rsid w:val="00524B49"/>
    <w:rsid w:val="0052578F"/>
    <w:rsid w:val="005268C7"/>
    <w:rsid w:val="00527E4B"/>
    <w:rsid w:val="00530F91"/>
    <w:rsid w:val="00532402"/>
    <w:rsid w:val="005325A4"/>
    <w:rsid w:val="00534A16"/>
    <w:rsid w:val="0053554A"/>
    <w:rsid w:val="00537D60"/>
    <w:rsid w:val="00540959"/>
    <w:rsid w:val="0054196A"/>
    <w:rsid w:val="00542069"/>
    <w:rsid w:val="00545A19"/>
    <w:rsid w:val="005466A1"/>
    <w:rsid w:val="00551726"/>
    <w:rsid w:val="0055197A"/>
    <w:rsid w:val="005538A2"/>
    <w:rsid w:val="00557B4D"/>
    <w:rsid w:val="00560053"/>
    <w:rsid w:val="005603EF"/>
    <w:rsid w:val="00560B6C"/>
    <w:rsid w:val="00562E34"/>
    <w:rsid w:val="00566CCF"/>
    <w:rsid w:val="00567FEE"/>
    <w:rsid w:val="00572A48"/>
    <w:rsid w:val="00575DF2"/>
    <w:rsid w:val="00577E5F"/>
    <w:rsid w:val="00580ECA"/>
    <w:rsid w:val="00581D66"/>
    <w:rsid w:val="0058408C"/>
    <w:rsid w:val="00585B4F"/>
    <w:rsid w:val="00586E84"/>
    <w:rsid w:val="00587A4D"/>
    <w:rsid w:val="00590BAB"/>
    <w:rsid w:val="005959DD"/>
    <w:rsid w:val="0059600D"/>
    <w:rsid w:val="005972A6"/>
    <w:rsid w:val="00597F8A"/>
    <w:rsid w:val="005A09EB"/>
    <w:rsid w:val="005A29F7"/>
    <w:rsid w:val="005A2B31"/>
    <w:rsid w:val="005A2B97"/>
    <w:rsid w:val="005A529C"/>
    <w:rsid w:val="005A58C8"/>
    <w:rsid w:val="005A6CE2"/>
    <w:rsid w:val="005A7525"/>
    <w:rsid w:val="005B0AA5"/>
    <w:rsid w:val="005B1896"/>
    <w:rsid w:val="005B2E5C"/>
    <w:rsid w:val="005B499C"/>
    <w:rsid w:val="005B62DA"/>
    <w:rsid w:val="005B6A14"/>
    <w:rsid w:val="005B7BDC"/>
    <w:rsid w:val="005C46EF"/>
    <w:rsid w:val="005C56A6"/>
    <w:rsid w:val="005C5780"/>
    <w:rsid w:val="005C71F9"/>
    <w:rsid w:val="005C786D"/>
    <w:rsid w:val="005D0587"/>
    <w:rsid w:val="005D0833"/>
    <w:rsid w:val="005D1FEB"/>
    <w:rsid w:val="005D3C5B"/>
    <w:rsid w:val="005D4B64"/>
    <w:rsid w:val="005D5098"/>
    <w:rsid w:val="005D5D62"/>
    <w:rsid w:val="005D6449"/>
    <w:rsid w:val="005D6B56"/>
    <w:rsid w:val="005D7C6E"/>
    <w:rsid w:val="005D7F46"/>
    <w:rsid w:val="005D7FCA"/>
    <w:rsid w:val="005E1757"/>
    <w:rsid w:val="005E1E6A"/>
    <w:rsid w:val="005E494A"/>
    <w:rsid w:val="005E5B65"/>
    <w:rsid w:val="005E6584"/>
    <w:rsid w:val="005E78B6"/>
    <w:rsid w:val="005E7A1C"/>
    <w:rsid w:val="005F0A88"/>
    <w:rsid w:val="005F47F9"/>
    <w:rsid w:val="005F4FAF"/>
    <w:rsid w:val="00601269"/>
    <w:rsid w:val="00601458"/>
    <w:rsid w:val="006019DF"/>
    <w:rsid w:val="006039BA"/>
    <w:rsid w:val="00604B9E"/>
    <w:rsid w:val="00604D29"/>
    <w:rsid w:val="00606F6C"/>
    <w:rsid w:val="00610873"/>
    <w:rsid w:val="006149DB"/>
    <w:rsid w:val="0061676A"/>
    <w:rsid w:val="00616FB2"/>
    <w:rsid w:val="00621A11"/>
    <w:rsid w:val="00621EAB"/>
    <w:rsid w:val="00623559"/>
    <w:rsid w:val="006256ED"/>
    <w:rsid w:val="0062599C"/>
    <w:rsid w:val="006263C0"/>
    <w:rsid w:val="006327DD"/>
    <w:rsid w:val="00635832"/>
    <w:rsid w:val="00637042"/>
    <w:rsid w:val="00637A36"/>
    <w:rsid w:val="00637AA5"/>
    <w:rsid w:val="0064076F"/>
    <w:rsid w:val="00642FD5"/>
    <w:rsid w:val="00643FD5"/>
    <w:rsid w:val="0064437E"/>
    <w:rsid w:val="00644E01"/>
    <w:rsid w:val="006452F9"/>
    <w:rsid w:val="006460F0"/>
    <w:rsid w:val="00650D59"/>
    <w:rsid w:val="006515C9"/>
    <w:rsid w:val="00651AAD"/>
    <w:rsid w:val="00651D0E"/>
    <w:rsid w:val="006521A0"/>
    <w:rsid w:val="006547BB"/>
    <w:rsid w:val="00655020"/>
    <w:rsid w:val="00655DC5"/>
    <w:rsid w:val="006567F8"/>
    <w:rsid w:val="00661839"/>
    <w:rsid w:val="00661B16"/>
    <w:rsid w:val="00662F8D"/>
    <w:rsid w:val="00663504"/>
    <w:rsid w:val="00663D33"/>
    <w:rsid w:val="006642B8"/>
    <w:rsid w:val="00665190"/>
    <w:rsid w:val="00665753"/>
    <w:rsid w:val="0067348F"/>
    <w:rsid w:val="00674E6F"/>
    <w:rsid w:val="00676357"/>
    <w:rsid w:val="00680B7C"/>
    <w:rsid w:val="0068118C"/>
    <w:rsid w:val="00681DBA"/>
    <w:rsid w:val="00682755"/>
    <w:rsid w:val="00685C17"/>
    <w:rsid w:val="0069045B"/>
    <w:rsid w:val="006910A6"/>
    <w:rsid w:val="00695D76"/>
    <w:rsid w:val="006962A0"/>
    <w:rsid w:val="00697467"/>
    <w:rsid w:val="006A31DF"/>
    <w:rsid w:val="006A5D0B"/>
    <w:rsid w:val="006A6A81"/>
    <w:rsid w:val="006A6EAF"/>
    <w:rsid w:val="006A70BD"/>
    <w:rsid w:val="006B1C5B"/>
    <w:rsid w:val="006B1CF1"/>
    <w:rsid w:val="006B275F"/>
    <w:rsid w:val="006B2E01"/>
    <w:rsid w:val="006C0832"/>
    <w:rsid w:val="006C1836"/>
    <w:rsid w:val="006C1F40"/>
    <w:rsid w:val="006C2450"/>
    <w:rsid w:val="006C5427"/>
    <w:rsid w:val="006C5E8A"/>
    <w:rsid w:val="006C65BF"/>
    <w:rsid w:val="006C6952"/>
    <w:rsid w:val="006D1F28"/>
    <w:rsid w:val="006D3830"/>
    <w:rsid w:val="006D46D3"/>
    <w:rsid w:val="006D4730"/>
    <w:rsid w:val="006D6DFE"/>
    <w:rsid w:val="006D7E11"/>
    <w:rsid w:val="006E2671"/>
    <w:rsid w:val="006F051C"/>
    <w:rsid w:val="006F177F"/>
    <w:rsid w:val="006F1E18"/>
    <w:rsid w:val="006F6F0F"/>
    <w:rsid w:val="00701277"/>
    <w:rsid w:val="00705047"/>
    <w:rsid w:val="00706267"/>
    <w:rsid w:val="00706D3D"/>
    <w:rsid w:val="007072EA"/>
    <w:rsid w:val="007116C8"/>
    <w:rsid w:val="00712CC3"/>
    <w:rsid w:val="00714A57"/>
    <w:rsid w:val="00715F48"/>
    <w:rsid w:val="00716CC6"/>
    <w:rsid w:val="00717AAB"/>
    <w:rsid w:val="00722C6B"/>
    <w:rsid w:val="00722EE6"/>
    <w:rsid w:val="007267CB"/>
    <w:rsid w:val="00726D70"/>
    <w:rsid w:val="00731121"/>
    <w:rsid w:val="00731D43"/>
    <w:rsid w:val="00732234"/>
    <w:rsid w:val="0073296E"/>
    <w:rsid w:val="00735BD5"/>
    <w:rsid w:val="00737DA7"/>
    <w:rsid w:val="00742F02"/>
    <w:rsid w:val="00743CFF"/>
    <w:rsid w:val="007459D2"/>
    <w:rsid w:val="00745F9A"/>
    <w:rsid w:val="00747323"/>
    <w:rsid w:val="00747930"/>
    <w:rsid w:val="007507AE"/>
    <w:rsid w:val="007512FB"/>
    <w:rsid w:val="00751646"/>
    <w:rsid w:val="00752A93"/>
    <w:rsid w:val="00753F14"/>
    <w:rsid w:val="007551EE"/>
    <w:rsid w:val="00756276"/>
    <w:rsid w:val="007577E9"/>
    <w:rsid w:val="007617DF"/>
    <w:rsid w:val="007622C7"/>
    <w:rsid w:val="0076249B"/>
    <w:rsid w:val="00762BB1"/>
    <w:rsid w:val="0076333E"/>
    <w:rsid w:val="00764320"/>
    <w:rsid w:val="007654B5"/>
    <w:rsid w:val="00765AB9"/>
    <w:rsid w:val="0076740A"/>
    <w:rsid w:val="0076751F"/>
    <w:rsid w:val="0077006C"/>
    <w:rsid w:val="0077671A"/>
    <w:rsid w:val="00776E18"/>
    <w:rsid w:val="00776FEA"/>
    <w:rsid w:val="00781FF2"/>
    <w:rsid w:val="0078224F"/>
    <w:rsid w:val="00782274"/>
    <w:rsid w:val="00783A1D"/>
    <w:rsid w:val="007840AB"/>
    <w:rsid w:val="007849B2"/>
    <w:rsid w:val="007854E5"/>
    <w:rsid w:val="00787888"/>
    <w:rsid w:val="0079094C"/>
    <w:rsid w:val="00791C40"/>
    <w:rsid w:val="00791F85"/>
    <w:rsid w:val="00792A2E"/>
    <w:rsid w:val="007933A4"/>
    <w:rsid w:val="00793B80"/>
    <w:rsid w:val="00794CB4"/>
    <w:rsid w:val="007955F8"/>
    <w:rsid w:val="00797185"/>
    <w:rsid w:val="007A3BF0"/>
    <w:rsid w:val="007B20C4"/>
    <w:rsid w:val="007B2B57"/>
    <w:rsid w:val="007B2EF5"/>
    <w:rsid w:val="007B4591"/>
    <w:rsid w:val="007B6F5A"/>
    <w:rsid w:val="007B76C6"/>
    <w:rsid w:val="007B7B9E"/>
    <w:rsid w:val="007C1FCC"/>
    <w:rsid w:val="007C3E16"/>
    <w:rsid w:val="007C5FD5"/>
    <w:rsid w:val="007C717D"/>
    <w:rsid w:val="007C746E"/>
    <w:rsid w:val="007C7860"/>
    <w:rsid w:val="007D0DDF"/>
    <w:rsid w:val="007D23D3"/>
    <w:rsid w:val="007D2ABD"/>
    <w:rsid w:val="007D367A"/>
    <w:rsid w:val="007D3BF9"/>
    <w:rsid w:val="007D74DD"/>
    <w:rsid w:val="007E06F4"/>
    <w:rsid w:val="007E0920"/>
    <w:rsid w:val="007E11EF"/>
    <w:rsid w:val="007E14BB"/>
    <w:rsid w:val="007E14CB"/>
    <w:rsid w:val="007E264A"/>
    <w:rsid w:val="007E3DD3"/>
    <w:rsid w:val="007E5153"/>
    <w:rsid w:val="007E63A8"/>
    <w:rsid w:val="007F19EB"/>
    <w:rsid w:val="007F1CE1"/>
    <w:rsid w:val="007F2627"/>
    <w:rsid w:val="007F2EFD"/>
    <w:rsid w:val="007F3ED4"/>
    <w:rsid w:val="007F4D00"/>
    <w:rsid w:val="007F4E45"/>
    <w:rsid w:val="007F5679"/>
    <w:rsid w:val="007F7D6E"/>
    <w:rsid w:val="00802183"/>
    <w:rsid w:val="00802356"/>
    <w:rsid w:val="00804E0E"/>
    <w:rsid w:val="00805AED"/>
    <w:rsid w:val="00806E9D"/>
    <w:rsid w:val="00811AF3"/>
    <w:rsid w:val="00811FC0"/>
    <w:rsid w:val="0081214A"/>
    <w:rsid w:val="00813C27"/>
    <w:rsid w:val="0081525D"/>
    <w:rsid w:val="00815602"/>
    <w:rsid w:val="008176DB"/>
    <w:rsid w:val="00817929"/>
    <w:rsid w:val="00820F7B"/>
    <w:rsid w:val="00822C18"/>
    <w:rsid w:val="008234AC"/>
    <w:rsid w:val="00823645"/>
    <w:rsid w:val="00823884"/>
    <w:rsid w:val="00823BEB"/>
    <w:rsid w:val="0082467F"/>
    <w:rsid w:val="00827BAC"/>
    <w:rsid w:val="00827CC1"/>
    <w:rsid w:val="00833879"/>
    <w:rsid w:val="00837DB9"/>
    <w:rsid w:val="00840F1C"/>
    <w:rsid w:val="00841B84"/>
    <w:rsid w:val="00841E99"/>
    <w:rsid w:val="008425DC"/>
    <w:rsid w:val="00843F5F"/>
    <w:rsid w:val="0084430D"/>
    <w:rsid w:val="00846B0A"/>
    <w:rsid w:val="00846C9E"/>
    <w:rsid w:val="00847A6A"/>
    <w:rsid w:val="008501D4"/>
    <w:rsid w:val="00850A3E"/>
    <w:rsid w:val="0085286A"/>
    <w:rsid w:val="00852BCF"/>
    <w:rsid w:val="0085335C"/>
    <w:rsid w:val="008554A3"/>
    <w:rsid w:val="00855731"/>
    <w:rsid w:val="00856BB8"/>
    <w:rsid w:val="00857BC3"/>
    <w:rsid w:val="00857E33"/>
    <w:rsid w:val="00860122"/>
    <w:rsid w:val="00860B0E"/>
    <w:rsid w:val="00861BAC"/>
    <w:rsid w:val="00861DC6"/>
    <w:rsid w:val="008636C0"/>
    <w:rsid w:val="00864C32"/>
    <w:rsid w:val="0086534B"/>
    <w:rsid w:val="00866C7A"/>
    <w:rsid w:val="00867D7B"/>
    <w:rsid w:val="00871075"/>
    <w:rsid w:val="00874597"/>
    <w:rsid w:val="00876E9C"/>
    <w:rsid w:val="00880A0D"/>
    <w:rsid w:val="0088331C"/>
    <w:rsid w:val="00885F73"/>
    <w:rsid w:val="00886934"/>
    <w:rsid w:val="00891088"/>
    <w:rsid w:val="008916E5"/>
    <w:rsid w:val="00891D1C"/>
    <w:rsid w:val="00894E3F"/>
    <w:rsid w:val="008A1213"/>
    <w:rsid w:val="008A1B3C"/>
    <w:rsid w:val="008A27D0"/>
    <w:rsid w:val="008A33D1"/>
    <w:rsid w:val="008A4986"/>
    <w:rsid w:val="008A54B6"/>
    <w:rsid w:val="008A5A17"/>
    <w:rsid w:val="008A67CC"/>
    <w:rsid w:val="008B04BB"/>
    <w:rsid w:val="008B1EA6"/>
    <w:rsid w:val="008B6F33"/>
    <w:rsid w:val="008B772A"/>
    <w:rsid w:val="008B7EA7"/>
    <w:rsid w:val="008C06C6"/>
    <w:rsid w:val="008C10FF"/>
    <w:rsid w:val="008C2515"/>
    <w:rsid w:val="008C3145"/>
    <w:rsid w:val="008C38AC"/>
    <w:rsid w:val="008C3A7B"/>
    <w:rsid w:val="008C5C59"/>
    <w:rsid w:val="008C67EC"/>
    <w:rsid w:val="008C7833"/>
    <w:rsid w:val="008D3325"/>
    <w:rsid w:val="008D3FDB"/>
    <w:rsid w:val="008D41A3"/>
    <w:rsid w:val="008D4609"/>
    <w:rsid w:val="008D4E4D"/>
    <w:rsid w:val="008D521E"/>
    <w:rsid w:val="008D5418"/>
    <w:rsid w:val="008D566B"/>
    <w:rsid w:val="008D7C95"/>
    <w:rsid w:val="008D7CDC"/>
    <w:rsid w:val="008E0D5B"/>
    <w:rsid w:val="008E409D"/>
    <w:rsid w:val="008E491F"/>
    <w:rsid w:val="008E4BAC"/>
    <w:rsid w:val="008F08CB"/>
    <w:rsid w:val="008F0B61"/>
    <w:rsid w:val="008F195F"/>
    <w:rsid w:val="008F1C1E"/>
    <w:rsid w:val="008F3448"/>
    <w:rsid w:val="008F46E6"/>
    <w:rsid w:val="008F4EB6"/>
    <w:rsid w:val="008F5047"/>
    <w:rsid w:val="008F5144"/>
    <w:rsid w:val="008F6AE4"/>
    <w:rsid w:val="008F6C2D"/>
    <w:rsid w:val="009016B8"/>
    <w:rsid w:val="009024AE"/>
    <w:rsid w:val="00902F1E"/>
    <w:rsid w:val="00903B99"/>
    <w:rsid w:val="00905DFC"/>
    <w:rsid w:val="009100E3"/>
    <w:rsid w:val="009121B0"/>
    <w:rsid w:val="0091483B"/>
    <w:rsid w:val="009148B3"/>
    <w:rsid w:val="00914B4B"/>
    <w:rsid w:val="00915FEF"/>
    <w:rsid w:val="0091630C"/>
    <w:rsid w:val="00916D79"/>
    <w:rsid w:val="009178EA"/>
    <w:rsid w:val="00917C74"/>
    <w:rsid w:val="00921343"/>
    <w:rsid w:val="009213EF"/>
    <w:rsid w:val="00922238"/>
    <w:rsid w:val="00923DD7"/>
    <w:rsid w:val="00924A14"/>
    <w:rsid w:val="0092532F"/>
    <w:rsid w:val="00926C12"/>
    <w:rsid w:val="00927435"/>
    <w:rsid w:val="00927E24"/>
    <w:rsid w:val="0093004E"/>
    <w:rsid w:val="009307C4"/>
    <w:rsid w:val="00931075"/>
    <w:rsid w:val="009320E3"/>
    <w:rsid w:val="0093348A"/>
    <w:rsid w:val="00934D99"/>
    <w:rsid w:val="00936030"/>
    <w:rsid w:val="00936F83"/>
    <w:rsid w:val="00937009"/>
    <w:rsid w:val="00941DDA"/>
    <w:rsid w:val="00942D5E"/>
    <w:rsid w:val="009433D8"/>
    <w:rsid w:val="00943899"/>
    <w:rsid w:val="00943CDA"/>
    <w:rsid w:val="009441B1"/>
    <w:rsid w:val="00944CE4"/>
    <w:rsid w:val="00945086"/>
    <w:rsid w:val="00947374"/>
    <w:rsid w:val="009479D9"/>
    <w:rsid w:val="009505A8"/>
    <w:rsid w:val="00950DB5"/>
    <w:rsid w:val="00954912"/>
    <w:rsid w:val="00955213"/>
    <w:rsid w:val="0095723A"/>
    <w:rsid w:val="009600D7"/>
    <w:rsid w:val="00964C07"/>
    <w:rsid w:val="009660EF"/>
    <w:rsid w:val="00970782"/>
    <w:rsid w:val="00976B82"/>
    <w:rsid w:val="0098006C"/>
    <w:rsid w:val="009807B7"/>
    <w:rsid w:val="009831E3"/>
    <w:rsid w:val="0098796A"/>
    <w:rsid w:val="00987E40"/>
    <w:rsid w:val="00991D06"/>
    <w:rsid w:val="00993382"/>
    <w:rsid w:val="0099382B"/>
    <w:rsid w:val="00994E91"/>
    <w:rsid w:val="009970DC"/>
    <w:rsid w:val="009A5A6A"/>
    <w:rsid w:val="009A6779"/>
    <w:rsid w:val="009B107D"/>
    <w:rsid w:val="009B3017"/>
    <w:rsid w:val="009B77E8"/>
    <w:rsid w:val="009C0723"/>
    <w:rsid w:val="009C08F6"/>
    <w:rsid w:val="009C0AAD"/>
    <w:rsid w:val="009C2A17"/>
    <w:rsid w:val="009C3511"/>
    <w:rsid w:val="009C3762"/>
    <w:rsid w:val="009C41B9"/>
    <w:rsid w:val="009C4E4A"/>
    <w:rsid w:val="009C6450"/>
    <w:rsid w:val="009C6B78"/>
    <w:rsid w:val="009D1059"/>
    <w:rsid w:val="009D464E"/>
    <w:rsid w:val="009D7A6E"/>
    <w:rsid w:val="009D7D04"/>
    <w:rsid w:val="009E189D"/>
    <w:rsid w:val="009E2DB7"/>
    <w:rsid w:val="009E2E7B"/>
    <w:rsid w:val="009E61B4"/>
    <w:rsid w:val="009E74A1"/>
    <w:rsid w:val="009E7EBC"/>
    <w:rsid w:val="009F147C"/>
    <w:rsid w:val="009F18EA"/>
    <w:rsid w:val="009F3FC0"/>
    <w:rsid w:val="009F4C9C"/>
    <w:rsid w:val="009F5703"/>
    <w:rsid w:val="009F5C6D"/>
    <w:rsid w:val="009F799F"/>
    <w:rsid w:val="00A00111"/>
    <w:rsid w:val="00A02302"/>
    <w:rsid w:val="00A0332C"/>
    <w:rsid w:val="00A03426"/>
    <w:rsid w:val="00A0360C"/>
    <w:rsid w:val="00A04305"/>
    <w:rsid w:val="00A04457"/>
    <w:rsid w:val="00A04506"/>
    <w:rsid w:val="00A04A10"/>
    <w:rsid w:val="00A04B4D"/>
    <w:rsid w:val="00A05389"/>
    <w:rsid w:val="00A06E80"/>
    <w:rsid w:val="00A07AB7"/>
    <w:rsid w:val="00A07F8B"/>
    <w:rsid w:val="00A12307"/>
    <w:rsid w:val="00A15C2F"/>
    <w:rsid w:val="00A163F8"/>
    <w:rsid w:val="00A16721"/>
    <w:rsid w:val="00A170BF"/>
    <w:rsid w:val="00A22B5E"/>
    <w:rsid w:val="00A2557B"/>
    <w:rsid w:val="00A267E0"/>
    <w:rsid w:val="00A26C1B"/>
    <w:rsid w:val="00A30CA4"/>
    <w:rsid w:val="00A3156C"/>
    <w:rsid w:val="00A35914"/>
    <w:rsid w:val="00A37315"/>
    <w:rsid w:val="00A41CEA"/>
    <w:rsid w:val="00A4200D"/>
    <w:rsid w:val="00A440E1"/>
    <w:rsid w:val="00A44651"/>
    <w:rsid w:val="00A46EBD"/>
    <w:rsid w:val="00A47966"/>
    <w:rsid w:val="00A51D9E"/>
    <w:rsid w:val="00A52ABC"/>
    <w:rsid w:val="00A52C75"/>
    <w:rsid w:val="00A52EA5"/>
    <w:rsid w:val="00A5419B"/>
    <w:rsid w:val="00A550B4"/>
    <w:rsid w:val="00A55815"/>
    <w:rsid w:val="00A5787A"/>
    <w:rsid w:val="00A60069"/>
    <w:rsid w:val="00A62097"/>
    <w:rsid w:val="00A65B85"/>
    <w:rsid w:val="00A65C60"/>
    <w:rsid w:val="00A66A9F"/>
    <w:rsid w:val="00A70271"/>
    <w:rsid w:val="00A70B85"/>
    <w:rsid w:val="00A70BCB"/>
    <w:rsid w:val="00A74D67"/>
    <w:rsid w:val="00A768A2"/>
    <w:rsid w:val="00A77434"/>
    <w:rsid w:val="00A8191F"/>
    <w:rsid w:val="00A82262"/>
    <w:rsid w:val="00A8310E"/>
    <w:rsid w:val="00A86514"/>
    <w:rsid w:val="00A865B1"/>
    <w:rsid w:val="00A8755D"/>
    <w:rsid w:val="00A8758B"/>
    <w:rsid w:val="00A91678"/>
    <w:rsid w:val="00A92742"/>
    <w:rsid w:val="00A933EB"/>
    <w:rsid w:val="00A94895"/>
    <w:rsid w:val="00A95184"/>
    <w:rsid w:val="00A96803"/>
    <w:rsid w:val="00AA0AB6"/>
    <w:rsid w:val="00AA173E"/>
    <w:rsid w:val="00AA1FE6"/>
    <w:rsid w:val="00AA2DCA"/>
    <w:rsid w:val="00AA5B18"/>
    <w:rsid w:val="00AA5D40"/>
    <w:rsid w:val="00AA6385"/>
    <w:rsid w:val="00AA6884"/>
    <w:rsid w:val="00AA7526"/>
    <w:rsid w:val="00AB02BF"/>
    <w:rsid w:val="00AB14A7"/>
    <w:rsid w:val="00AB3129"/>
    <w:rsid w:val="00AB45E6"/>
    <w:rsid w:val="00AB5838"/>
    <w:rsid w:val="00AC4DB2"/>
    <w:rsid w:val="00AC5539"/>
    <w:rsid w:val="00AD07B9"/>
    <w:rsid w:val="00AD335F"/>
    <w:rsid w:val="00AE0E07"/>
    <w:rsid w:val="00AE1732"/>
    <w:rsid w:val="00AE254E"/>
    <w:rsid w:val="00AE32D3"/>
    <w:rsid w:val="00AE4016"/>
    <w:rsid w:val="00AE488E"/>
    <w:rsid w:val="00AE7BAA"/>
    <w:rsid w:val="00AE7C24"/>
    <w:rsid w:val="00AF05BA"/>
    <w:rsid w:val="00AF23B7"/>
    <w:rsid w:val="00AF25B9"/>
    <w:rsid w:val="00AF2959"/>
    <w:rsid w:val="00AF3441"/>
    <w:rsid w:val="00AF4062"/>
    <w:rsid w:val="00AF5275"/>
    <w:rsid w:val="00AF55B0"/>
    <w:rsid w:val="00AF5817"/>
    <w:rsid w:val="00AF647B"/>
    <w:rsid w:val="00AF6985"/>
    <w:rsid w:val="00AF7FB7"/>
    <w:rsid w:val="00B00DA9"/>
    <w:rsid w:val="00B0241F"/>
    <w:rsid w:val="00B06F14"/>
    <w:rsid w:val="00B0700E"/>
    <w:rsid w:val="00B07CC4"/>
    <w:rsid w:val="00B10E7A"/>
    <w:rsid w:val="00B11E50"/>
    <w:rsid w:val="00B1234B"/>
    <w:rsid w:val="00B12AA5"/>
    <w:rsid w:val="00B135B8"/>
    <w:rsid w:val="00B13CEC"/>
    <w:rsid w:val="00B14E56"/>
    <w:rsid w:val="00B16557"/>
    <w:rsid w:val="00B20454"/>
    <w:rsid w:val="00B20AC5"/>
    <w:rsid w:val="00B23005"/>
    <w:rsid w:val="00B2474A"/>
    <w:rsid w:val="00B24C06"/>
    <w:rsid w:val="00B25809"/>
    <w:rsid w:val="00B26104"/>
    <w:rsid w:val="00B31265"/>
    <w:rsid w:val="00B31DBE"/>
    <w:rsid w:val="00B33B32"/>
    <w:rsid w:val="00B34A87"/>
    <w:rsid w:val="00B35373"/>
    <w:rsid w:val="00B3606E"/>
    <w:rsid w:val="00B36FC2"/>
    <w:rsid w:val="00B41E6C"/>
    <w:rsid w:val="00B43528"/>
    <w:rsid w:val="00B45E93"/>
    <w:rsid w:val="00B461F7"/>
    <w:rsid w:val="00B503AA"/>
    <w:rsid w:val="00B535DD"/>
    <w:rsid w:val="00B53EC6"/>
    <w:rsid w:val="00B54B34"/>
    <w:rsid w:val="00B55F40"/>
    <w:rsid w:val="00B56346"/>
    <w:rsid w:val="00B575FF"/>
    <w:rsid w:val="00B60649"/>
    <w:rsid w:val="00B60F20"/>
    <w:rsid w:val="00B616E7"/>
    <w:rsid w:val="00B64118"/>
    <w:rsid w:val="00B65C5A"/>
    <w:rsid w:val="00B65E56"/>
    <w:rsid w:val="00B6699A"/>
    <w:rsid w:val="00B712FF"/>
    <w:rsid w:val="00B71A1D"/>
    <w:rsid w:val="00B7745C"/>
    <w:rsid w:val="00B80517"/>
    <w:rsid w:val="00B8140E"/>
    <w:rsid w:val="00B81479"/>
    <w:rsid w:val="00B83494"/>
    <w:rsid w:val="00B83687"/>
    <w:rsid w:val="00B8422F"/>
    <w:rsid w:val="00B86B9C"/>
    <w:rsid w:val="00B93496"/>
    <w:rsid w:val="00B94323"/>
    <w:rsid w:val="00B9557C"/>
    <w:rsid w:val="00B96AD1"/>
    <w:rsid w:val="00B97102"/>
    <w:rsid w:val="00BA49B4"/>
    <w:rsid w:val="00BA5079"/>
    <w:rsid w:val="00BA56C5"/>
    <w:rsid w:val="00BB0925"/>
    <w:rsid w:val="00BB0D56"/>
    <w:rsid w:val="00BB1195"/>
    <w:rsid w:val="00BB2560"/>
    <w:rsid w:val="00BB299B"/>
    <w:rsid w:val="00BB403A"/>
    <w:rsid w:val="00BB6405"/>
    <w:rsid w:val="00BB69EB"/>
    <w:rsid w:val="00BC14AC"/>
    <w:rsid w:val="00BC2C34"/>
    <w:rsid w:val="00BC50F9"/>
    <w:rsid w:val="00BC5E97"/>
    <w:rsid w:val="00BC609A"/>
    <w:rsid w:val="00BC6FAA"/>
    <w:rsid w:val="00BD1B67"/>
    <w:rsid w:val="00BD23EE"/>
    <w:rsid w:val="00BD46EF"/>
    <w:rsid w:val="00BD6007"/>
    <w:rsid w:val="00BD616B"/>
    <w:rsid w:val="00BD65A0"/>
    <w:rsid w:val="00BD6F12"/>
    <w:rsid w:val="00BD6FB8"/>
    <w:rsid w:val="00BE0D75"/>
    <w:rsid w:val="00BE0F2A"/>
    <w:rsid w:val="00BE69CE"/>
    <w:rsid w:val="00BE6F65"/>
    <w:rsid w:val="00BE768F"/>
    <w:rsid w:val="00BF00B5"/>
    <w:rsid w:val="00BF0592"/>
    <w:rsid w:val="00BF0812"/>
    <w:rsid w:val="00BF1236"/>
    <w:rsid w:val="00BF2C96"/>
    <w:rsid w:val="00BF30DD"/>
    <w:rsid w:val="00BF3D29"/>
    <w:rsid w:val="00BF47B4"/>
    <w:rsid w:val="00BF4FF6"/>
    <w:rsid w:val="00BF5065"/>
    <w:rsid w:val="00BF5D49"/>
    <w:rsid w:val="00BF74E2"/>
    <w:rsid w:val="00C010CC"/>
    <w:rsid w:val="00C0189E"/>
    <w:rsid w:val="00C02A0E"/>
    <w:rsid w:val="00C045B7"/>
    <w:rsid w:val="00C06532"/>
    <w:rsid w:val="00C10DC2"/>
    <w:rsid w:val="00C111AA"/>
    <w:rsid w:val="00C1312D"/>
    <w:rsid w:val="00C14051"/>
    <w:rsid w:val="00C1497B"/>
    <w:rsid w:val="00C14E2D"/>
    <w:rsid w:val="00C16FEC"/>
    <w:rsid w:val="00C17DED"/>
    <w:rsid w:val="00C20978"/>
    <w:rsid w:val="00C2128A"/>
    <w:rsid w:val="00C21BF2"/>
    <w:rsid w:val="00C24A87"/>
    <w:rsid w:val="00C24BC8"/>
    <w:rsid w:val="00C2596D"/>
    <w:rsid w:val="00C2630F"/>
    <w:rsid w:val="00C27A99"/>
    <w:rsid w:val="00C27EBD"/>
    <w:rsid w:val="00C30DF2"/>
    <w:rsid w:val="00C30F9E"/>
    <w:rsid w:val="00C32998"/>
    <w:rsid w:val="00C32C3D"/>
    <w:rsid w:val="00C32DB4"/>
    <w:rsid w:val="00C33920"/>
    <w:rsid w:val="00C35A89"/>
    <w:rsid w:val="00C366CC"/>
    <w:rsid w:val="00C37122"/>
    <w:rsid w:val="00C3735B"/>
    <w:rsid w:val="00C4046E"/>
    <w:rsid w:val="00C428E7"/>
    <w:rsid w:val="00C42DBB"/>
    <w:rsid w:val="00C43C59"/>
    <w:rsid w:val="00C4506E"/>
    <w:rsid w:val="00C47DDE"/>
    <w:rsid w:val="00C51641"/>
    <w:rsid w:val="00C51673"/>
    <w:rsid w:val="00C52706"/>
    <w:rsid w:val="00C572B5"/>
    <w:rsid w:val="00C6439F"/>
    <w:rsid w:val="00C656A9"/>
    <w:rsid w:val="00C7217F"/>
    <w:rsid w:val="00C730C2"/>
    <w:rsid w:val="00C730EB"/>
    <w:rsid w:val="00C75EDB"/>
    <w:rsid w:val="00C859A8"/>
    <w:rsid w:val="00C87DC3"/>
    <w:rsid w:val="00C908C1"/>
    <w:rsid w:val="00C91960"/>
    <w:rsid w:val="00C94807"/>
    <w:rsid w:val="00C94CC4"/>
    <w:rsid w:val="00C95517"/>
    <w:rsid w:val="00C96B28"/>
    <w:rsid w:val="00C97971"/>
    <w:rsid w:val="00CA19C1"/>
    <w:rsid w:val="00CA29A5"/>
    <w:rsid w:val="00CB3782"/>
    <w:rsid w:val="00CB3D2D"/>
    <w:rsid w:val="00CB5CAF"/>
    <w:rsid w:val="00CB7292"/>
    <w:rsid w:val="00CB7D0A"/>
    <w:rsid w:val="00CC064C"/>
    <w:rsid w:val="00CC1129"/>
    <w:rsid w:val="00CC1C42"/>
    <w:rsid w:val="00CC4805"/>
    <w:rsid w:val="00CC4E76"/>
    <w:rsid w:val="00CC74E8"/>
    <w:rsid w:val="00CD2A2A"/>
    <w:rsid w:val="00CD3159"/>
    <w:rsid w:val="00CD4E6B"/>
    <w:rsid w:val="00CE0855"/>
    <w:rsid w:val="00CE3252"/>
    <w:rsid w:val="00CE38BD"/>
    <w:rsid w:val="00CE3FBE"/>
    <w:rsid w:val="00CE3FCF"/>
    <w:rsid w:val="00CE473C"/>
    <w:rsid w:val="00CE6795"/>
    <w:rsid w:val="00CE74E6"/>
    <w:rsid w:val="00CF00F9"/>
    <w:rsid w:val="00CF2235"/>
    <w:rsid w:val="00CF2A79"/>
    <w:rsid w:val="00CF35DC"/>
    <w:rsid w:val="00CF4200"/>
    <w:rsid w:val="00CF483D"/>
    <w:rsid w:val="00CF5C4C"/>
    <w:rsid w:val="00CF652C"/>
    <w:rsid w:val="00CF6FBB"/>
    <w:rsid w:val="00D0208D"/>
    <w:rsid w:val="00D02D46"/>
    <w:rsid w:val="00D02FD0"/>
    <w:rsid w:val="00D044D0"/>
    <w:rsid w:val="00D04E50"/>
    <w:rsid w:val="00D05B68"/>
    <w:rsid w:val="00D0614F"/>
    <w:rsid w:val="00D10BA7"/>
    <w:rsid w:val="00D11213"/>
    <w:rsid w:val="00D147C2"/>
    <w:rsid w:val="00D16C62"/>
    <w:rsid w:val="00D1708C"/>
    <w:rsid w:val="00D20535"/>
    <w:rsid w:val="00D20EA7"/>
    <w:rsid w:val="00D2249E"/>
    <w:rsid w:val="00D2264A"/>
    <w:rsid w:val="00D25F0C"/>
    <w:rsid w:val="00D26E3B"/>
    <w:rsid w:val="00D27EF9"/>
    <w:rsid w:val="00D3134D"/>
    <w:rsid w:val="00D35B47"/>
    <w:rsid w:val="00D36C02"/>
    <w:rsid w:val="00D40227"/>
    <w:rsid w:val="00D4173E"/>
    <w:rsid w:val="00D41A6E"/>
    <w:rsid w:val="00D441D3"/>
    <w:rsid w:val="00D45134"/>
    <w:rsid w:val="00D453A7"/>
    <w:rsid w:val="00D45DEE"/>
    <w:rsid w:val="00D507AA"/>
    <w:rsid w:val="00D50D09"/>
    <w:rsid w:val="00D51055"/>
    <w:rsid w:val="00D54FA7"/>
    <w:rsid w:val="00D5528F"/>
    <w:rsid w:val="00D55BFC"/>
    <w:rsid w:val="00D56722"/>
    <w:rsid w:val="00D56E3B"/>
    <w:rsid w:val="00D571EA"/>
    <w:rsid w:val="00D576A3"/>
    <w:rsid w:val="00D57759"/>
    <w:rsid w:val="00D63E87"/>
    <w:rsid w:val="00D64CDC"/>
    <w:rsid w:val="00D67023"/>
    <w:rsid w:val="00D67D1F"/>
    <w:rsid w:val="00D715BE"/>
    <w:rsid w:val="00D73FF2"/>
    <w:rsid w:val="00D74C2B"/>
    <w:rsid w:val="00D76131"/>
    <w:rsid w:val="00D769C1"/>
    <w:rsid w:val="00D81788"/>
    <w:rsid w:val="00D818BA"/>
    <w:rsid w:val="00D81F87"/>
    <w:rsid w:val="00D833EB"/>
    <w:rsid w:val="00D8525E"/>
    <w:rsid w:val="00D85FF3"/>
    <w:rsid w:val="00D908D0"/>
    <w:rsid w:val="00D91334"/>
    <w:rsid w:val="00D91E3E"/>
    <w:rsid w:val="00D95213"/>
    <w:rsid w:val="00D9742E"/>
    <w:rsid w:val="00DA6277"/>
    <w:rsid w:val="00DA68FE"/>
    <w:rsid w:val="00DA7F15"/>
    <w:rsid w:val="00DB3FE8"/>
    <w:rsid w:val="00DB4DE0"/>
    <w:rsid w:val="00DC019A"/>
    <w:rsid w:val="00DC021B"/>
    <w:rsid w:val="00DC17C9"/>
    <w:rsid w:val="00DC3605"/>
    <w:rsid w:val="00DC3D19"/>
    <w:rsid w:val="00DC4E4F"/>
    <w:rsid w:val="00DC5DEA"/>
    <w:rsid w:val="00DD295F"/>
    <w:rsid w:val="00DE461B"/>
    <w:rsid w:val="00DE497A"/>
    <w:rsid w:val="00DE5A41"/>
    <w:rsid w:val="00DE6AFA"/>
    <w:rsid w:val="00DF079C"/>
    <w:rsid w:val="00DF08A9"/>
    <w:rsid w:val="00DF2EF6"/>
    <w:rsid w:val="00DF5D5C"/>
    <w:rsid w:val="00DF7A48"/>
    <w:rsid w:val="00DF7D16"/>
    <w:rsid w:val="00E0210E"/>
    <w:rsid w:val="00E026A6"/>
    <w:rsid w:val="00E03412"/>
    <w:rsid w:val="00E04E86"/>
    <w:rsid w:val="00E06279"/>
    <w:rsid w:val="00E062AA"/>
    <w:rsid w:val="00E072FE"/>
    <w:rsid w:val="00E07B76"/>
    <w:rsid w:val="00E10057"/>
    <w:rsid w:val="00E12189"/>
    <w:rsid w:val="00E14178"/>
    <w:rsid w:val="00E1466B"/>
    <w:rsid w:val="00E17FF5"/>
    <w:rsid w:val="00E227BF"/>
    <w:rsid w:val="00E24B3E"/>
    <w:rsid w:val="00E265FB"/>
    <w:rsid w:val="00E26CF0"/>
    <w:rsid w:val="00E31F1B"/>
    <w:rsid w:val="00E32613"/>
    <w:rsid w:val="00E32DAB"/>
    <w:rsid w:val="00E32DB0"/>
    <w:rsid w:val="00E32E8B"/>
    <w:rsid w:val="00E3396E"/>
    <w:rsid w:val="00E366EB"/>
    <w:rsid w:val="00E379AE"/>
    <w:rsid w:val="00E37B7D"/>
    <w:rsid w:val="00E402AA"/>
    <w:rsid w:val="00E41D33"/>
    <w:rsid w:val="00E46737"/>
    <w:rsid w:val="00E50C76"/>
    <w:rsid w:val="00E50F6D"/>
    <w:rsid w:val="00E5329C"/>
    <w:rsid w:val="00E542AF"/>
    <w:rsid w:val="00E5459B"/>
    <w:rsid w:val="00E54D8C"/>
    <w:rsid w:val="00E54F2D"/>
    <w:rsid w:val="00E6104F"/>
    <w:rsid w:val="00E617AE"/>
    <w:rsid w:val="00E619F6"/>
    <w:rsid w:val="00E662F1"/>
    <w:rsid w:val="00E67D0B"/>
    <w:rsid w:val="00E70454"/>
    <w:rsid w:val="00E70DF1"/>
    <w:rsid w:val="00E71852"/>
    <w:rsid w:val="00E7321C"/>
    <w:rsid w:val="00E7404C"/>
    <w:rsid w:val="00E80361"/>
    <w:rsid w:val="00E81046"/>
    <w:rsid w:val="00E81677"/>
    <w:rsid w:val="00E81CBB"/>
    <w:rsid w:val="00E84FBB"/>
    <w:rsid w:val="00E877C5"/>
    <w:rsid w:val="00E9408D"/>
    <w:rsid w:val="00E94437"/>
    <w:rsid w:val="00E94E73"/>
    <w:rsid w:val="00E97717"/>
    <w:rsid w:val="00EA03EE"/>
    <w:rsid w:val="00EA1154"/>
    <w:rsid w:val="00EA2233"/>
    <w:rsid w:val="00EA42FF"/>
    <w:rsid w:val="00EA6908"/>
    <w:rsid w:val="00EA697B"/>
    <w:rsid w:val="00EA6CD4"/>
    <w:rsid w:val="00EB267C"/>
    <w:rsid w:val="00EB35C7"/>
    <w:rsid w:val="00EB5E25"/>
    <w:rsid w:val="00EC0E6E"/>
    <w:rsid w:val="00EC1190"/>
    <w:rsid w:val="00EC2B3B"/>
    <w:rsid w:val="00EC5217"/>
    <w:rsid w:val="00EC540F"/>
    <w:rsid w:val="00EC5A00"/>
    <w:rsid w:val="00EC612D"/>
    <w:rsid w:val="00ED118F"/>
    <w:rsid w:val="00ED1417"/>
    <w:rsid w:val="00ED1A42"/>
    <w:rsid w:val="00EE1C89"/>
    <w:rsid w:val="00EE2601"/>
    <w:rsid w:val="00EE2728"/>
    <w:rsid w:val="00EE44FB"/>
    <w:rsid w:val="00EE496F"/>
    <w:rsid w:val="00EE5E4A"/>
    <w:rsid w:val="00EE791D"/>
    <w:rsid w:val="00EE7D61"/>
    <w:rsid w:val="00EF06B8"/>
    <w:rsid w:val="00EF09C5"/>
    <w:rsid w:val="00EF1CA3"/>
    <w:rsid w:val="00EF1E93"/>
    <w:rsid w:val="00EF1E94"/>
    <w:rsid w:val="00EF3AC7"/>
    <w:rsid w:val="00EF67BF"/>
    <w:rsid w:val="00F00A00"/>
    <w:rsid w:val="00F00E43"/>
    <w:rsid w:val="00F01A4B"/>
    <w:rsid w:val="00F032CC"/>
    <w:rsid w:val="00F03C64"/>
    <w:rsid w:val="00F0551F"/>
    <w:rsid w:val="00F06214"/>
    <w:rsid w:val="00F0786C"/>
    <w:rsid w:val="00F10CB3"/>
    <w:rsid w:val="00F171EB"/>
    <w:rsid w:val="00F176C4"/>
    <w:rsid w:val="00F21399"/>
    <w:rsid w:val="00F23F3D"/>
    <w:rsid w:val="00F2530F"/>
    <w:rsid w:val="00F25E66"/>
    <w:rsid w:val="00F3249B"/>
    <w:rsid w:val="00F3262A"/>
    <w:rsid w:val="00F32A02"/>
    <w:rsid w:val="00F33FAD"/>
    <w:rsid w:val="00F34E5D"/>
    <w:rsid w:val="00F354E5"/>
    <w:rsid w:val="00F36B10"/>
    <w:rsid w:val="00F36C8C"/>
    <w:rsid w:val="00F40ABC"/>
    <w:rsid w:val="00F424F8"/>
    <w:rsid w:val="00F4314E"/>
    <w:rsid w:val="00F451C9"/>
    <w:rsid w:val="00F50164"/>
    <w:rsid w:val="00F50408"/>
    <w:rsid w:val="00F504C4"/>
    <w:rsid w:val="00F505C2"/>
    <w:rsid w:val="00F50D30"/>
    <w:rsid w:val="00F51A8D"/>
    <w:rsid w:val="00F53638"/>
    <w:rsid w:val="00F54A22"/>
    <w:rsid w:val="00F55704"/>
    <w:rsid w:val="00F56F99"/>
    <w:rsid w:val="00F577FD"/>
    <w:rsid w:val="00F57B3C"/>
    <w:rsid w:val="00F6358C"/>
    <w:rsid w:val="00F63E30"/>
    <w:rsid w:val="00F645D7"/>
    <w:rsid w:val="00F64E20"/>
    <w:rsid w:val="00F70B1E"/>
    <w:rsid w:val="00F742B1"/>
    <w:rsid w:val="00F7479A"/>
    <w:rsid w:val="00F764B0"/>
    <w:rsid w:val="00F76BC5"/>
    <w:rsid w:val="00F7731D"/>
    <w:rsid w:val="00F80738"/>
    <w:rsid w:val="00F82AE4"/>
    <w:rsid w:val="00F8310D"/>
    <w:rsid w:val="00F837DA"/>
    <w:rsid w:val="00F851D2"/>
    <w:rsid w:val="00F851DD"/>
    <w:rsid w:val="00F858F8"/>
    <w:rsid w:val="00F86637"/>
    <w:rsid w:val="00F86FBC"/>
    <w:rsid w:val="00F8738F"/>
    <w:rsid w:val="00F90016"/>
    <w:rsid w:val="00F912B5"/>
    <w:rsid w:val="00F92DEE"/>
    <w:rsid w:val="00F951A7"/>
    <w:rsid w:val="00F9556D"/>
    <w:rsid w:val="00F96E40"/>
    <w:rsid w:val="00F97407"/>
    <w:rsid w:val="00FA22FA"/>
    <w:rsid w:val="00FA2962"/>
    <w:rsid w:val="00FA3988"/>
    <w:rsid w:val="00FA3EE5"/>
    <w:rsid w:val="00FA3FAA"/>
    <w:rsid w:val="00FB0638"/>
    <w:rsid w:val="00FB06A8"/>
    <w:rsid w:val="00FB0C3A"/>
    <w:rsid w:val="00FB287A"/>
    <w:rsid w:val="00FB5340"/>
    <w:rsid w:val="00FC0D87"/>
    <w:rsid w:val="00FC19A4"/>
    <w:rsid w:val="00FC4A4A"/>
    <w:rsid w:val="00FC5C89"/>
    <w:rsid w:val="00FC6497"/>
    <w:rsid w:val="00FC6DAF"/>
    <w:rsid w:val="00FD2414"/>
    <w:rsid w:val="00FD2F68"/>
    <w:rsid w:val="00FD44BF"/>
    <w:rsid w:val="00FD49FB"/>
    <w:rsid w:val="00FD5B3C"/>
    <w:rsid w:val="00FD5EBC"/>
    <w:rsid w:val="00FD6894"/>
    <w:rsid w:val="00FD74A7"/>
    <w:rsid w:val="00FE169A"/>
    <w:rsid w:val="00FE1756"/>
    <w:rsid w:val="00FE2813"/>
    <w:rsid w:val="00FE3FE3"/>
    <w:rsid w:val="00FE4E63"/>
    <w:rsid w:val="00FE5FF4"/>
    <w:rsid w:val="00FF0511"/>
    <w:rsid w:val="00FF1F54"/>
    <w:rsid w:val="00FF2053"/>
    <w:rsid w:val="00FF268F"/>
    <w:rsid w:val="00FF32AB"/>
    <w:rsid w:val="00FF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B9FABE-6E38-4C93-A3CE-B447A79C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167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516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Footer">
    <w:name w:val="footer"/>
    <w:basedOn w:val="Normal"/>
    <w:link w:val="FooterChar"/>
    <w:uiPriority w:val="99"/>
    <w:rsid w:val="00C51673"/>
    <w:pPr>
      <w:tabs>
        <w:tab w:val="center" w:pos="4536"/>
        <w:tab w:val="right" w:pos="9072"/>
      </w:tabs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51673"/>
    <w:rPr>
      <w:rFonts w:ascii="Cambria" w:eastAsia="Cambria" w:hAnsi="Cambria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C51673"/>
  </w:style>
  <w:style w:type="paragraph" w:styleId="Header">
    <w:name w:val="header"/>
    <w:basedOn w:val="Normal"/>
    <w:link w:val="HeaderChar"/>
    <w:uiPriority w:val="99"/>
    <w:unhideWhenUsed/>
    <w:rsid w:val="00C516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C51673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styleId="TableGrid">
    <w:name w:val="Table Grid"/>
    <w:basedOn w:val="TableNormal"/>
    <w:uiPriority w:val="39"/>
    <w:rsid w:val="00C51673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">
    <w:name w:val="Grid Table 3"/>
    <w:basedOn w:val="TableNormal"/>
    <w:uiPriority w:val="48"/>
    <w:rsid w:val="00C51673"/>
    <w:pPr>
      <w:spacing w:after="0" w:line="240" w:lineRule="auto"/>
    </w:pPr>
    <w:rPr>
      <w:sz w:val="24"/>
      <w:szCs w:val="24"/>
      <w:lang w:val="de-D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lainTable4">
    <w:name w:val="Plain Table 4"/>
    <w:basedOn w:val="TableNormal"/>
    <w:uiPriority w:val="44"/>
    <w:rsid w:val="00C51673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2321</Words>
  <Characters>13230</Characters>
  <Application>Microsoft Office Word</Application>
  <DocSecurity>0</DocSecurity>
  <Lines>110</Lines>
  <Paragraphs>31</Paragraphs>
  <ScaleCrop>false</ScaleCrop>
  <Company>HP Inc.</Company>
  <LinksUpToDate>false</LinksUpToDate>
  <CharactersWithSpaces>15520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G</dc:creator>
  <cp:keywords/>
  <dc:description/>
  <cp:lastModifiedBy>Lavanya G</cp:lastModifiedBy>
  <cp:revision>2</cp:revision>
  <dcterms:created xsi:type="dcterms:W3CDTF">2025-04-27T02:28:00Z</dcterms:created>
  <dcterms:modified xsi:type="dcterms:W3CDTF">2025-04-27T02:28:00Z</dcterms:modified>
</cp:coreProperties>
</file>