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596" w:type="dxa"/>
        <w:tblLook w:val="04A0" w:firstRow="1" w:lastRow="0" w:firstColumn="1" w:lastColumn="0" w:noHBand="0" w:noVBand="1"/>
      </w:tblPr>
      <w:tblGrid>
        <w:gridCol w:w="5382"/>
        <w:gridCol w:w="3260"/>
        <w:gridCol w:w="2693"/>
        <w:gridCol w:w="3261"/>
      </w:tblGrid>
      <w:tr w:rsidR="00AB5F3B" w:rsidTr="00CA1837">
        <w:tc>
          <w:tcPr>
            <w:tcW w:w="5382" w:type="dxa"/>
          </w:tcPr>
          <w:p w:rsidR="00AB5F3B" w:rsidRPr="00AB5F3B" w:rsidRDefault="00AB5F3B">
            <w:pPr>
              <w:rPr>
                <w:b/>
              </w:rPr>
            </w:pPr>
            <w:r w:rsidRPr="00AB5F3B">
              <w:rPr>
                <w:b/>
              </w:rPr>
              <w:t>Study</w:t>
            </w:r>
          </w:p>
        </w:tc>
        <w:tc>
          <w:tcPr>
            <w:tcW w:w="3260" w:type="dxa"/>
          </w:tcPr>
          <w:p w:rsidR="00AB5F3B" w:rsidRPr="00AB5F3B" w:rsidRDefault="00AB5F3B" w:rsidP="00CA1837">
            <w:pPr>
              <w:jc w:val="center"/>
              <w:rPr>
                <w:b/>
              </w:rPr>
            </w:pPr>
            <w:r>
              <w:rPr>
                <w:b/>
              </w:rPr>
              <w:t>Procedure</w:t>
            </w:r>
          </w:p>
        </w:tc>
        <w:tc>
          <w:tcPr>
            <w:tcW w:w="2693" w:type="dxa"/>
          </w:tcPr>
          <w:p w:rsidR="00AB5F3B" w:rsidRPr="00AB5F3B" w:rsidRDefault="00AB5F3B" w:rsidP="00CA1837">
            <w:pPr>
              <w:jc w:val="center"/>
              <w:rPr>
                <w:b/>
              </w:rPr>
            </w:pPr>
            <w:r w:rsidRPr="00AB5F3B">
              <w:rPr>
                <w:b/>
              </w:rPr>
              <w:t>Number of patients</w:t>
            </w:r>
          </w:p>
        </w:tc>
        <w:tc>
          <w:tcPr>
            <w:tcW w:w="3261" w:type="dxa"/>
          </w:tcPr>
          <w:p w:rsidR="00AB5F3B" w:rsidRPr="00AB5F3B" w:rsidRDefault="00AB5F3B" w:rsidP="00CA1837">
            <w:pPr>
              <w:jc w:val="center"/>
              <w:rPr>
                <w:b/>
              </w:rPr>
            </w:pPr>
            <w:r w:rsidRPr="00AB5F3B">
              <w:rPr>
                <w:b/>
              </w:rPr>
              <w:t>Incidence of severe PPM</w:t>
            </w:r>
          </w:p>
        </w:tc>
      </w:tr>
      <w:tr w:rsidR="007C7423" w:rsidTr="00CA1837">
        <w:tc>
          <w:tcPr>
            <w:tcW w:w="5382" w:type="dxa"/>
          </w:tcPr>
          <w:p w:rsidR="007C7423" w:rsidRPr="003057DD" w:rsidRDefault="007C7423" w:rsidP="007C7423">
            <w:pPr>
              <w:rPr>
                <w:lang w:val="en-US"/>
              </w:rPr>
            </w:pPr>
            <w:proofErr w:type="spellStart"/>
            <w:r w:rsidRPr="003057DD">
              <w:rPr>
                <w:lang w:val="en-US"/>
              </w:rPr>
              <w:t>Pibarot</w:t>
            </w:r>
            <w:proofErr w:type="spellEnd"/>
            <w:r w:rsidRPr="003057DD">
              <w:rPr>
                <w:lang w:val="en-US"/>
              </w:rPr>
              <w:t xml:space="preserve"> et al, 2014</w:t>
            </w:r>
            <w:r w:rsidR="006A663F">
              <w:rPr>
                <w:lang w:val="en-US"/>
              </w:rPr>
              <w:t xml:space="preserve"> </w:t>
            </w:r>
            <w:r w:rsidR="006A663F">
              <w:rPr>
                <w:lang w:val="en-US"/>
              </w:rPr>
              <w:fldChar w:fldCharType="begin"/>
            </w:r>
            <w:r w:rsidR="006A663F">
              <w:rPr>
                <w:lang w:val="en-US"/>
              </w:rPr>
              <w:instrText xml:space="preserve"> ADDIN ZOTERO_ITEM CSL_CITATION {"citationID":"yNPZHYBs","properties":{"formattedCitation":"[1]","plainCitation":"[1]","noteIndex":0},"citationItems":[{"id":1479,"uris":["http://zotero.org/users/3642156/items/L5VPV927"],"itemData":{"id":1479,"type":"article-journal","abstract":"BACKGROUND: Little is known about the incidence of prosthesis-patient mismatch (PPM) and its impact on outcomes after transcatheter aortic valve replacement (TAVR).\nOBJECTIVES: The objectives of this study were: 1) to compare the incidence of PPM in the TAVR and surgical aortic valve replacement (SAVR) randomized control trial (RCT) arms of the PARTNER (Placement of AoRTic TraNscathetER Valves) I Trial cohort A; and 2) to assess the impact of PPM on regression of left ventricular (LV) hypertrophy and mortality in these 2 arms and in the TAVR nonrandomized continued access (NRCA) registry cohort.\nMETHODS: The PARTNER Trial cohort A randomized patients 1:1 to TAVR or bioprosthetic SAVR. Postoperative PPM was defined as absent if the indexed effective orifice area (EOA) was &gt;0.85 cm(2)/m(2), moderate if the indexed EOA was ≥0.65 but ≤0.85 cm(2)/m(2), or severe if the indexed EOA was &lt;0.65 cm(2)/m(2). LV mass regression and mortality were analyzed using the SAVR-RCT (n = 270), TAVR-RCT (n = 304), and TAVR-NRCA (n = 1,637) cohorts.\nRESULTS: The incidence of PPM was 60.0% (severe: 28.1%) in the SAVR-RCT cohort versus 46.4% (severe: 19.7%) in the TAVR-RCT cohort (p &lt; 0.001) and 43.8% (severe: 13.6%) in the TAVR-NRCA cohort. In patients with an aortic annulus diameter &lt;20 mm, severe PPM developed in 33.7% undergoing SAVR compared with 19.0% undergoing TAVR (p = 0.002). PPM was an independent predictor of less LV mass regression at 1 year in the SAVR-RCT (p = 0.017) and TAVR-NRCA (p = 0.012) cohorts but not in the TAVR-RCT cohort (p = 0.35). Severe PPM was an independent predictor of 2-year mortality in the SAVR-RCT cohort (hazard ratio [HR]: 1.78; p = 0.041) but not in the TAVR-RCT cohort (HR: 0.58; p = 0.11). In the TAVR-NRCA cohort, severe PPM was not a predictor of 1-year mortality in all patients (HR: 1.05; p = 0.60) but did independently predict mortality in the subset of patients with no post-procedural aortic regurgitation (HR: 1.88; p = 0.02).\nCONCLUSIONS: In patients with severe aortic stenosis and high surgical risk, PPM is more frequent and more often severe after SAVR than TAVR. Patients with PPM after SAVR have worse survival and less LV mass regression than those without PPM. Severe PPM also has a significant impact on survival after TAVR in the subset of patients with no post-procedural aortic regurgitation. TAVR may be preferable to SAVR in patients with a small aortic annulus who are susceptible to PPM to avoid its adverse impact on LV mass regression and survival. (The PARTNER Trial: Placement of AoRTic TraNscathetER Valve Trial; NCT00530894).","container-title":"Journal of the American College of Cardiology","DOI":"10.1016/j.jacc.2014.06.1195","ISSN":"1558-3597","issue":"13","journalAbbreviation":"J Am Coll Cardiol","language":"eng","note":"PMID: 25257633\nPMCID: PMC4237285","page":"1323-1334","source":"PubMed","title":"Incidence and sequelae of prosthesis-patient mismatch in transcatheter versus surgical valve replacement in high-risk patients with severe aortic stenosis: a PARTNER trial cohort--a analysis","title-short":"Incidence and sequelae of prosthesis-patient mismatch in transcatheter versus surgical valve replacement in high-risk patients with severe aortic stenosis","volume":"64","author":[{"family":"Pibarot","given":"Philippe"},{"family":"Weissman","given":"Neil J."},{"family":"Stewart","given":"William J."},{"family":"Hahn","given":"Rebecca T."},{"family":"Lindman","given":"Brian R."},{"family":"McAndrew","given":"Thomas"},{"family":"Kodali","given":"Susheel K."},{"family":"Mack","given":"Michael J."},{"family":"Thourani","given":"Vinod H."},{"family":"Miller","given":"D. Craig"},{"family":"Svensson","given":"Lars G."},{"family":"Herrmann","given":"Howard C."},{"family":"Smith","given":"Craig R."},{"family":"Rodés-Cabau","given":"Josep"},{"family":"Webb","given":"John"},{"family":"Lim","given":"Scott"},{"family":"Xu","given":"Ke"},{"family":"Hueter","given":"Irene"},{"family":"Douglas","given":"Pamela S."},{"family":"Leon","given":"Martin B."}],"issued":{"date-parts":[["2014",9,30]]}}}],"schema":"https://github.com/citation-style-language/schema/raw/master/csl-citation.json"} </w:instrText>
            </w:r>
            <w:r w:rsidR="006A663F">
              <w:rPr>
                <w:lang w:val="en-US"/>
              </w:rPr>
              <w:fldChar w:fldCharType="separate"/>
            </w:r>
            <w:r w:rsidR="006A663F">
              <w:rPr>
                <w:noProof/>
                <w:lang w:val="en-US"/>
              </w:rPr>
              <w:t>[1]</w:t>
            </w:r>
            <w:r w:rsidR="006A663F">
              <w:rPr>
                <w:lang w:val="en-US"/>
              </w:rPr>
              <w:fldChar w:fldCharType="end"/>
            </w:r>
          </w:p>
          <w:p w:rsidR="007C7423" w:rsidRPr="003057DD" w:rsidRDefault="007C7423" w:rsidP="007C7423">
            <w:pPr>
              <w:rPr>
                <w:lang w:val="en-US"/>
              </w:rPr>
            </w:pPr>
          </w:p>
        </w:tc>
        <w:tc>
          <w:tcPr>
            <w:tcW w:w="3260" w:type="dxa"/>
          </w:tcPr>
          <w:p w:rsidR="007C7423" w:rsidRDefault="007C7423" w:rsidP="007C7423">
            <w:pPr>
              <w:jc w:val="center"/>
            </w:pPr>
            <w:r>
              <w:t>Surgical valve replacement</w:t>
            </w:r>
          </w:p>
          <w:p w:rsidR="007C7423" w:rsidRDefault="007C7423" w:rsidP="007C7423">
            <w:pPr>
              <w:jc w:val="center"/>
            </w:pPr>
          </w:p>
          <w:p w:rsidR="007C7423" w:rsidRDefault="007C7423" w:rsidP="007C7423">
            <w:pPr>
              <w:jc w:val="center"/>
            </w:pPr>
            <w:r>
              <w:t>TAVI</w:t>
            </w:r>
          </w:p>
        </w:tc>
        <w:tc>
          <w:tcPr>
            <w:tcW w:w="2693" w:type="dxa"/>
          </w:tcPr>
          <w:p w:rsidR="007C7423" w:rsidRDefault="007C7423" w:rsidP="007C7423">
            <w:pPr>
              <w:jc w:val="center"/>
            </w:pPr>
            <w:r>
              <w:t>270</w:t>
            </w:r>
          </w:p>
          <w:p w:rsidR="007C7423" w:rsidRDefault="007C7423" w:rsidP="007C7423">
            <w:pPr>
              <w:jc w:val="center"/>
            </w:pPr>
          </w:p>
          <w:p w:rsidR="007C7423" w:rsidRDefault="007C7423" w:rsidP="007C7423">
            <w:pPr>
              <w:jc w:val="center"/>
            </w:pPr>
            <w:r>
              <w:t>304 and 1.637</w:t>
            </w:r>
          </w:p>
        </w:tc>
        <w:tc>
          <w:tcPr>
            <w:tcW w:w="3261" w:type="dxa"/>
          </w:tcPr>
          <w:p w:rsidR="007C7423" w:rsidRDefault="007C7423" w:rsidP="007C7423">
            <w:pPr>
              <w:jc w:val="center"/>
            </w:pPr>
            <w:r>
              <w:t>28.1%</w:t>
            </w:r>
          </w:p>
          <w:p w:rsidR="007C7423" w:rsidRDefault="007C7423" w:rsidP="007C7423">
            <w:pPr>
              <w:jc w:val="center"/>
            </w:pPr>
          </w:p>
          <w:p w:rsidR="007C7423" w:rsidRDefault="007C7423" w:rsidP="007C7423">
            <w:pPr>
              <w:jc w:val="center"/>
            </w:pPr>
            <w:r>
              <w:t>19.7% and 13.6%</w:t>
            </w:r>
          </w:p>
          <w:p w:rsidR="00EB74F9" w:rsidRDefault="00EB74F9" w:rsidP="007C7423">
            <w:pPr>
              <w:jc w:val="center"/>
            </w:pPr>
          </w:p>
        </w:tc>
      </w:tr>
      <w:tr w:rsidR="007C7423" w:rsidTr="00CA1837">
        <w:tc>
          <w:tcPr>
            <w:tcW w:w="5382" w:type="dxa"/>
          </w:tcPr>
          <w:p w:rsidR="007C7423" w:rsidRPr="003057DD" w:rsidRDefault="007C7423" w:rsidP="007C7423">
            <w:pPr>
              <w:rPr>
                <w:lang w:val="en-US"/>
              </w:rPr>
            </w:pPr>
            <w:proofErr w:type="spellStart"/>
            <w:r w:rsidRPr="003057DD">
              <w:rPr>
                <w:lang w:val="en-US"/>
              </w:rPr>
              <w:t>Thyregod</w:t>
            </w:r>
            <w:proofErr w:type="spellEnd"/>
            <w:r w:rsidRPr="003057DD">
              <w:rPr>
                <w:lang w:val="en-US"/>
              </w:rPr>
              <w:t xml:space="preserve"> et al</w:t>
            </w:r>
            <w:r w:rsidR="006A663F">
              <w:rPr>
                <w:lang w:val="en-US"/>
              </w:rPr>
              <w:t>,</w:t>
            </w:r>
            <w:r w:rsidRPr="003057DD">
              <w:rPr>
                <w:lang w:val="en-US"/>
              </w:rPr>
              <w:t xml:space="preserve"> 2016</w:t>
            </w:r>
            <w:r w:rsidR="006A663F">
              <w:rPr>
                <w:lang w:val="en-US"/>
              </w:rPr>
              <w:t xml:space="preserve"> </w:t>
            </w:r>
            <w:r w:rsidR="006A663F">
              <w:rPr>
                <w:lang w:val="en-US"/>
              </w:rPr>
              <w:fldChar w:fldCharType="begin"/>
            </w:r>
            <w:r w:rsidR="006A663F">
              <w:rPr>
                <w:lang w:val="en-US"/>
              </w:rPr>
              <w:instrText xml:space="preserve"> ADDIN ZOTERO_ITEM CSL_CITATION {"citationID":"FucLWonW","properties":{"formattedCitation":"[2]","plainCitation":"[2]","noteIndex":0},"citationItems":[{"id":1482,"uris":["http://zotero.org/users/3642156/items/D5DERSMZ"],"itemData":{"id":1482,"type":"article-journal","abstract":"OBJECTIVES: Prosthesis-patient mismatch (PPM) after surgical aortic valve replacement (SAVR) for severe aortic valve stenosis (AVS) is common, but less common after transcatheter aortic valve replacement (TAVR) in patients considered at high risk for death after surgery. The objectives of this study were to determine incidence and clinical effect of PPM after SAVR and TAVR in a primarily low-risk patient group.\nMETHODS: Patients 70 years or older with severe isolated AVS, regardless of predicted operative mortality risk, were consecutively randomized 1:1 to TAVR using a self-expandable bioprosthesis (n = 145) or SAVR (n = 135). Post-procedure PPM was graded after 3 months as follows: Not present-mild, if indexed effective orifice area (iEOA) &gt;0.85 cm2/m2, moderate, if 0.65 cm2/m2 &lt; iEOA ≤ 0.85 cm2/m2 and severe, if iEOA ≤0.65 cm2/m2. Outcomes were major adverse cardiac and cerebrovascular events (MACCE, e.g. composite rate of all-cause death, stroke, myocardial infarction or valve reintervention), cardiac-related hospitalizations and New York Heart Association (NYHA) functional class after 2 years.\nRESULTS: The incidence and the severity of PPM were significantly lower after TAVR compared with SAVR (severe, moderate, none-mild 14.0, 35.5, 50.4 vs 33.9, 36.7, 29.4%; P&lt;0.001). PPM resulted in similar higher mean valve gradients at 3 months for both groups. Baseline characteristics related to severe PPM were younger age, absence of diabetes mellitus, lower mortality-risk score for TAVR, and younger age and higher body mass index for SAVR. At 2 years, there were numerical but no statistically significant differences between both TAVR and SAVR patients with severe and no severe PPM for MACCE (0.0 vs 12.8% for TAVR; P = 0.13, and 13.5 vs 7.0% for SAVR; P = 0.27), number of cardiac-related hospitalizations (mean ± standard deviation 0.4 ± 0.6 vs 0.6 ± 0.8; P = 0.23, and 0.4 ± 0.8 vs 0.5 ± 0.9; P = 0.70) and NYHA functional class (Class I/II/III/IV: 64.7/29.4/5.9/0.0 vs 62.1/34.7/3.2/0.0%, respectively; P = 0.91, and 71.4/25.7/2.9/0.0 vs 72.9/22.9/4.3/0.0%, respectively; P = 0.92).\nCONCLUSIONS: The incidence of PPM was lower and less severe after TAVR compared with SAVR in intermediate- and low-risk patients with severe AVS. There were no significant differences in MACCE, cardiac-related hospitalizations or NYHA class after 2 years for patients with versus those without severe PPM.","container-title":"European Journal of Cardio-Thoracic Surgery: Official Journal of the European Association for Cardio-Thoracic Surgery","DOI":"10.1093/ejcts/ezw095","ISSN":"1873-734X","issue":"4","journalAbbreviation":"Eur J Cardiothorac Surg","language":"eng","note":"PMID: 27005980","page":"721-728","source":"PubMed","title":"No clinical effect of prosthesis-patient mismatch after transcatheter versus surgical aortic valve replacement in intermediate- and low-risk patients with severe aortic valve stenosis at mid-term follow-up: an analysis from the NOTION trial","title-short":"No clinical effect of prosthesis-patient mismatch after transcatheter versus surgical aortic valve replacement in intermediate- and low-risk patients with severe aortic valve stenosis at mid-term follow-up","volume":"50","author":[{"family":"Thyregod","given":"Hans Gustav Hørsted"},{"family":"Steinbrüchel","given":"Daniel Andreas"},{"family":"Ihlemann","given":"Nikolaj"},{"family":"Ngo","given":"Thuc Anh"},{"family":"Nissen","given":"Henrik"},{"family":"Kjeldsen","given":"Bo Juel"},{"family":"Chang","given":"Yanping"},{"family":"Hansen","given":"Peter Bo"},{"family":"Olsen","given":"Peter Skov"},{"family":"Søndergaard","given":"Lars"}],"issued":{"date-parts":[["2016",10]]}}}],"schema":"https://github.com/citation-style-language/schema/raw/master/csl-citation.json"} </w:instrText>
            </w:r>
            <w:r w:rsidR="006A663F">
              <w:rPr>
                <w:lang w:val="en-US"/>
              </w:rPr>
              <w:fldChar w:fldCharType="separate"/>
            </w:r>
            <w:r w:rsidR="006A663F">
              <w:rPr>
                <w:noProof/>
                <w:lang w:val="en-US"/>
              </w:rPr>
              <w:t>[2]</w:t>
            </w:r>
            <w:r w:rsidR="006A663F">
              <w:rPr>
                <w:lang w:val="en-US"/>
              </w:rPr>
              <w:fldChar w:fldCharType="end"/>
            </w:r>
          </w:p>
          <w:p w:rsidR="007C7423" w:rsidRPr="003057DD" w:rsidRDefault="007C7423" w:rsidP="007C7423">
            <w:pPr>
              <w:rPr>
                <w:lang w:val="en-US"/>
              </w:rPr>
            </w:pPr>
          </w:p>
        </w:tc>
        <w:tc>
          <w:tcPr>
            <w:tcW w:w="3260" w:type="dxa"/>
          </w:tcPr>
          <w:p w:rsidR="007C7423" w:rsidRDefault="007C7423" w:rsidP="007C7423">
            <w:pPr>
              <w:jc w:val="center"/>
            </w:pPr>
            <w:r>
              <w:t>Surgical valve replacement</w:t>
            </w:r>
          </w:p>
          <w:p w:rsidR="007C7423" w:rsidRDefault="007C7423" w:rsidP="007C7423">
            <w:pPr>
              <w:jc w:val="center"/>
            </w:pPr>
          </w:p>
          <w:p w:rsidR="007C7423" w:rsidRDefault="007C7423" w:rsidP="007C7423">
            <w:pPr>
              <w:jc w:val="center"/>
            </w:pPr>
            <w:r>
              <w:t>TAVI</w:t>
            </w:r>
          </w:p>
        </w:tc>
        <w:tc>
          <w:tcPr>
            <w:tcW w:w="2693" w:type="dxa"/>
          </w:tcPr>
          <w:p w:rsidR="007C7423" w:rsidRDefault="007C7423" w:rsidP="007C7423">
            <w:pPr>
              <w:jc w:val="center"/>
            </w:pPr>
            <w:r>
              <w:t>135</w:t>
            </w:r>
          </w:p>
          <w:p w:rsidR="007C7423" w:rsidRDefault="007C7423" w:rsidP="007C7423">
            <w:pPr>
              <w:jc w:val="center"/>
            </w:pPr>
          </w:p>
          <w:p w:rsidR="007C7423" w:rsidRDefault="007C7423" w:rsidP="007C7423">
            <w:pPr>
              <w:jc w:val="center"/>
            </w:pPr>
            <w:r>
              <w:t>145</w:t>
            </w:r>
          </w:p>
        </w:tc>
        <w:tc>
          <w:tcPr>
            <w:tcW w:w="3261" w:type="dxa"/>
          </w:tcPr>
          <w:p w:rsidR="007C7423" w:rsidRDefault="007C7423" w:rsidP="007C7423">
            <w:pPr>
              <w:jc w:val="center"/>
            </w:pPr>
            <w:r>
              <w:t>33.9%</w:t>
            </w:r>
          </w:p>
          <w:p w:rsidR="007C7423" w:rsidRDefault="007C7423" w:rsidP="007C7423">
            <w:pPr>
              <w:jc w:val="center"/>
            </w:pPr>
          </w:p>
          <w:p w:rsidR="007C7423" w:rsidRDefault="007C7423" w:rsidP="007C7423">
            <w:pPr>
              <w:jc w:val="center"/>
            </w:pPr>
            <w:r>
              <w:t>14.0%</w:t>
            </w:r>
          </w:p>
          <w:p w:rsidR="00EB74F9" w:rsidRDefault="00EB74F9" w:rsidP="007C7423">
            <w:pPr>
              <w:jc w:val="center"/>
            </w:pPr>
          </w:p>
        </w:tc>
      </w:tr>
      <w:tr w:rsidR="007C7423" w:rsidTr="00CA1837">
        <w:tc>
          <w:tcPr>
            <w:tcW w:w="5382" w:type="dxa"/>
          </w:tcPr>
          <w:p w:rsidR="007C7423" w:rsidRPr="003057DD" w:rsidRDefault="007C7423" w:rsidP="007C7423">
            <w:pPr>
              <w:rPr>
                <w:lang w:val="en-US"/>
              </w:rPr>
            </w:pPr>
            <w:r w:rsidRPr="003057DD">
              <w:rPr>
                <w:lang w:val="en-US"/>
              </w:rPr>
              <w:t>Mooney et al</w:t>
            </w:r>
            <w:r w:rsidR="006A663F">
              <w:rPr>
                <w:lang w:val="en-US"/>
              </w:rPr>
              <w:t>,</w:t>
            </w:r>
            <w:r w:rsidRPr="003057DD">
              <w:rPr>
                <w:lang w:val="en-US"/>
              </w:rPr>
              <w:t xml:space="preserve"> 2017</w:t>
            </w:r>
            <w:r w:rsidR="006A663F">
              <w:rPr>
                <w:lang w:val="en-US"/>
              </w:rPr>
              <w:t xml:space="preserve"> </w:t>
            </w:r>
            <w:r w:rsidR="006A663F">
              <w:rPr>
                <w:lang w:val="en-US"/>
              </w:rPr>
              <w:fldChar w:fldCharType="begin"/>
            </w:r>
            <w:r w:rsidR="006A663F">
              <w:rPr>
                <w:lang w:val="en-US"/>
              </w:rPr>
              <w:instrText xml:space="preserve"> ADDIN ZOTERO_ITEM CSL_CITATION {"citationID":"MOLCi8c8","properties":{"formattedCitation":"[3]","plainCitation":"[3]","noteIndex":0},"citationItems":[{"id":1327,"uris":["http://zotero.org/users/3642156/items/VEF45S2H"],"itemData":{"id":1327,"type":"article-journal","abstract":"OBJECTIVES: This study sought to determine if indexed effective orifice area (EOAi), using left ventricular outflow tract measured from computed tomography (EOAiCT), reclassified prosthesis-patient mismatch (PPM) compared with conventional echocardiogram-defined measurements (EOAiTTE).\nBACKGROUND: PPM does not predict mortality following transcatheter aortic valve replacement (TAVR). However, it is unknown if the EOAiCT of the left ventricular outflow tract improves risk stratification.\nMETHODS: A total of 765 TAVR patients from the PARTNER II (Placement of Aortic Transcatheter Valves II) trial S3i cohort were evaluated. EOAi was calculated using the continuity equation, and the left ventricular outflow tract area was derived from baseline computed tomography. Traditional echocardiographic categories defined PPM: absent (&gt;0.85 cm2/m2), moderate (≥0.65 and ≤0.85 cm2/m2), or severe (≤0.65 cm2/m2). Correlation of EOAiCT and EOAiTTE to 1-year outcomes was performed.\nRESULTS: The incidence of PPM was 24% with EOACT compared with 45% with EOAiTTE. Only 6% of PPM was graded severe by EOAiCT compared with 9% by EOAiTTE. EOAiTTE, but not EOAiCT, defined PPM showed association with reduced left ventricular mass regression (p = 0.03 vs. p = 0.52). There was no association between PPM and death or rehospitalization at 1 year with either modality. EOACT was associated with minor stroke at 1 year (log-rank p = 0.04), and EOAiTTE with stroke/transient ischemic attack (log-rank p = 0.030). Furthermore, when subjects with mild or greater paravalvular regurgitation were excluded, the presence of PPM did not show association with any outcome.\nCONCLUSIONS: EOAiCT downgrades frequency and severity of PPM in patients after TAVR, and was not associated with mortality 1 year after TAVR. EOAiTTE, but not EOAiCT, was associated with less left ventricular mass regression.","container-title":"JACC. Cardiovascular interventions","DOI":"10.1016/j.jcin.2017.05.031","ISSN":"1876-7605","issue":"15","journalAbbreviation":"JACC Cardiovasc Interv","language":"eng","note":"PMID: 28734891","page":"1578-1587","source":"PubMed","title":"CT-Defined Prosthesis-Patient Mismatch Downgrades Frequency and Severity, and Demonstrates No Association With Adverse Outcomes After Transcatheter Aortic Valve Replacement","volume":"10","author":[{"family":"Mooney","given":"John"},{"family":"Sellers","given":"Stephanie L."},{"family":"Blanke","given":"Phillip"},{"family":"Pibarot","given":"Philippe"},{"family":"Hahn","given":"Rebecca T."},{"family":"Dvir","given":"Danny"},{"family":"Douglas","given":"Pamela S."},{"family":"Weissman","given":"Neil J."},{"family":"Kodali","given":"Susheel K."},{"family":"Thourani","given":"Vinod H."},{"family":"Jilaihawi","given":"Hasan"},{"family":"Khalique","given":"Omar"},{"family":"Smith","given":"Craig R."},{"family":"Kueh","given":"Shaw Hua"},{"family":"Ohana","given":"Mickael"},{"family":"Grover","given":"Romi"},{"family":"Naoum","given":"Christopher"},{"family":"Crowley","given":"Aaron"},{"family":"Jaber","given":"Wael A."},{"family":"Alu","given":"Maria C."},{"family":"Parvataneni","given":"Rupa"},{"family":"Mack","given":"Michael"},{"family":"Webb","given":"John G."},{"family":"Leon","given":"Martin B."},{"family":"Leipsic","given":"Jonathon A."}],"issued":{"date-parts":[["2017",8,14]]}}}],"schema":"https://github.com/citation-style-language/schema/raw/master/csl-citation.json"} </w:instrText>
            </w:r>
            <w:r w:rsidR="006A663F">
              <w:rPr>
                <w:lang w:val="en-US"/>
              </w:rPr>
              <w:fldChar w:fldCharType="separate"/>
            </w:r>
            <w:r w:rsidR="006A663F">
              <w:rPr>
                <w:noProof/>
                <w:lang w:val="en-US"/>
              </w:rPr>
              <w:t>[3]</w:t>
            </w:r>
            <w:r w:rsidR="006A663F">
              <w:rPr>
                <w:lang w:val="en-US"/>
              </w:rPr>
              <w:fldChar w:fldCharType="end"/>
            </w:r>
          </w:p>
          <w:p w:rsidR="007C7423" w:rsidRPr="003057DD" w:rsidRDefault="007C7423" w:rsidP="007C7423">
            <w:pPr>
              <w:rPr>
                <w:lang w:val="en-US"/>
              </w:rPr>
            </w:pPr>
          </w:p>
        </w:tc>
        <w:tc>
          <w:tcPr>
            <w:tcW w:w="3260" w:type="dxa"/>
          </w:tcPr>
          <w:p w:rsidR="007C7423" w:rsidRDefault="007C7423" w:rsidP="007C7423">
            <w:pPr>
              <w:jc w:val="center"/>
            </w:pPr>
            <w:r>
              <w:t>TAVI</w:t>
            </w:r>
          </w:p>
        </w:tc>
        <w:tc>
          <w:tcPr>
            <w:tcW w:w="2693" w:type="dxa"/>
          </w:tcPr>
          <w:p w:rsidR="007C7423" w:rsidRDefault="007C7423" w:rsidP="007C7423">
            <w:pPr>
              <w:jc w:val="center"/>
            </w:pPr>
            <w:r>
              <w:t>765</w:t>
            </w:r>
          </w:p>
        </w:tc>
        <w:tc>
          <w:tcPr>
            <w:tcW w:w="3261" w:type="dxa"/>
          </w:tcPr>
          <w:p w:rsidR="007C7423" w:rsidRDefault="007C7423" w:rsidP="007C7423">
            <w:pPr>
              <w:jc w:val="center"/>
            </w:pPr>
            <w:r>
              <w:t>6% and 9%</w:t>
            </w:r>
          </w:p>
        </w:tc>
      </w:tr>
      <w:tr w:rsidR="00AB5F3B" w:rsidTr="00CA1837">
        <w:tc>
          <w:tcPr>
            <w:tcW w:w="5382" w:type="dxa"/>
          </w:tcPr>
          <w:p w:rsidR="00AB5F3B" w:rsidRPr="003057DD" w:rsidRDefault="00AB5F3B">
            <w:pPr>
              <w:rPr>
                <w:lang w:val="en-US"/>
              </w:rPr>
            </w:pPr>
            <w:r w:rsidRPr="003057DD">
              <w:rPr>
                <w:lang w:val="en-US"/>
              </w:rPr>
              <w:t>Fallon et al, 2018</w:t>
            </w:r>
            <w:r w:rsidR="006A663F">
              <w:rPr>
                <w:lang w:val="en-US"/>
              </w:rPr>
              <w:t xml:space="preserve"> </w:t>
            </w:r>
            <w:r w:rsidR="006A663F">
              <w:rPr>
                <w:lang w:val="en-US"/>
              </w:rPr>
              <w:fldChar w:fldCharType="begin"/>
            </w:r>
            <w:r w:rsidR="006A663F">
              <w:rPr>
                <w:lang w:val="en-US"/>
              </w:rPr>
              <w:instrText xml:space="preserve"> ADDIN ZOTERO_ITEM CSL_CITATION {"citationID":"MTPpNn6R","properties":{"formattedCitation":"[4]","plainCitation":"[4]","noteIndex":0},"citationItems":[{"id":1486,"uris":["http://zotero.org/users/3642156/items/R62F92MF"],"itemData":{"id":1486,"type":"article-journal","abstract":"BACKGROUND: The goal of this study was to determine the relationship of prosthesis-patient mismatch (PPM) with long-term survival and to assess whether growing concern about PPM has resulted in a decreased incidence over time.\nMETHODS: Using The Society of Thoracic Surgeons Adult Cardiac Surgery Database, we identified 59,779 patients ≥65 years old who underwent isolated surgical aortic valve replacement (AVR) between 2004 and 2014. The degree of PPM was calculated using literature-derived effective orifice areas for commonly used valves. Outcomes to 10 years were stratified by degree of PPM.\nRESULTS: The distribution of PPM was as follows: 35%, none (n = 21,053); 54%, moderate (n = 32,243); and 11%, severe (n = 6,483). Compared with patients with no PPM, patients with moderate or severe PPM had a significantly increased risk of readmission for heart failure (hazard ratio [HR], 1.15; 95% confidence interval [CI], 1.09 to 1.21; HR, 1.37; 95% CI, 1.26 to 1.48) and redo AVR (HR, 1.41; 95% CI, 1.13 to 1.77; HR, 2.68; 95% CI, 2.01 to 3.56) for moderate or severe PPM, respectively. Survival was significantly worse for any degree of PPM (moderate to none: HR, 1.08; 95% CI, 1.05 to 1.12; severe to none: HR, 1.32; 95% CI, 1.25 to 1.39), with 10-year adjusted survival rates of 46%, 43%, and 35% for none, moderate, and severe, respectively (p &lt; 0.001). The incidence of severe PPM decreased by 55% over the study period, from 13.8% in 2004 to 6.2% in 2014.\nCONCLUSIONS: Any degree of PPM significantly decreased long-term survival and increased readmission rates for both heart failure and reoperation for AVR. Temporal trends show a significant decrease in the incidence of PPM over the past decade.","container-title":"The Annals of Thoracic Surgery","DOI":"10.1016/j.athoracsur.2018.01.090","ISSN":"1552-6259","issue":"1","journalAbbreviation":"Ann Thorac Surg","language":"eng","note":"PMID: 29630873","page":"14-22","source":"PubMed","title":"The Incidence and Consequence of Prosthesis-Patient Mismatch After Surgical Aortic Valve Replacement","volume":"106","author":[{"family":"Fallon","given":"John M."},{"family":"DeSimone","given":"Joseph P."},{"family":"Brennan","given":"J. Matthew"},{"family":"O'Brien","given":"Sean"},{"family":"Thibault","given":"Dylan P."},{"family":"DiScipio","given":"Anthony W."},{"family":"Pibarot","given":"Philippe"},{"family":"Jacobs","given":"Jeffrey P."},{"family":"Malenka","given":"David J."}],"issued":{"date-parts":[["2018",7]]}}}],"schema":"https://github.com/citation-style-language/schema/raw/master/csl-citation.json"} </w:instrText>
            </w:r>
            <w:r w:rsidR="006A663F">
              <w:rPr>
                <w:lang w:val="en-US"/>
              </w:rPr>
              <w:fldChar w:fldCharType="separate"/>
            </w:r>
            <w:r w:rsidR="006A663F">
              <w:rPr>
                <w:noProof/>
                <w:lang w:val="en-US"/>
              </w:rPr>
              <w:t>[4]</w:t>
            </w:r>
            <w:r w:rsidR="006A663F">
              <w:rPr>
                <w:lang w:val="en-US"/>
              </w:rPr>
              <w:fldChar w:fldCharType="end"/>
            </w:r>
          </w:p>
          <w:p w:rsidR="00AB5F3B" w:rsidRPr="003057DD" w:rsidRDefault="00AB5F3B">
            <w:pPr>
              <w:rPr>
                <w:lang w:val="en-US"/>
              </w:rPr>
            </w:pPr>
          </w:p>
        </w:tc>
        <w:tc>
          <w:tcPr>
            <w:tcW w:w="3260" w:type="dxa"/>
          </w:tcPr>
          <w:p w:rsidR="00AB5F3B" w:rsidRDefault="00AB5F3B" w:rsidP="00CA1837">
            <w:pPr>
              <w:jc w:val="center"/>
            </w:pPr>
            <w:r>
              <w:t>Surgical valve replacement</w:t>
            </w:r>
          </w:p>
        </w:tc>
        <w:tc>
          <w:tcPr>
            <w:tcW w:w="2693" w:type="dxa"/>
          </w:tcPr>
          <w:p w:rsidR="00AB5F3B" w:rsidRDefault="00AB5F3B" w:rsidP="00CA1837">
            <w:pPr>
              <w:jc w:val="center"/>
            </w:pPr>
            <w:r>
              <w:t>59.779</w:t>
            </w:r>
          </w:p>
        </w:tc>
        <w:tc>
          <w:tcPr>
            <w:tcW w:w="3261" w:type="dxa"/>
          </w:tcPr>
          <w:p w:rsidR="00AB5F3B" w:rsidRDefault="00AB5F3B" w:rsidP="00CA1837">
            <w:pPr>
              <w:jc w:val="center"/>
            </w:pPr>
            <w:r>
              <w:t>11%</w:t>
            </w:r>
          </w:p>
        </w:tc>
      </w:tr>
      <w:tr w:rsidR="00BB75FF" w:rsidTr="00CA1837">
        <w:tc>
          <w:tcPr>
            <w:tcW w:w="5382" w:type="dxa"/>
          </w:tcPr>
          <w:p w:rsidR="00BB75FF" w:rsidRPr="006A663F" w:rsidRDefault="00BB75FF">
            <w:r w:rsidRPr="006A663F">
              <w:t>Herrmann et al, 2018</w:t>
            </w:r>
            <w:r w:rsidR="006A663F" w:rsidRPr="006A663F">
              <w:t xml:space="preserve"> </w:t>
            </w:r>
            <w:r w:rsidR="006A663F">
              <w:rPr>
                <w:lang w:val="en-US"/>
              </w:rPr>
              <w:fldChar w:fldCharType="begin"/>
            </w:r>
            <w:r w:rsidR="006A663F" w:rsidRPr="006A663F">
              <w:instrText xml:space="preserve"> ADDIN ZOTERO_ITEM CSL_CITATION {"citationID":"mZkVrGeB","properties":{"formattedCitation":"[5]","plainCitation":"[5]","noteIndex":0},"citationItems":[{"id":1488,"uris":["http://zotero.org/users/3642156/items/IQ799T6I"],"itemData":{"id":1488,"type":"article-journal","abstract":"BACKGROUND: Prosthesis-patient mismatch (PPM) after surgical aortic valve replacement (AVR) for aortic stenosis is generally associated with worse outcomes. Transcatheter AVR (TAVR) can achieve a larger valve orifice and the effects of PPM after TAVR are less well studied.\nOBJECTIVES: The authors utilized the Society of Thoracic Surgeons/American College of Cardiology TVT (Transcatheter Valve Therapy) registry to examine the frequency, predictors, and association with outcomes of PPM after TAVR in 62,125 patients enrolled between 2014 and 2017.\nMETHODS: On the basis of the discharge echocardiographic effective valve area indexed to body surface area, PPM was classified as severe (&lt;0.65 cm2/m2), moderate (0.65 to 0.85 cm2/m2), or none (&gt;0.85 cm2/m2). Multivariable regression models were utilized to examine predictors of severe PPM as well as adjusted outcomes, including mortality, heart failure (HF) rehospitalization, stroke, and quality of life, at 1 year in 37,470 Medicare patients with claims linkage.\nRESULTS: Severe and moderate PPM were present following TAVR in 12% and 25% of patients, respectively. Predictors of severe PPM included small (≤23-mm diameter) valve prosthesis, valve-in-valve procedure, larger body surface area, female sex, younger age, non-white/Hispanic race, lower ejection fraction, atrial fibrillation, and severe mitral or tricuspid regurgitation. At 1 year, mortality was 17.2%, 15.6%, and 15.9% in severe, moderate, and no PPM patients, respectively (p = 0.02). HF rehospitalization had occurred in 14.7%, 12.8%, and 11.9% of patients with severe, moderate, and no PPM, respectively (p &lt; 0.0001). There was no association of severe PPM with stroke or quality-of-life score at 1 year.\nCONCLUSIONS: Severe PPM after TAVR was present in 12% of patients and was associated with higher mortality and HF rehospitalization at 1 year. Further investigation is warranted into the prevention of severe PPM in patients undergoing TAVR.","container-title":"Journal of the American College of Cardiology","DOI":"10.1016/j.jacc.2018.09.001","ISSN":"1558-3597","issue":"22","journalAbbreviation":"J Am Coll Cardiol","language":"eng","note":"PMID: 30257798","page":"2701-2711","source":"PubMed","title":"Prosthesis-Patient Mismatch in Patients Undergoing Transcatheter Aortic Valve Replacement: From the STS/ACC TVT Registry","title-short":"Prosthesis-Patient Mismatch in Patients Undergoing Transcatheter Aortic Valve Replacement","volume":"72","author":[{"family":"Herrmann","given":"Howard C."},{"family":"Daneshvar","given":"Samuel A."},{"family":"Fonarow","given":"Gregg C."},{"family":"Stebbins","given":"Amanda"},{"family":"Vemulapalli","given":"Sreekanth"},{"family":"Desai","given":"Nimesh D."},{"family":"Malenka","given":"David J."},{"family":"Thourani","given":"Vinod H."},{"family":"Rymer","given":"Jennifer"},{"family":"Kosinski","given":"Andrzej S."}],"issued":{"date-parts":[["2018",12,4]]}}}],"schema":"https://github.com/citation-style-language/schema/raw/master/csl-citation.json"} </w:instrText>
            </w:r>
            <w:r w:rsidR="006A663F">
              <w:rPr>
                <w:lang w:val="en-US"/>
              </w:rPr>
              <w:fldChar w:fldCharType="separate"/>
            </w:r>
            <w:r w:rsidR="006A663F" w:rsidRPr="006A663F">
              <w:rPr>
                <w:noProof/>
              </w:rPr>
              <w:t>[5]</w:t>
            </w:r>
            <w:r w:rsidR="006A663F">
              <w:rPr>
                <w:lang w:val="en-US"/>
              </w:rPr>
              <w:fldChar w:fldCharType="end"/>
            </w:r>
          </w:p>
          <w:p w:rsidR="00BB75FF" w:rsidRPr="006A663F" w:rsidRDefault="00BB75FF"/>
        </w:tc>
        <w:tc>
          <w:tcPr>
            <w:tcW w:w="3260" w:type="dxa"/>
          </w:tcPr>
          <w:p w:rsidR="00BB75FF" w:rsidRDefault="00BB75FF" w:rsidP="00CA1837">
            <w:pPr>
              <w:jc w:val="center"/>
            </w:pPr>
            <w:r>
              <w:t>TAVI</w:t>
            </w:r>
          </w:p>
        </w:tc>
        <w:tc>
          <w:tcPr>
            <w:tcW w:w="2693" w:type="dxa"/>
          </w:tcPr>
          <w:p w:rsidR="00BB75FF" w:rsidRDefault="00BB75FF" w:rsidP="00CA1837">
            <w:pPr>
              <w:jc w:val="center"/>
            </w:pPr>
            <w:r>
              <w:t>62.125</w:t>
            </w:r>
          </w:p>
        </w:tc>
        <w:tc>
          <w:tcPr>
            <w:tcW w:w="3261" w:type="dxa"/>
          </w:tcPr>
          <w:p w:rsidR="00BB75FF" w:rsidRDefault="00BB75FF" w:rsidP="00CA1837">
            <w:pPr>
              <w:jc w:val="center"/>
            </w:pPr>
            <w:r>
              <w:t>12%</w:t>
            </w:r>
          </w:p>
        </w:tc>
      </w:tr>
      <w:tr w:rsidR="00AB5F3B" w:rsidTr="00CA1837">
        <w:tc>
          <w:tcPr>
            <w:tcW w:w="5382" w:type="dxa"/>
          </w:tcPr>
          <w:p w:rsidR="00AB5F3B" w:rsidRPr="006A663F" w:rsidRDefault="00AB5F3B">
            <w:r w:rsidRPr="006A663F">
              <w:t>Schofer et al, 2019</w:t>
            </w:r>
            <w:r w:rsidR="006A663F" w:rsidRPr="006A663F">
              <w:t xml:space="preserve"> </w:t>
            </w:r>
            <w:r w:rsidR="006A663F">
              <w:rPr>
                <w:lang w:val="en-US"/>
              </w:rPr>
              <w:fldChar w:fldCharType="begin"/>
            </w:r>
            <w:r w:rsidR="006A663F" w:rsidRPr="006A663F">
              <w:instrText xml:space="preserve"> ADDIN ZOTERO_ITEM CSL_CITATION {"citationID":"6csa6g2f","properties":{"formattedCitation":"[6]","plainCitation":"[6]","noteIndex":0},"citationItems":[{"id":1490,"uris":["http://zotero.org/users/3642156/items/Z3RFETBI"],"itemData":{"id":1490,"type":"article-journal","abstract":"AIMS: We aimed to assess the prevalence and features of prosthesis-patient mismatch (PPM) following transcatheter aortic valve implantation (TAVI) and its prognostic impact considering baseline left ventricular ejection fraction (LVEF).\nMETHODS AND RESULTS: Data from 1,309 patients undergoing TAVI for severe aortic stenosis were derived from a single-centre dedicated TAVI registry. PPM was assessed according to echocardiography at discharge and was defined in accordance with VARC-2. Median follow-up time was 2.03 years. Moderate and severe PPM was detected in 22.9% and 12.9%, respectively. Patients with severe PPM had smaller annuli and more often received transcatheter heart valve (THV) sizes ≤23 mm. Supra-annular THV design showed the lowest rate of PPM. In patients with LVEF &lt;40%, but not in those with LVEF ≥40%, severe PPM was associated with an increased three-year mortality rate (no vs. severe PPM for LVEF ≥40%: 34.6% vs. 29.5%, p=0.96; LVEF &lt;40%: 45.1% vs. 68.0%, p=0.041) and was independently predictive of all-cause mortality according to multivariate analysis in these patients (HR 2.97; 95% CI: 1.58-5.59, p&lt;0.001).\nCONCLUSIONS: The presence of severe PPM depends on annular dimensions and THV size and design and is an independent predictor of mortality in patients with reduced LVEF. Hence, the risk of PPM should be considered within the process of THV selection.","container-title":"EuroIntervention: Journal of EuroPCR in Collaboration with the Working Group on Interventional Cardiology of the European Society of Cardiology","DOI":"10.4244/EIJ-D-18-00827","ISSN":"1969-6213","issue":"16","journalAbbreviation":"EuroIntervention","language":"eng","note":"PMID: 30418159","page":"1648-1655","source":"PubMed","title":"Prosthesis-patient mismatch after transcatheter aortic valve implantation: prevalence and prognostic impact with respect to baseline left ventricular function","title-short":"Prosthesis-patient mismatch after transcatheter aortic valve implantation","volume":"14","author":[{"family":"Schofer","given":"Niklas"},{"family":"Deuschl","given":"Florian"},{"family":"Rübsamen","given":"Nicole"},{"family":"Skibowski","given":"Johanna"},{"family":"Seiffert","given":"Moritz"},{"family":"Voigtländer","given":"Lisa"},{"family":"Schaefer","given":"Andreas"},{"family":"Schneeberger","given":"Yvonne"},{"family":"Schirmer","given":"Johannes"},{"family":"Reichenspurner","given":"Hermann"},{"family":"Blankenberg","given":"Stefan"},{"family":"Conradi","given":"Lenard"},{"family":"Schäfer","given":"Ulrich"}],"issued":{"date-parts":[["2019",3,20]]}}}],"schema":"https://github.com/citation-style-language/schema/raw/master/csl-citation.json"} </w:instrText>
            </w:r>
            <w:r w:rsidR="006A663F">
              <w:rPr>
                <w:lang w:val="en-US"/>
              </w:rPr>
              <w:fldChar w:fldCharType="separate"/>
            </w:r>
            <w:r w:rsidR="006A663F" w:rsidRPr="006A663F">
              <w:rPr>
                <w:noProof/>
              </w:rPr>
              <w:t>[6]</w:t>
            </w:r>
            <w:r w:rsidR="006A663F">
              <w:rPr>
                <w:lang w:val="en-US"/>
              </w:rPr>
              <w:fldChar w:fldCharType="end"/>
            </w:r>
          </w:p>
          <w:p w:rsidR="00AB5F3B" w:rsidRPr="006A663F" w:rsidRDefault="00AB5F3B"/>
        </w:tc>
        <w:tc>
          <w:tcPr>
            <w:tcW w:w="3260" w:type="dxa"/>
          </w:tcPr>
          <w:p w:rsidR="00AB5F3B" w:rsidRDefault="00AB5F3B" w:rsidP="00CA1837">
            <w:pPr>
              <w:jc w:val="center"/>
            </w:pPr>
            <w:r>
              <w:t>TAVI</w:t>
            </w:r>
          </w:p>
        </w:tc>
        <w:tc>
          <w:tcPr>
            <w:tcW w:w="2693" w:type="dxa"/>
          </w:tcPr>
          <w:p w:rsidR="00AB5F3B" w:rsidRDefault="00AB5F3B" w:rsidP="00CA1837">
            <w:pPr>
              <w:jc w:val="center"/>
            </w:pPr>
            <w:r>
              <w:t>1.309</w:t>
            </w:r>
          </w:p>
        </w:tc>
        <w:tc>
          <w:tcPr>
            <w:tcW w:w="3261" w:type="dxa"/>
          </w:tcPr>
          <w:p w:rsidR="00AB5F3B" w:rsidRDefault="00AB5F3B" w:rsidP="00CA1837">
            <w:pPr>
              <w:jc w:val="center"/>
            </w:pPr>
            <w:r>
              <w:t>12.9%</w:t>
            </w:r>
          </w:p>
        </w:tc>
      </w:tr>
      <w:tr w:rsidR="00AB5F3B" w:rsidTr="00CA1837">
        <w:tc>
          <w:tcPr>
            <w:tcW w:w="5382" w:type="dxa"/>
          </w:tcPr>
          <w:p w:rsidR="00AB5F3B" w:rsidRPr="00D71148" w:rsidRDefault="00BB75FF">
            <w:r w:rsidRPr="00D71148">
              <w:t>Ternacle et al, 2021</w:t>
            </w:r>
            <w:r w:rsidR="006A663F" w:rsidRPr="00D71148">
              <w:t xml:space="preserve"> </w:t>
            </w:r>
            <w:r w:rsidR="00D71148">
              <w:rPr>
                <w:lang w:val="en-US"/>
              </w:rPr>
              <w:fldChar w:fldCharType="begin"/>
            </w:r>
            <w:r w:rsidR="00D71148" w:rsidRPr="00D71148">
              <w:instrText xml:space="preserve"> ADDIN ZOTERO_ITEM CSL_CITATION {"citationID":"bxYg0rH0","properties":{"formattedCitation":"[7]","plainCitation":"[7]","noteIndex":0},"citationItems":[{"id":1389,"uris":["http://zotero.org/users/3642156/items/HVATZ9Z3"],"itemData":{"id":1389,"type":"article-journal","abstract":"OBJECTIVES: This study aimed to compare incidence and impact of measured prosthesis-patient mismatch (PPMM) versus predicted PPM (PPMP) after surgical aortic valve replacement (SAVR) and transcatheter aortic valve replacement (TAVR).\nBACKGROUND: TAVR studies have used measured effective orifice area indexed (EOAi) to body surface area (BSA) to define PPM, but most SAVR series have used predicted EOAi. This difference may contribute to discrepancies in incidence and outcomes of PPM between series.\nMETHODS: The study analyzed SAVR patients from the PARTNER (Placement of Aortic Transcatheter Valves) 2A trial and TAVR patients from the PARTNER 2 SAPIEN 3 Intermediate Risk registry. PPM was classified as moderate if EOAi ≤0.85 cm2/m2 (≤0.70 if obese: body mass index ≥30 kg/m2) and severe if EOAi ≤0.65 cm2/m2 (≤0.55 if obese). PPMM was determined by the core lab-measured EOAi on 30-day echocardiogram. PPMP was determined by 2 methods: 1) using normal EOA reference values previously reported for each valve model and size (PPMP1; n = 929 SAVR, 1,069 TAVR) indexed to BSA; and 2) using normal reference EOA predicted from aortic annulus size measured by computed tomography (PPMP2; n = 864 TAVR only) indexed to BSA. Primary endpoint was the composite of 5-year all-cause death and rehospitalization.\nRESULTS: The incidence of moderate and severe PPMP was much lower than PPMM in both SAVR (PPMP1: 28.4% and 1.2% vs. PPMM: 31.0% and 23.6%) and TAVR (PPMP1: 21.0% and 0.1% and PPMP2: 17.0% and 0% vs. PPMM: 27.9% and 5.7%). The incidence of severe PPMM and severe PPMP1 was lower in TAVR versus SAVR (P &lt; 0.001). The presence of PPM by any method was associated with higher transprosthetic gradient. Severe PPMP1 was independently associated with events in SAVR after adjustment for sex and Society of Thoracic Surgeons score (hazard ratio: 3.18;95% CI: 1.69-5.96; P &lt; 0.001), whereas no association was observed between PPM by any method and outcomes in TAVR.\nCONCLUSIONS: EOAi measured by echocardiography results in a higher incidence of PPM following SAVR or TAVR than PPM based on predicted EOAi. Severe PPMP is rare (&lt;1.5%), but is associated with increased all-cause death and rehospitalization after SAVR, whereas it is absent following TAVR.","container-title":"JACC. Cardiovascular interventions","DOI":"10.1016/j.jcin.2021.03.069","ISSN":"1876-7605","issue":"13","journalAbbreviation":"JACC Cardiovasc Interv","language":"eng","note":"PMID: 34238557","page":"1466-1477","source":"PubMed","title":"Prosthesis-Patient Mismatch After Aortic Valve Replacement in the PARTNER 2 Trial and Registry","volume":"14","author":[{"family":"Ternacle","given":"Julien"},{"family":"Pibarot","given":"Philippe"},{"family":"Herrmann","given":"Howard C."},{"family":"Kodali","given":"Susheel"},{"family":"Leipsic","given":"Jonathon"},{"family":"Blanke","given":"Philipp"},{"family":"Jaber","given":"Wael"},{"family":"Mack","given":"Michael J."},{"family":"Clavel","given":"Marie-Annick"},{"family":"Salaun","given":"Erwan"},{"family":"Guzzetti","given":"Ezequiel"},{"family":"Annabi","given":"Mohamed-Salah"},{"family":"Bernier","given":"Mathieu"},{"family":"Beaudoin","given":"Jonathan"},{"family":"Khalique","given":"Omar K."},{"family":"Weissman","given":"Neil J."},{"family":"Douglas","given":"Pamela"},{"family":"Bax","given":"Jeroen"},{"family":"Dahou","given":"Abdellaziz"},{"family":"Xu","given":"Ke"},{"family":"Alu","given":"Maria"},{"family":"Rogers","given":"Erin"},{"family":"Leon","given":"Martin"},{"family":"Thourani","given":"Vinod H."},{"family":"Abbas","given":"Amr E."},{"family":"Hahn","given":"Rebecca T."}],"issued":{"date-parts":[["2021",7,12]]}}}],"schema":"https://github.com/citation-style-language/schema/raw/master/csl-citation.json"} </w:instrText>
            </w:r>
            <w:r w:rsidR="00D71148">
              <w:rPr>
                <w:lang w:val="en-US"/>
              </w:rPr>
              <w:fldChar w:fldCharType="separate"/>
            </w:r>
            <w:r w:rsidR="00D71148" w:rsidRPr="00D71148">
              <w:rPr>
                <w:noProof/>
              </w:rPr>
              <w:t>[7]</w:t>
            </w:r>
            <w:r w:rsidR="00D71148">
              <w:rPr>
                <w:lang w:val="en-US"/>
              </w:rPr>
              <w:fldChar w:fldCharType="end"/>
            </w:r>
          </w:p>
          <w:p w:rsidR="00BB75FF" w:rsidRPr="00D71148" w:rsidRDefault="00BB75FF" w:rsidP="00BB75FF"/>
        </w:tc>
        <w:tc>
          <w:tcPr>
            <w:tcW w:w="3260" w:type="dxa"/>
          </w:tcPr>
          <w:p w:rsidR="00AB5F3B" w:rsidRDefault="00BB75FF" w:rsidP="00CA1837">
            <w:pPr>
              <w:jc w:val="center"/>
            </w:pPr>
            <w:r>
              <w:t>Surgical vale replacement</w:t>
            </w:r>
          </w:p>
          <w:p w:rsidR="0043409B" w:rsidRDefault="0043409B" w:rsidP="00CA1837">
            <w:pPr>
              <w:jc w:val="center"/>
            </w:pPr>
          </w:p>
          <w:p w:rsidR="00BB75FF" w:rsidRDefault="00BB75FF" w:rsidP="00CA1837">
            <w:pPr>
              <w:jc w:val="center"/>
            </w:pPr>
            <w:r>
              <w:t>TAVI</w:t>
            </w:r>
          </w:p>
        </w:tc>
        <w:tc>
          <w:tcPr>
            <w:tcW w:w="2693" w:type="dxa"/>
          </w:tcPr>
          <w:p w:rsidR="00AB5F3B" w:rsidRDefault="00BB75FF" w:rsidP="00CA1837">
            <w:pPr>
              <w:jc w:val="center"/>
            </w:pPr>
            <w:r>
              <w:t>929</w:t>
            </w:r>
          </w:p>
          <w:p w:rsidR="0043409B" w:rsidRDefault="0043409B" w:rsidP="00CA1837">
            <w:pPr>
              <w:jc w:val="center"/>
            </w:pPr>
          </w:p>
          <w:p w:rsidR="00BB75FF" w:rsidRDefault="00BB75FF" w:rsidP="00CA1837">
            <w:pPr>
              <w:jc w:val="center"/>
            </w:pPr>
            <w:r>
              <w:t>1.069</w:t>
            </w:r>
          </w:p>
        </w:tc>
        <w:tc>
          <w:tcPr>
            <w:tcW w:w="3261" w:type="dxa"/>
          </w:tcPr>
          <w:p w:rsidR="00AB5F3B" w:rsidRDefault="00BB75FF" w:rsidP="00CA1837">
            <w:pPr>
              <w:jc w:val="center"/>
            </w:pPr>
            <w:r>
              <w:t>23.6%</w:t>
            </w:r>
          </w:p>
          <w:p w:rsidR="0043409B" w:rsidRDefault="0043409B" w:rsidP="00CA1837">
            <w:pPr>
              <w:jc w:val="center"/>
            </w:pPr>
          </w:p>
          <w:p w:rsidR="00BB75FF" w:rsidRDefault="00BB75FF" w:rsidP="00CA1837">
            <w:pPr>
              <w:jc w:val="center"/>
            </w:pPr>
            <w:r>
              <w:t>5.7%</w:t>
            </w:r>
          </w:p>
          <w:p w:rsidR="00EB74F9" w:rsidRDefault="00EB74F9" w:rsidP="00CA1837">
            <w:pPr>
              <w:jc w:val="center"/>
            </w:pPr>
          </w:p>
        </w:tc>
      </w:tr>
      <w:tr w:rsidR="007C7423" w:rsidTr="00CA1837">
        <w:tc>
          <w:tcPr>
            <w:tcW w:w="5382" w:type="dxa"/>
          </w:tcPr>
          <w:p w:rsidR="007C7423" w:rsidRPr="00D71148" w:rsidRDefault="007C7423" w:rsidP="007C7423">
            <w:r w:rsidRPr="00D71148">
              <w:t>Yamanaka et al, 2025</w:t>
            </w:r>
            <w:r w:rsidR="00D71148" w:rsidRPr="00D71148">
              <w:t xml:space="preserve"> </w:t>
            </w:r>
            <w:r w:rsidR="00D71148">
              <w:rPr>
                <w:lang w:val="en-US"/>
              </w:rPr>
              <w:fldChar w:fldCharType="begin"/>
            </w:r>
            <w:r w:rsidR="00D71148" w:rsidRPr="00D71148">
              <w:instrText xml:space="preserve"> ADDIN ZOTERO_ITEM CSL_CITATION {"citationID":"t0s3lL2P","properties":{"formattedCitation":"[8]","plainCitation":"[8]","noteIndex":0},"citationItems":[{"id":1494,"uris":["http://zotero.org/users/3642156/items/N2GJ5RS4"],"itemData":{"id":1494,"type":"article-journal","abstract":"BACKGROUND: Evidence regarding the incidence of prosthesis-patient mismatch (PPM) and long-term mortality after transcatheter aortic valve replacement (TAVR) in patients with bicuspid aortic valve stenosis (AS) is scarce.\nOBJECTIVES: This study sought to assess the incidence and prognostic impact of PPM after TAVR for bicuspid AS compared with that for tricuspid AS.\nMETHODS: In total, 7,393 patients who underwent TAVR were prospectively enrolled in the OCEAN-TAVI (Optimized Catheter Valvular Intervention Transcatheter Aortic Valve Implantation) registry, an ongoing Japanese, multicenter registry. We analyzed 7,051 patients (median age = 85 years, 68.4% women) and identified 503 (7.1%) with bicuspid AS. We compared the incidence of PPM and long-term mortality in 497 patients with and 497 without bicuspid AS after one-to-one propensity score matching analysis.\nRESULTS: Among the 7,051 patients, moderate and severe PPM were observed in 756 (10.7%) and 92 (1.3%) patients, respectively. Upon Kaplan-Meier curve analysis of the overall cohort, severe PPM appeared to be associated with long-term mortality (log-rank test, P = 0.065). After propensity score matching analysis, moderate and severe PPM were more frequently observed among patients with tricuspid AS than patients with bicuspid AS (moderate PPM, 11.7% vs 4.4%; severe PPM, 1.4% vs 1.0%; P = 0.0001).\nCONCLUSIONS: Severe PPM appeared to be associated with all-cause mortality. Moderate and severe PPM were more frequently observed in patients with tricuspid AS than patients with bicuspid AS.","container-title":"JACC. Cardiovascular interventions","DOI":"10.1016/j.jcin.2024.10.002","ISSN":"1876-7605","issue":"4","journalAbbreviation":"JACC Cardiovasc Interv","language":"eng","note":"PMID: 39797833","page":"492-502","source":"PubMed","title":"Incidence and Prognosis of Prosthesis-Patient Mismatch After Transcatheter Aortic Valve Replacement for Bicuspid Aortic Stenosis","volume":"18","author":[{"family":"Yamanaka","given":"Futoshi"},{"family":"Shishido","given":"Koki"},{"family":"Moriyama","given":"Noriaki"},{"family":"Ochiai","given":"Tomoki"},{"family":"Miyashita","given":"Hirokazu"},{"family":"Yokoyama","given":"Hiroaki"},{"family":"Sugiyama","given":"Yoichi"},{"family":"Yashima","given":"Fumiaki"},{"family":"Ohno","given":"Yohei"},{"family":"Nishina","given":"Hidetaka"},{"family":"Izumo","given":"Masaki"},{"family":"Asami","given":"Masahiko"},{"family":"Naganuma","given":"Toru"},{"family":"Mizutani","given":"Kazuki"},{"family":"Yamawaki","given":"Masahiro"},{"family":"Tada","given":"Norio"},{"family":"Shirai","given":"Shinichi"},{"family":"Noguchi","given":"Masahiko"},{"family":"Ueno","given":"Hiroshi"},{"family":"Takagi","given":"Kensuke"},{"family":"Watanabe","given":"Yusuke"},{"family":"Yamamoto","given":"Masanori"},{"family":"Saito","given":"Shigeru"},{"family":"Hayashida","given":"Kentaro"},{"literal":"OCEAN-TAVI Investigators"}],"issued":{"date-parts":[["2025",2,24]]}}}],"schema":"https://github.com/citation-style-language/schema/raw/master/csl-citation.json"} </w:instrText>
            </w:r>
            <w:r w:rsidR="00D71148">
              <w:rPr>
                <w:lang w:val="en-US"/>
              </w:rPr>
              <w:fldChar w:fldCharType="separate"/>
            </w:r>
            <w:r w:rsidR="00D71148" w:rsidRPr="00D71148">
              <w:rPr>
                <w:noProof/>
              </w:rPr>
              <w:t>[8]</w:t>
            </w:r>
            <w:r w:rsidR="00D71148">
              <w:rPr>
                <w:lang w:val="en-US"/>
              </w:rPr>
              <w:fldChar w:fldCharType="end"/>
            </w:r>
          </w:p>
          <w:p w:rsidR="007C7423" w:rsidRPr="00D71148" w:rsidRDefault="007C7423" w:rsidP="007C7423"/>
        </w:tc>
        <w:tc>
          <w:tcPr>
            <w:tcW w:w="3260" w:type="dxa"/>
          </w:tcPr>
          <w:p w:rsidR="007C7423" w:rsidRDefault="007C7423" w:rsidP="007C7423">
            <w:pPr>
              <w:jc w:val="center"/>
            </w:pPr>
            <w:r>
              <w:t>TAVI</w:t>
            </w:r>
          </w:p>
        </w:tc>
        <w:tc>
          <w:tcPr>
            <w:tcW w:w="2693" w:type="dxa"/>
          </w:tcPr>
          <w:p w:rsidR="007C7423" w:rsidRDefault="007C7423" w:rsidP="007C7423">
            <w:pPr>
              <w:jc w:val="center"/>
            </w:pPr>
            <w:r>
              <w:t>7.051</w:t>
            </w:r>
          </w:p>
        </w:tc>
        <w:tc>
          <w:tcPr>
            <w:tcW w:w="3261" w:type="dxa"/>
          </w:tcPr>
          <w:p w:rsidR="007C7423" w:rsidRDefault="007C7423" w:rsidP="007C7423">
            <w:pPr>
              <w:jc w:val="center"/>
            </w:pPr>
            <w:r>
              <w:t>1.3%</w:t>
            </w:r>
          </w:p>
        </w:tc>
      </w:tr>
      <w:tr w:rsidR="00AB5F3B" w:rsidTr="00CA1837">
        <w:tc>
          <w:tcPr>
            <w:tcW w:w="5382" w:type="dxa"/>
          </w:tcPr>
          <w:p w:rsidR="00AB5F3B" w:rsidRPr="003057DD" w:rsidRDefault="00CA1837">
            <w:pPr>
              <w:rPr>
                <w:lang w:val="en-US"/>
              </w:rPr>
            </w:pPr>
            <w:r w:rsidRPr="003057DD">
              <w:rPr>
                <w:lang w:val="en-US"/>
              </w:rPr>
              <w:t>Nam et al, 2025</w:t>
            </w:r>
            <w:r w:rsidR="003957F7">
              <w:rPr>
                <w:lang w:val="en-US"/>
              </w:rPr>
              <w:t xml:space="preserve"> </w:t>
            </w:r>
            <w:r w:rsidR="003957F7">
              <w:rPr>
                <w:lang w:val="en-US"/>
              </w:rPr>
              <w:fldChar w:fldCharType="begin"/>
            </w:r>
            <w:r w:rsidR="003957F7">
              <w:rPr>
                <w:lang w:val="en-US"/>
              </w:rPr>
              <w:instrText xml:space="preserve"> ADDIN ZOTERO_ITEM CSL_CITATION {"citationID":"WStTYzWG","properties":{"formattedCitation":"[9]","plainCitation":"[9]","noteIndex":0},"citationItems":[{"id":1496,"uris":["http://zotero.org/users/3642156/items/P5BMZ3RZ"],"itemData":{"id":1496,"type":"article-journal","abstract":"BACKGROUND: Prosthesis-patient mismatch (PPM) impacts surgical aortic valve replacement outcomes, with known associations with adverse clinical consequences. However, contemporary understanding of PPM's clinical implications, trends, and predictive factors remains limited.\nMETHODS: This multi-institutional study included all patients undergoing surgical aortic valve replacement between 2002-2023. PPM was calculated using effective orifice area indexed to body surface area (EOAi), categorized as moderate (EOAi ≤0.85 cm2/m2) or severe (EOAi ≤0.65 cm2/m2), with modified criteria for patients with body mass index ≥30 kg/m2 per Valve Academic Research Consortium 3 guidelines. Clinical outcomes and predictors were assessed using Kaplan-Meier and multivariable analysis.\nRESULTS: Among 10,607 surgical aortic valve replacement patients, 8,102 (76%) had no PPM, 2,333 (22%) had moderate PPM, and 172 (2%) had severe PPM. PPM prevalence declined over the last decade (31% to 18%, P&lt;0.05), coinciding with larger prosthetic valves (size 23±2 to 24±2, P&lt;0.05), and increased annular enlargement (2.4% to 6.0%, P&lt;0.05). PPM was associated with higher 30-day mortality (OR 1.46, 95% CI 1.13-1.88, P&lt;0.05) and reduced long-term survival. Age-sex stratified analysis revealed a stronger association between advanced age and PPM risk in females compared to males (OR 2.31 vs 1.66 for age &gt;74 vs &lt;65, both P&lt;0.05).\nCONCLUSIONS: While PPM prevalence has declined through technical improvements and evolving patient selection, it remains a significant predictor of adverse outcomes. The pronounced risk in older female patients highlights the need for targeted surgical strategies, including careful prosthesis selection and consideration of annular enlargement in high-risk groups.","container-title":"The Annals of Thoracic Surgery","DOI":"10.1016/j.athoracsur.2025.04.036","ISSN":"1552-6259","journalAbbreviation":"Ann Thorac Surg","language":"eng","note":"PMID: 40381825","page":"S0003-4975(25)00421-7","source":"PubMed","title":"A Multi-Institutional Study on the Prevalence and Clinical Impact of Patient-Prosthesis Mismatch in Surgical Aortic Valve Replacement","author":[{"family":"Nam","given":"Lucy"},{"family":"Singh","given":"Ruby"},{"family":"Hirji","given":"Sameer A."},{"family":"Nguyen","given":"Vivian"},{"family":"Osho","given":"Asishana A."},{"family":"Jassar","given":"Arminder S."},{"family":"Aranki","given":"Sary F."},{"family":"D'Alessandro","given":"David A."},{"family":"Sundt","given":"Thoralf M."},{"family":"Bloom","given":"Jordan P."}],"issued":{"date-parts":[["2025",5,15]]}}}],"schema":"https://github.com/citation-style-language/schema/raw/master/csl-citation.json"} </w:instrText>
            </w:r>
            <w:r w:rsidR="003957F7">
              <w:rPr>
                <w:lang w:val="en-US"/>
              </w:rPr>
              <w:fldChar w:fldCharType="separate"/>
            </w:r>
            <w:r w:rsidR="003957F7">
              <w:rPr>
                <w:noProof/>
                <w:lang w:val="en-US"/>
              </w:rPr>
              <w:t>[9]</w:t>
            </w:r>
            <w:r w:rsidR="003957F7">
              <w:rPr>
                <w:lang w:val="en-US"/>
              </w:rPr>
              <w:fldChar w:fldCharType="end"/>
            </w:r>
          </w:p>
          <w:p w:rsidR="00CA1837" w:rsidRPr="003057DD" w:rsidRDefault="00CA1837">
            <w:pPr>
              <w:rPr>
                <w:lang w:val="en-US"/>
              </w:rPr>
            </w:pPr>
          </w:p>
        </w:tc>
        <w:tc>
          <w:tcPr>
            <w:tcW w:w="3260" w:type="dxa"/>
          </w:tcPr>
          <w:p w:rsidR="00AB5F3B" w:rsidRDefault="00CA1837" w:rsidP="00CA1837">
            <w:pPr>
              <w:jc w:val="center"/>
            </w:pPr>
            <w:r>
              <w:t>Surgical valve replacement</w:t>
            </w:r>
          </w:p>
        </w:tc>
        <w:tc>
          <w:tcPr>
            <w:tcW w:w="2693" w:type="dxa"/>
          </w:tcPr>
          <w:p w:rsidR="00AB5F3B" w:rsidRDefault="00CA1837" w:rsidP="00CA1837">
            <w:pPr>
              <w:jc w:val="center"/>
            </w:pPr>
            <w:r>
              <w:t>10.607</w:t>
            </w:r>
          </w:p>
        </w:tc>
        <w:tc>
          <w:tcPr>
            <w:tcW w:w="3261" w:type="dxa"/>
          </w:tcPr>
          <w:p w:rsidR="00AB5F3B" w:rsidRDefault="00CA1837" w:rsidP="00CA1837">
            <w:pPr>
              <w:jc w:val="center"/>
            </w:pPr>
            <w:r>
              <w:t>2%</w:t>
            </w:r>
          </w:p>
        </w:tc>
      </w:tr>
    </w:tbl>
    <w:p w:rsidR="00EF1AB4" w:rsidRDefault="007910EC">
      <w:pPr>
        <w:rPr>
          <w:sz w:val="18"/>
        </w:rPr>
      </w:pPr>
      <w:r w:rsidRPr="007D1DCC">
        <w:rPr>
          <w:sz w:val="18"/>
        </w:rPr>
        <w:t>TAVI – transcatheter aortic valve implantation</w:t>
      </w:r>
    </w:p>
    <w:p w:rsidR="003027B4" w:rsidRDefault="003027B4">
      <w:pPr>
        <w:rPr>
          <w:sz w:val="18"/>
        </w:rPr>
      </w:pPr>
    </w:p>
    <w:p w:rsidR="00C04265" w:rsidRDefault="00C04265">
      <w:pPr>
        <w:rPr>
          <w:sz w:val="18"/>
        </w:rPr>
      </w:pPr>
    </w:p>
    <w:p w:rsidR="003C7EFB" w:rsidRDefault="003C7EFB">
      <w:pPr>
        <w:rPr>
          <w:sz w:val="18"/>
        </w:rPr>
      </w:pPr>
      <w:bookmarkStart w:id="0" w:name="_GoBack"/>
      <w:bookmarkEnd w:id="0"/>
    </w:p>
    <w:p w:rsidR="00C04265" w:rsidRDefault="00C04265">
      <w:pPr>
        <w:rPr>
          <w:sz w:val="18"/>
        </w:rPr>
      </w:pPr>
    </w:p>
    <w:p w:rsidR="00C04265" w:rsidRDefault="00C04265">
      <w:pPr>
        <w:rPr>
          <w:sz w:val="18"/>
        </w:rPr>
      </w:pPr>
    </w:p>
    <w:p w:rsidR="00C04265" w:rsidRDefault="00C04265">
      <w:pPr>
        <w:rPr>
          <w:sz w:val="18"/>
        </w:rPr>
      </w:pPr>
    </w:p>
    <w:p w:rsidR="003027B4" w:rsidRDefault="003027B4">
      <w:pPr>
        <w:rPr>
          <w:b/>
          <w:sz w:val="18"/>
        </w:rPr>
      </w:pPr>
      <w:r w:rsidRPr="003027B4">
        <w:rPr>
          <w:b/>
          <w:sz w:val="18"/>
        </w:rPr>
        <w:t>References</w:t>
      </w:r>
    </w:p>
    <w:p w:rsidR="00312495" w:rsidRPr="00312495" w:rsidRDefault="00312495" w:rsidP="00312495">
      <w:pPr>
        <w:pStyle w:val="Bibliography1"/>
        <w:rPr>
          <w:rFonts w:ascii="Calibri" w:cs="Calibri"/>
          <w:lang w:val="en-US"/>
        </w:rPr>
      </w:pPr>
      <w:r>
        <w:fldChar w:fldCharType="begin"/>
      </w:r>
      <w:r w:rsidRPr="00312495">
        <w:rPr>
          <w:lang w:val="en-US"/>
        </w:rPr>
        <w:instrText xml:space="preserve"> ADDIN ZOTERO_BIBL {"uncited":[],"omitted":[],"custom":[]} CSL_BIBLIOGRAPHY </w:instrText>
      </w:r>
      <w:r>
        <w:fldChar w:fldCharType="separate"/>
      </w:r>
      <w:r w:rsidRPr="00312495">
        <w:rPr>
          <w:rFonts w:ascii="Calibri" w:cs="Calibri"/>
          <w:lang w:val="en-US"/>
        </w:rPr>
        <w:t xml:space="preserve">1. </w:t>
      </w:r>
      <w:r w:rsidRPr="00312495">
        <w:rPr>
          <w:rFonts w:ascii="Calibri" w:cs="Calibri"/>
          <w:lang w:val="en-US"/>
        </w:rPr>
        <w:tab/>
        <w:t>Pibarot P, Weissman NJ, Stewart WJ, et al (2014) Incidence and sequelae of prosthesis-patient mismatch in transcatheter versus surgical valve replacement in high-risk patients with severe aortic stenosis: a PARTNER trial cohort--a analysis. J Am Coll Cardiol 64:1323–1334. https://doi.org/10.1016/j.jacc.2014.06.1195</w:t>
      </w:r>
    </w:p>
    <w:p w:rsidR="00312495" w:rsidRPr="00312495" w:rsidRDefault="00312495" w:rsidP="00312495">
      <w:pPr>
        <w:pStyle w:val="Bibliography1"/>
        <w:rPr>
          <w:rFonts w:ascii="Calibri" w:cs="Calibri"/>
          <w:lang w:val="en-US"/>
        </w:rPr>
      </w:pPr>
      <w:r w:rsidRPr="00312495">
        <w:rPr>
          <w:rFonts w:ascii="Calibri" w:cs="Calibri"/>
          <w:lang w:val="en-US"/>
        </w:rPr>
        <w:t xml:space="preserve">2. </w:t>
      </w:r>
      <w:r w:rsidRPr="00312495">
        <w:rPr>
          <w:rFonts w:ascii="Calibri" w:cs="Calibri"/>
          <w:lang w:val="en-US"/>
        </w:rPr>
        <w:tab/>
        <w:t>Thyregod HGH, Steinbrüchel DA, Ihlemann N, et al (2016) No clinical effect of prosthesis-patient mismatch after transcatheter versus surgical aortic valve replacement in intermediate- and low-risk patients with severe aortic valve stenosis at mid-term follow-up: an analysis from the NOTION trial. Eur J Cardio-Thorac Surg Off J Eur Assoc Cardio-Thorac Surg 50:721–728. https://doi.org/10.1093/ejcts/ezw095</w:t>
      </w:r>
    </w:p>
    <w:p w:rsidR="00312495" w:rsidRPr="00312495" w:rsidRDefault="00312495" w:rsidP="00312495">
      <w:pPr>
        <w:pStyle w:val="Bibliography1"/>
        <w:rPr>
          <w:rFonts w:ascii="Calibri" w:cs="Calibri"/>
          <w:lang w:val="en-US"/>
        </w:rPr>
      </w:pPr>
      <w:r w:rsidRPr="00312495">
        <w:rPr>
          <w:rFonts w:ascii="Calibri" w:cs="Calibri"/>
          <w:lang w:val="en-US"/>
        </w:rPr>
        <w:t xml:space="preserve">3. </w:t>
      </w:r>
      <w:r w:rsidRPr="00312495">
        <w:rPr>
          <w:rFonts w:ascii="Calibri" w:cs="Calibri"/>
          <w:lang w:val="en-US"/>
        </w:rPr>
        <w:tab/>
        <w:t>Mooney J, Sellers SL, Blanke P, et al (2017) CT-Defined Prosthesis-Patient Mismatch Downgrades Frequency and Severity, and Demonstrates No Association With Adverse Outcomes After Transcatheter Aortic Valve Replacement. JACC Cardiovasc Interv 10:1578–1587. https://doi.org/10.1016/j.jcin.2017.05.031</w:t>
      </w:r>
    </w:p>
    <w:p w:rsidR="00312495" w:rsidRPr="00C04265" w:rsidRDefault="00312495" w:rsidP="00312495">
      <w:pPr>
        <w:pStyle w:val="Bibliography1"/>
        <w:rPr>
          <w:rFonts w:ascii="Calibri" w:cs="Calibri"/>
          <w:lang w:val="en-US"/>
        </w:rPr>
      </w:pPr>
      <w:r w:rsidRPr="00312495">
        <w:rPr>
          <w:rFonts w:ascii="Calibri" w:cs="Calibri"/>
          <w:lang w:val="en-US"/>
        </w:rPr>
        <w:t xml:space="preserve">4. </w:t>
      </w:r>
      <w:r w:rsidRPr="00312495">
        <w:rPr>
          <w:rFonts w:ascii="Calibri" w:cs="Calibri"/>
          <w:lang w:val="en-US"/>
        </w:rPr>
        <w:tab/>
        <w:t xml:space="preserve">Fallon JM, DeSimone JP, Brennan JM, et al (2018) The Incidence and Consequence of Prosthesis-Patient Mismatch After Surgical Aortic Valve Replacement. </w:t>
      </w:r>
      <w:r w:rsidRPr="00C04265">
        <w:rPr>
          <w:rFonts w:ascii="Calibri" w:cs="Calibri"/>
          <w:lang w:val="en-US"/>
        </w:rPr>
        <w:t>Ann Thorac Surg 106:14–22. https://doi.org/10.1016/j.athoracsur.2018.01.090</w:t>
      </w:r>
    </w:p>
    <w:p w:rsidR="00312495" w:rsidRPr="00C04265" w:rsidRDefault="00312495" w:rsidP="00312495">
      <w:pPr>
        <w:pStyle w:val="Bibliography1"/>
        <w:rPr>
          <w:rFonts w:ascii="Calibri" w:cs="Calibri"/>
          <w:lang w:val="en-US"/>
        </w:rPr>
      </w:pPr>
      <w:r w:rsidRPr="00C04265">
        <w:rPr>
          <w:rFonts w:ascii="Calibri" w:cs="Calibri"/>
          <w:lang w:val="en-US"/>
        </w:rPr>
        <w:t xml:space="preserve">5. </w:t>
      </w:r>
      <w:r w:rsidRPr="00C04265">
        <w:rPr>
          <w:rFonts w:ascii="Calibri" w:cs="Calibri"/>
          <w:lang w:val="en-US"/>
        </w:rPr>
        <w:tab/>
        <w:t>Herrmann HC, Daneshvar SA, Fonarow GC, et al (2018) Prosthesis-Patient Mismatch in Patients Undergoing Transcatheter Aortic Valve Replacement: From the STS/ACC TVT Registry. J Am Coll Cardiol 72:2701–2711. https://doi.org/10.1016/j.jacc.2018.09.001</w:t>
      </w:r>
    </w:p>
    <w:p w:rsidR="00312495" w:rsidRPr="00C04265" w:rsidRDefault="00312495" w:rsidP="00312495">
      <w:pPr>
        <w:pStyle w:val="Bibliography1"/>
        <w:rPr>
          <w:rFonts w:ascii="Calibri" w:cs="Calibri"/>
          <w:lang w:val="en-US"/>
        </w:rPr>
      </w:pPr>
      <w:r w:rsidRPr="00C04265">
        <w:rPr>
          <w:rFonts w:ascii="Calibri" w:cs="Calibri"/>
          <w:lang w:val="en-US"/>
        </w:rPr>
        <w:t xml:space="preserve">6. </w:t>
      </w:r>
      <w:r w:rsidRPr="00C04265">
        <w:rPr>
          <w:rFonts w:ascii="Calibri" w:cs="Calibri"/>
          <w:lang w:val="en-US"/>
        </w:rPr>
        <w:tab/>
        <w:t>Schofer N, Deuschl F, Rübsamen N, et al (2019) Prosthesis-patient mismatch after transcatheter aortic valve implantation: prevalence and prognostic impact with respect to baseline left ventricular function. EuroIntervention J Eur Collab Work Group Interv Cardiol Eur Soc Cardiol 14:1648–1655. https://doi.org/10.4244/EIJ-D-18-00827</w:t>
      </w:r>
    </w:p>
    <w:p w:rsidR="00312495" w:rsidRPr="00C04265" w:rsidRDefault="00312495" w:rsidP="00312495">
      <w:pPr>
        <w:pStyle w:val="Bibliography1"/>
        <w:rPr>
          <w:rFonts w:ascii="Calibri" w:cs="Calibri"/>
          <w:lang w:val="en-US"/>
        </w:rPr>
      </w:pPr>
      <w:r w:rsidRPr="00C04265">
        <w:rPr>
          <w:rFonts w:ascii="Calibri" w:cs="Calibri"/>
          <w:lang w:val="en-US"/>
        </w:rPr>
        <w:t xml:space="preserve">7. </w:t>
      </w:r>
      <w:r w:rsidRPr="00C04265">
        <w:rPr>
          <w:rFonts w:ascii="Calibri" w:cs="Calibri"/>
          <w:lang w:val="en-US"/>
        </w:rPr>
        <w:tab/>
        <w:t>Ternacle J, Pibarot P, Herrmann HC, et al (2021) Prosthesis-Patient Mismatch After Aortic Valve Replacement in the PARTNER 2 Trial and Registry. JACC Cardiovasc Interv 14:1466–1477. https://doi.org/10.1016/j.jcin.2021.03.069</w:t>
      </w:r>
    </w:p>
    <w:p w:rsidR="00312495" w:rsidRPr="00C04265" w:rsidRDefault="00312495" w:rsidP="00312495">
      <w:pPr>
        <w:pStyle w:val="Bibliography1"/>
        <w:rPr>
          <w:rFonts w:ascii="Calibri" w:cs="Calibri"/>
          <w:lang w:val="en-US"/>
        </w:rPr>
      </w:pPr>
      <w:r w:rsidRPr="00C04265">
        <w:rPr>
          <w:rFonts w:ascii="Calibri" w:cs="Calibri"/>
          <w:lang w:val="en-US"/>
        </w:rPr>
        <w:t xml:space="preserve">8. </w:t>
      </w:r>
      <w:r w:rsidRPr="00C04265">
        <w:rPr>
          <w:rFonts w:ascii="Calibri" w:cs="Calibri"/>
          <w:lang w:val="en-US"/>
        </w:rPr>
        <w:tab/>
        <w:t>Yamanaka F, Shishido K, Moriyama N, et al (2025) Incidence and Prognosis of Prosthesis-Patient Mismatch After Transcatheter Aortic Valve Replacement for Bicuspid Aortic Stenosis. JACC Cardiovasc Interv 18:492–502. https://doi.org/10.1016/j.jcin.2024.10.002</w:t>
      </w:r>
    </w:p>
    <w:p w:rsidR="00312495" w:rsidRPr="00312495" w:rsidRDefault="00312495" w:rsidP="00312495">
      <w:pPr>
        <w:pStyle w:val="Bibliography1"/>
        <w:rPr>
          <w:rFonts w:ascii="Calibri" w:cs="Calibri"/>
        </w:rPr>
      </w:pPr>
      <w:r w:rsidRPr="00C04265">
        <w:rPr>
          <w:rFonts w:ascii="Calibri" w:cs="Calibri"/>
          <w:lang w:val="en-US"/>
        </w:rPr>
        <w:t xml:space="preserve">9. </w:t>
      </w:r>
      <w:r w:rsidRPr="00C04265">
        <w:rPr>
          <w:rFonts w:ascii="Calibri" w:cs="Calibri"/>
          <w:lang w:val="en-US"/>
        </w:rPr>
        <w:tab/>
        <w:t xml:space="preserve">Nam L, Singh R, Hirji SA, et al (2025) A Multi-Institutional Study on the Prevalence and Clinical Impact of Patient-Prosthesis Mismatch in Surgical Aortic Valve Replacement. </w:t>
      </w:r>
      <w:r w:rsidRPr="00312495">
        <w:rPr>
          <w:rFonts w:ascii="Calibri" w:cs="Calibri"/>
        </w:rPr>
        <w:t>Ann Thorac Surg S0003-4975(25)00421–7. https://doi.org/10.1016/j.athoracsur.2025.04.036</w:t>
      </w:r>
    </w:p>
    <w:p w:rsidR="003027B4" w:rsidRPr="003027B4" w:rsidRDefault="00312495">
      <w:pPr>
        <w:rPr>
          <w:sz w:val="18"/>
        </w:rPr>
      </w:pPr>
      <w:r>
        <w:rPr>
          <w:sz w:val="18"/>
        </w:rPr>
        <w:fldChar w:fldCharType="end"/>
      </w:r>
    </w:p>
    <w:sectPr w:rsidR="003027B4" w:rsidRPr="003027B4" w:rsidSect="003C7E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4559C0"/>
    <w:multiLevelType w:val="multilevel"/>
    <w:tmpl w:val="C36A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F3B"/>
    <w:rsid w:val="00160552"/>
    <w:rsid w:val="001649CE"/>
    <w:rsid w:val="003027B4"/>
    <w:rsid w:val="003057DD"/>
    <w:rsid w:val="00312495"/>
    <w:rsid w:val="003957F7"/>
    <w:rsid w:val="003C7EFB"/>
    <w:rsid w:val="0043409B"/>
    <w:rsid w:val="006A663F"/>
    <w:rsid w:val="007910EC"/>
    <w:rsid w:val="007C7423"/>
    <w:rsid w:val="007D1DCC"/>
    <w:rsid w:val="00AB5F3B"/>
    <w:rsid w:val="00BB75FF"/>
    <w:rsid w:val="00C04265"/>
    <w:rsid w:val="00CA1837"/>
    <w:rsid w:val="00D71148"/>
    <w:rsid w:val="00EB74F9"/>
    <w:rsid w:val="00EF1A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598FF8-E287-4BD6-8B94-83F667C6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5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F3B"/>
    <w:rPr>
      <w:color w:val="0563C1" w:themeColor="hyperlink"/>
      <w:u w:val="single"/>
    </w:rPr>
  </w:style>
  <w:style w:type="character" w:styleId="CommentReference">
    <w:name w:val="annotation reference"/>
    <w:basedOn w:val="DefaultParagraphFont"/>
    <w:uiPriority w:val="99"/>
    <w:semiHidden/>
    <w:unhideWhenUsed/>
    <w:rsid w:val="00CA1837"/>
    <w:rPr>
      <w:sz w:val="16"/>
      <w:szCs w:val="16"/>
    </w:rPr>
  </w:style>
  <w:style w:type="paragraph" w:styleId="CommentText">
    <w:name w:val="annotation text"/>
    <w:basedOn w:val="Normal"/>
    <w:link w:val="CommentTextChar"/>
    <w:uiPriority w:val="99"/>
    <w:semiHidden/>
    <w:unhideWhenUsed/>
    <w:rsid w:val="00CA1837"/>
    <w:pPr>
      <w:spacing w:line="240" w:lineRule="auto"/>
    </w:pPr>
    <w:rPr>
      <w:sz w:val="20"/>
      <w:szCs w:val="20"/>
    </w:rPr>
  </w:style>
  <w:style w:type="character" w:customStyle="1" w:styleId="CommentTextChar">
    <w:name w:val="Comment Text Char"/>
    <w:basedOn w:val="DefaultParagraphFont"/>
    <w:link w:val="CommentText"/>
    <w:uiPriority w:val="99"/>
    <w:semiHidden/>
    <w:rsid w:val="00CA1837"/>
    <w:rPr>
      <w:sz w:val="20"/>
      <w:szCs w:val="20"/>
    </w:rPr>
  </w:style>
  <w:style w:type="paragraph" w:styleId="CommentSubject">
    <w:name w:val="annotation subject"/>
    <w:basedOn w:val="CommentText"/>
    <w:next w:val="CommentText"/>
    <w:link w:val="CommentSubjectChar"/>
    <w:uiPriority w:val="99"/>
    <w:semiHidden/>
    <w:unhideWhenUsed/>
    <w:rsid w:val="00CA1837"/>
    <w:rPr>
      <w:b/>
      <w:bCs/>
    </w:rPr>
  </w:style>
  <w:style w:type="character" w:customStyle="1" w:styleId="CommentSubjectChar">
    <w:name w:val="Comment Subject Char"/>
    <w:basedOn w:val="CommentTextChar"/>
    <w:link w:val="CommentSubject"/>
    <w:uiPriority w:val="99"/>
    <w:semiHidden/>
    <w:rsid w:val="00CA1837"/>
    <w:rPr>
      <w:b/>
      <w:bCs/>
      <w:sz w:val="20"/>
      <w:szCs w:val="20"/>
    </w:rPr>
  </w:style>
  <w:style w:type="paragraph" w:styleId="BalloonText">
    <w:name w:val="Balloon Text"/>
    <w:basedOn w:val="Normal"/>
    <w:link w:val="BalloonTextChar"/>
    <w:uiPriority w:val="99"/>
    <w:semiHidden/>
    <w:unhideWhenUsed/>
    <w:rsid w:val="00CA18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837"/>
    <w:rPr>
      <w:rFonts w:ascii="Segoe UI" w:hAnsi="Segoe UI" w:cs="Segoe UI"/>
      <w:sz w:val="18"/>
      <w:szCs w:val="18"/>
    </w:rPr>
  </w:style>
  <w:style w:type="paragraph" w:customStyle="1" w:styleId="Bibliography1">
    <w:name w:val="Bibliography1"/>
    <w:basedOn w:val="Normal"/>
    <w:link w:val="BibliographyZchn"/>
    <w:rsid w:val="00312495"/>
    <w:pPr>
      <w:tabs>
        <w:tab w:val="left" w:pos="380"/>
      </w:tabs>
      <w:spacing w:after="240" w:line="240" w:lineRule="auto"/>
      <w:ind w:left="384" w:hanging="384"/>
    </w:pPr>
    <w:rPr>
      <w:sz w:val="18"/>
    </w:rPr>
  </w:style>
  <w:style w:type="character" w:customStyle="1" w:styleId="BibliographyZchn">
    <w:name w:val="Bibliography Zchn"/>
    <w:basedOn w:val="DefaultParagraphFont"/>
    <w:link w:val="Bibliography1"/>
    <w:rsid w:val="00312495"/>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447991">
      <w:bodyDiv w:val="1"/>
      <w:marLeft w:val="0"/>
      <w:marRight w:val="0"/>
      <w:marTop w:val="0"/>
      <w:marBottom w:val="0"/>
      <w:divBdr>
        <w:top w:val="none" w:sz="0" w:space="0" w:color="auto"/>
        <w:left w:val="none" w:sz="0" w:space="0" w:color="auto"/>
        <w:bottom w:val="none" w:sz="0" w:space="0" w:color="auto"/>
        <w:right w:val="none" w:sz="0" w:space="0" w:color="auto"/>
      </w:divBdr>
    </w:div>
    <w:div w:id="80361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5246</Words>
  <Characters>29905</Characters>
  <Application>Microsoft Office Word</Application>
  <DocSecurity>0</DocSecurity>
  <Lines>249</Lines>
  <Paragraphs>70</Paragraphs>
  <ScaleCrop>false</ScaleCrop>
  <HeadingPairs>
    <vt:vector size="2" baseType="variant">
      <vt:variant>
        <vt:lpstr>Titel</vt:lpstr>
      </vt:variant>
      <vt:variant>
        <vt:i4>1</vt:i4>
      </vt:variant>
    </vt:vector>
  </HeadingPairs>
  <TitlesOfParts>
    <vt:vector size="1" baseType="lpstr">
      <vt:lpstr/>
    </vt:vector>
  </TitlesOfParts>
  <Company>Universitätsklinikum Freiburg</Company>
  <LinksUpToDate>false</LinksUpToDate>
  <CharactersWithSpaces>35081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Ramona Schmitt</dc:creator>
  <cp:keywords/>
  <dc:description/>
  <cp:lastModifiedBy>Paul Alexander D Dennis MP</cp:lastModifiedBy>
  <cp:revision>15</cp:revision>
  <dcterms:created xsi:type="dcterms:W3CDTF">2025-06-02T13:32:00Z</dcterms:created>
  <dcterms:modified xsi:type="dcterms:W3CDTF">2025-06-15T06:58:00Z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zotero-version="6.0.23-beta.2+59ba212cf"&gt;&lt;session id="de4wewoE"/&gt;&lt;style id="http://www.zotero.org/styles/clinical-research-in-cardiology"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