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15" w:rsidRPr="00C248C5" w:rsidRDefault="00525315" w:rsidP="00525315">
      <w:pPr>
        <w:rPr>
          <w:b/>
          <w:bCs/>
          <w:noProof/>
          <w:lang w:val="en-GB"/>
        </w:rPr>
      </w:pPr>
      <w:r w:rsidRPr="00C248C5">
        <w:rPr>
          <w:b/>
          <w:bCs/>
          <w:noProof/>
          <w:lang w:val="en-GB"/>
        </w:rPr>
        <w:t>Supplement</w:t>
      </w:r>
      <w:bookmarkStart w:id="0" w:name="_GoBack"/>
      <w:bookmarkEnd w:id="0"/>
    </w:p>
    <w:p w:rsidR="00525315" w:rsidRPr="00C248C5" w:rsidRDefault="00525315" w:rsidP="00525315">
      <w:pPr>
        <w:rPr>
          <w:rFonts w:cs="Arial"/>
          <w:color w:val="212121"/>
          <w:shd w:val="clear" w:color="auto" w:fill="FFFFFF"/>
          <w:lang w:val="en-GB"/>
        </w:rPr>
      </w:pPr>
    </w:p>
    <w:p w:rsidR="00525315" w:rsidRPr="00C248C5" w:rsidRDefault="00525315" w:rsidP="00525315">
      <w:pPr>
        <w:spacing w:line="480" w:lineRule="auto"/>
        <w:rPr>
          <w:b/>
          <w:lang w:val="en-GB"/>
        </w:rPr>
      </w:pPr>
      <w:r w:rsidRPr="00C248C5">
        <w:rPr>
          <w:b/>
          <w:lang w:val="en-GB"/>
        </w:rPr>
        <w:t>Supplemental Table 1 ICD and ATC codes used in the study</w:t>
      </w:r>
    </w:p>
    <w:tbl>
      <w:tblPr>
        <w:tblW w:w="8354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09"/>
        <w:gridCol w:w="5245"/>
      </w:tblGrid>
      <w:tr w:rsidR="00525315" w:rsidRPr="00C248C5" w:rsidTr="00CB7098">
        <w:trPr>
          <w:trHeight w:val="340"/>
        </w:trPr>
        <w:tc>
          <w:tcPr>
            <w:tcW w:w="3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52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color w:val="000000"/>
                <w:sz w:val="20"/>
                <w:szCs w:val="20"/>
              </w:rPr>
              <w:t>ICD–10–GM codes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Obesity</w:t>
            </w:r>
          </w:p>
        </w:tc>
        <w:tc>
          <w:tcPr>
            <w:tcW w:w="52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  <w:lang w:val="de-DE"/>
              </w:rPr>
            </w:pPr>
            <w:r w:rsidRPr="00C248C5">
              <w:rPr>
                <w:sz w:val="20"/>
                <w:szCs w:val="20"/>
                <w:lang w:val="de-DE"/>
              </w:rPr>
              <w:t>E66.0, Z68.30, Z68.31, Z68.32, Z68.33, Z68.34, Z68.35, Z68.36, Z68.37, Z68.38, Z68.39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Type 2 diabetes</w:t>
            </w:r>
          </w:p>
        </w:tc>
        <w:tc>
          <w:tcPr>
            <w:tcW w:w="52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242424"/>
                <w:sz w:val="20"/>
                <w:szCs w:val="20"/>
                <w:shd w:val="clear" w:color="auto" w:fill="FFFFFF"/>
              </w:rPr>
              <w:t>E11, E12, E13, E14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Liver disease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242424"/>
                <w:sz w:val="20"/>
                <w:szCs w:val="20"/>
                <w:shd w:val="clear" w:color="auto" w:fill="FFFFFF"/>
              </w:rPr>
              <w:t>K74.6, K70.3, I85.0, I85.9, I98.2, I98.3, K76.6, K72.9, K76.7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Kidney disease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rPr>
                <w:sz w:val="20"/>
                <w:szCs w:val="20"/>
                <w:lang w:val="en-GB"/>
              </w:rPr>
            </w:pPr>
            <w:r w:rsidRPr="00C248C5">
              <w:rPr>
                <w:sz w:val="20"/>
                <w:szCs w:val="20"/>
                <w:lang w:val="en-GB"/>
              </w:rPr>
              <w:t>N18.1, N18.2, N18.3, N18.4, N18.5, N18.8x, N18.9, N19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C248C5">
              <w:rPr>
                <w:b/>
                <w:bCs/>
                <w:sz w:val="20"/>
                <w:szCs w:val="20"/>
              </w:rPr>
              <w:t>COPD or Asthma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rPr>
                <w:sz w:val="20"/>
                <w:szCs w:val="20"/>
                <w:lang w:val="en-GB"/>
              </w:rPr>
            </w:pPr>
            <w:r w:rsidRPr="00C248C5">
              <w:rPr>
                <w:sz w:val="20"/>
                <w:szCs w:val="20"/>
                <w:lang w:val="en-GB"/>
              </w:rPr>
              <w:t>J42, J43, J44, J45, J46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color w:val="000000"/>
                <w:sz w:val="20"/>
                <w:szCs w:val="20"/>
              </w:rPr>
              <w:t>ATC codes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Diuretics excluding MRA,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C248C5">
              <w:rPr>
                <w:rFonts w:cs="Arial"/>
                <w:color w:val="242424"/>
                <w:sz w:val="20"/>
                <w:szCs w:val="20"/>
                <w:shd w:val="clear" w:color="auto" w:fill="FFFFFF"/>
                <w:lang w:val="en-GB"/>
              </w:rPr>
              <w:t>C03A C03B C03C C03EA C03EB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MRA, %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242424"/>
                <w:sz w:val="20"/>
                <w:szCs w:val="20"/>
                <w:shd w:val="clear" w:color="auto" w:fill="FFFFFF"/>
                <w:lang w:val="en-GB"/>
              </w:rPr>
              <w:t>C03D, C03EC, CO3ED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  <w:r w:rsidRPr="00C248C5">
              <w:rPr>
                <w:rFonts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  <w:t>β–blockers</w:t>
            </w: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, %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C07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ACE–I or ARB, %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  <w:lang w:val="en-GB"/>
              </w:rPr>
            </w:pPr>
            <w:r w:rsidRPr="00C248C5">
              <w:rPr>
                <w:rFonts w:cs="Arial"/>
                <w:color w:val="242424"/>
                <w:sz w:val="20"/>
                <w:szCs w:val="20"/>
                <w:shd w:val="clear" w:color="auto" w:fill="FFFFFF"/>
                <w:lang w:val="en-GB"/>
              </w:rPr>
              <w:t>C09A, C09B, C09C, C09D excluding C09DX04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</w:pPr>
            <w:proofErr w:type="spellStart"/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Sacubitril</w:t>
            </w:r>
            <w:proofErr w:type="spellEnd"/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 xml:space="preserve"> / valsartan, %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242424"/>
                <w:sz w:val="20"/>
                <w:szCs w:val="20"/>
                <w:shd w:val="clear" w:color="auto" w:fill="FFFFFF"/>
              </w:rPr>
              <w:t>C09DX04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Digitalis, %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242424"/>
                <w:sz w:val="20"/>
                <w:szCs w:val="20"/>
                <w:shd w:val="clear" w:color="auto" w:fill="FFFFFF"/>
              </w:rPr>
              <w:t>C01AA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Calcium antagonists, %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242424"/>
                <w:sz w:val="20"/>
                <w:szCs w:val="20"/>
                <w:shd w:val="clear" w:color="auto" w:fill="FFFFFF"/>
              </w:rPr>
              <w:t>C08C–E, C08G</w:t>
            </w:r>
          </w:p>
        </w:tc>
      </w:tr>
      <w:tr w:rsidR="00525315" w:rsidRPr="00C248C5" w:rsidTr="00CB7098">
        <w:trPr>
          <w:trHeight w:val="340"/>
        </w:trPr>
        <w:tc>
          <w:tcPr>
            <w:tcW w:w="31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25315" w:rsidRPr="00C248C5" w:rsidRDefault="00525315" w:rsidP="00CB7098">
            <w:pPr>
              <w:spacing w:after="0" w:line="276" w:lineRule="auto"/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Lipid modifying agents, %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315" w:rsidRPr="00C248C5" w:rsidRDefault="00525315" w:rsidP="00CB7098">
            <w:pPr>
              <w:spacing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C10</w:t>
            </w:r>
          </w:p>
        </w:tc>
      </w:tr>
    </w:tbl>
    <w:p w:rsidR="00525315" w:rsidRPr="00C248C5" w:rsidRDefault="00525315" w:rsidP="00525315">
      <w:pPr>
        <w:spacing w:line="240" w:lineRule="auto"/>
        <w:contextualSpacing/>
        <w:rPr>
          <w:b/>
          <w:i/>
          <w:lang w:val="en-GB"/>
        </w:rPr>
      </w:pPr>
      <w:r w:rsidRPr="00C248C5">
        <w:rPr>
          <w:rFonts w:cs="Arial"/>
          <w:bCs/>
          <w:i/>
          <w:lang w:val="en-GB"/>
        </w:rPr>
        <w:t>MRA: mineralocorticoid receptor antagonist; ACE–I:</w:t>
      </w:r>
      <w:r w:rsidRPr="00C248C5">
        <w:rPr>
          <w:rFonts w:ascii="Roboto" w:hAnsi="Roboto"/>
          <w:i/>
          <w:iCs/>
          <w:color w:val="000000"/>
          <w:sz w:val="30"/>
          <w:szCs w:val="30"/>
          <w:shd w:val="clear" w:color="auto" w:fill="FFFFFF"/>
          <w:lang w:val="en-GB"/>
        </w:rPr>
        <w:t xml:space="preserve"> </w:t>
      </w:r>
      <w:r w:rsidRPr="00C248C5">
        <w:rPr>
          <w:rFonts w:cs="Arial"/>
          <w:bCs/>
          <w:i/>
          <w:iCs/>
          <w:lang w:val="en-GB"/>
        </w:rPr>
        <w:t>angiotensin converting enzyme inhibitors; ARB: Angiotensin II receptor blockers</w:t>
      </w:r>
    </w:p>
    <w:p w:rsidR="00525315" w:rsidRPr="00C248C5" w:rsidRDefault="00525315" w:rsidP="00525315">
      <w:pPr>
        <w:rPr>
          <w:lang w:val="en-GB"/>
        </w:rPr>
      </w:pPr>
      <w:r w:rsidRPr="00C248C5">
        <w:rPr>
          <w:lang w:val="en-GB"/>
        </w:rPr>
        <w:br w:type="page"/>
      </w:r>
    </w:p>
    <w:p w:rsidR="00525315" w:rsidRPr="00C248C5" w:rsidRDefault="00525315" w:rsidP="00525315">
      <w:pPr>
        <w:rPr>
          <w:b/>
          <w:bCs/>
          <w:lang w:val="en-GB"/>
        </w:rPr>
      </w:pPr>
      <w:r w:rsidRPr="00C248C5">
        <w:rPr>
          <w:b/>
          <w:bCs/>
          <w:lang w:val="en-GB"/>
        </w:rPr>
        <w:lastRenderedPageBreak/>
        <w:t xml:space="preserve">Supplemental Table 2 Patient characteristics, and </w:t>
      </w:r>
      <w:proofErr w:type="spellStart"/>
      <w:r w:rsidRPr="00C248C5">
        <w:rPr>
          <w:b/>
          <w:bCs/>
          <w:lang w:val="en-GB"/>
        </w:rPr>
        <w:t>comedications</w:t>
      </w:r>
      <w:proofErr w:type="spellEnd"/>
      <w:r w:rsidRPr="00C248C5">
        <w:rPr>
          <w:b/>
          <w:bCs/>
          <w:lang w:val="en-GB"/>
        </w:rPr>
        <w:t xml:space="preserve"> of the study population and those missing information 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1417"/>
      </w:tblGrid>
      <w:tr w:rsidR="00525315" w:rsidRPr="00C248C5" w:rsidTr="00CB7098">
        <w:trPr>
          <w:trHeight w:val="525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Parameters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Study population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Missing information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p</w:t>
            </w:r>
            <w:r w:rsidRPr="00C248C5">
              <w:rPr>
                <w:rFonts w:eastAsia="Times New Roman" w:cs="Arial"/>
                <w:sz w:val="20"/>
                <w:szCs w:val="20"/>
                <w:lang w:eastAsia="de-DE"/>
              </w:rPr>
              <w:t>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Total, n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68,426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8,758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Age [years] ± SD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72.4 ± 13.1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72.4 ± 11.7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ns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Female, n (%)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31,318 (45.8)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3,695 (42.4)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&lt;0.0001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All–cause cost in 2023 [Euro] ± SD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12,501 ± 22,595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11,527 ± 19,337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&lt;0.0001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Comorbidities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sz w:val="20"/>
                <w:szCs w:val="20"/>
                <w:lang w:eastAsia="de-DE"/>
              </w:rPr>
              <w:t>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Elixhauser</w:t>
            </w:r>
            <w:proofErr w:type="spellEnd"/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Comorbidity Index, ± SD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20.1 ± 13.0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19.9 ± 12.9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ns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Obesity,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16.91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19.26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&lt;0.0001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Type 2 diabetes,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32.70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35.90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&lt;0.0001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Liver disease,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1.65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1.85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ns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Kidney disease,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30.16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32.19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&lt;0.0001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COPD or Asthma,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27.54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25.47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&lt;0.0001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Comedications</w:t>
            </w:r>
            <w:proofErr w:type="spellEnd"/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Diuretics excluding MRA,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49.71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49.14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ns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MRA,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20.73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20.59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ns </w:t>
            </w: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202122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202122"/>
                <w:sz w:val="20"/>
                <w:szCs w:val="20"/>
                <w:lang w:eastAsia="de-DE"/>
              </w:rPr>
              <w:t>β–blockers</w:t>
            </w: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66.70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69.66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&lt;0.0001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ACE–I or ARB,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45.72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48.40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&lt;0.0001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Sacubitril</w:t>
            </w:r>
            <w:proofErr w:type="spellEnd"/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/ valsartan,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7.83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8.86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0.001 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Digitalis,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3.93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4.36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ns </w:t>
            </w: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Calcium antagonists,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30.51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30.12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ns </w:t>
            </w: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525315" w:rsidRPr="00C248C5" w:rsidTr="00CB7098">
        <w:trPr>
          <w:trHeight w:val="34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Lipid modifying agents, %</w:t>
            </w: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54.29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57.06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de-DE"/>
              </w:rPr>
              <w:t> &lt;0.0001</w:t>
            </w:r>
          </w:p>
        </w:tc>
      </w:tr>
    </w:tbl>
    <w:p w:rsidR="00525315" w:rsidRPr="00C248C5" w:rsidRDefault="00525315" w:rsidP="00525315">
      <w:pPr>
        <w:spacing w:after="0" w:line="276" w:lineRule="auto"/>
        <w:jc w:val="both"/>
        <w:rPr>
          <w:b/>
          <w:bCs/>
        </w:rPr>
      </w:pPr>
      <w:r w:rsidRPr="00C248C5">
        <w:rPr>
          <w:rFonts w:cs="Arial"/>
        </w:rPr>
        <w:t>COPD: Chronic Obstructive Pulmonary Disease; MRA: mineralocorticoid receptor antagonist; ACE–I:</w:t>
      </w:r>
      <w:r w:rsidRPr="00C248C5">
        <w:rPr>
          <w:rFonts w:ascii="Roboto" w:hAnsi="Roboto"/>
          <w:i/>
          <w:iCs/>
          <w:color w:val="000000"/>
          <w:sz w:val="30"/>
          <w:szCs w:val="30"/>
          <w:shd w:val="clear" w:color="auto" w:fill="FFFFFF"/>
        </w:rPr>
        <w:t xml:space="preserve"> </w:t>
      </w:r>
      <w:r w:rsidRPr="00C248C5">
        <w:rPr>
          <w:rFonts w:cs="Arial"/>
          <w:i/>
          <w:iCs/>
        </w:rPr>
        <w:t>angiotensin converting enzyme inhibitors; ARB: Angiotensin II receptor blockers</w:t>
      </w:r>
    </w:p>
    <w:p w:rsidR="00525315" w:rsidRPr="00C248C5" w:rsidRDefault="00525315" w:rsidP="00525315">
      <w:pPr>
        <w:rPr>
          <w:b/>
          <w:bCs/>
          <w:noProof/>
        </w:rPr>
      </w:pPr>
    </w:p>
    <w:p w:rsidR="00525315" w:rsidRPr="00C248C5" w:rsidRDefault="00525315" w:rsidP="00525315">
      <w:pPr>
        <w:rPr>
          <w:b/>
          <w:bCs/>
          <w:noProof/>
          <w:lang w:val="en-GB"/>
        </w:rPr>
      </w:pPr>
      <w:r w:rsidRPr="00C248C5">
        <w:rPr>
          <w:b/>
          <w:bCs/>
          <w:noProof/>
          <w:lang w:val="en-GB"/>
        </w:rPr>
        <w:br w:type="page"/>
      </w:r>
      <w:r w:rsidRPr="00C248C5">
        <w:rPr>
          <w:b/>
          <w:bCs/>
          <w:lang w:val="en-GB"/>
        </w:rPr>
        <w:lastRenderedPageBreak/>
        <w:t xml:space="preserve">Supplemental Table 3 Sensitivity analysis using only inpatient heart failure diagnosis and </w:t>
      </w:r>
      <w:r w:rsidRPr="00C248C5">
        <w:rPr>
          <w:rFonts w:cs="Arial"/>
          <w:b/>
          <w:bCs/>
          <w:color w:val="212121"/>
          <w:shd w:val="clear" w:color="auto" w:fill="FFFFFF"/>
        </w:rPr>
        <w:t>requiring at least one main inpatient diagnosis or two secondary inpatient or confirmed outpatient diagnoses in two different quarters (M2Q definition).</w:t>
      </w:r>
    </w:p>
    <w:tbl>
      <w:tblPr>
        <w:tblpPr w:leftFromText="142" w:rightFromText="142" w:vertAnchor="page" w:horzAnchor="page" w:tblpXSpec="center" w:tblpY="2930"/>
        <w:tblW w:w="103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6"/>
        <w:gridCol w:w="2057"/>
        <w:gridCol w:w="1995"/>
        <w:gridCol w:w="1995"/>
      </w:tblGrid>
      <w:tr w:rsidR="00525315" w:rsidRPr="00C248C5" w:rsidTr="00CB7098">
        <w:trPr>
          <w:trHeight w:val="113"/>
          <w:jc w:val="center"/>
        </w:trPr>
        <w:tc>
          <w:tcPr>
            <w:tcW w:w="4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sz w:val="20"/>
                <w:szCs w:val="20"/>
              </w:rPr>
              <w:t>Patient characteristics 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Adjusted odds ratio 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(95% CI)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525315" w:rsidRPr="00C248C5" w:rsidTr="00CB7098">
        <w:trPr>
          <w:trHeight w:val="113"/>
          <w:jc w:val="center"/>
        </w:trPr>
        <w:tc>
          <w:tcPr>
            <w:tcW w:w="429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A6A6A6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A6A6A6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A6A6A6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5315" w:rsidRPr="00C248C5" w:rsidTr="00CB7098">
        <w:trPr>
          <w:trHeight w:val="113"/>
          <w:jc w:val="center"/>
        </w:trPr>
        <w:tc>
          <w:tcPr>
            <w:tcW w:w="429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Primary model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Only inpatient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M2Q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</w:rPr>
              <w:t>Individual socioeconomic factors</w:t>
            </w: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 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bookmarkStart w:id="1" w:name="OLE_LINK1"/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New enrolment DMP CAD, % 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  <w:bookmarkEnd w:id="1"/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1.89 (1.68–2.12)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1.86 (1.59–2.18)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1.82 (1.61–2.06)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Job loss in 2023, % 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1.08 (0.85–1.38)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0.99 (0.67–1.47)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1.06 (0.81–1.38)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Existing participation DMP CAD,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1.06 (0.99–1.14)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0.94 (0.84–1.06)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1.03 (0.95–1.11)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German nationality, % 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1.04 (0.91–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1.18)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0.91 (0.75–1.11)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1.01 (0.88–1.16)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Voluntary insurance,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0.88 (0.77–1.00)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0.79 (0.64–0.97)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0.90 (0.78–1.04)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Being a pensioner,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0.86 (0.78–0.93)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0.69 (0.60–0.79)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0.84 (0.76–0.92)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Receiving citizen’s benefits,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0.85 (0.69–1.04)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0.86 (0.63–1.17)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0.87 (0.70–1.08)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Female gender, % 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0.83 (0.78–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0.87)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0.83 (0.77–0.90)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  <w:t>0.84 (0.80–0.89)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Moving,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0.80 (0.67–0.95)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0.80 (0.64–0.99)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0.77 (0.64–0.92)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Family insurance,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0.79 (0.66–0.95)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0.72 (0.54–0.96)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0.73 (0.59–0.90)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Receiving unemployment benefits,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0.75 (0.53–1.05)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0.60 (0.34–1.07)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0.68 (0.47–0.99)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Age [years] ± SD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0.37 (0.18–0.76)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1.42 (0.47–4.40)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0.31 (0.14–0.68)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</w:rPr>
              <w:t>Area–level factors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Income tax per capita [Euro] ± SD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1.70 (1.37–2.09)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1.65 (1.21–2.24)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1.62 (1.30–2.01)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Resident in a city with at least 100,000 inhabitants,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1.13 (1.00–1.27)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1.14 (0.95–1.35)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1.13 (1.00–1.29)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Distance to the nearest pharmacy [m] ± SD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1.06 (0.79–1.43)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0.85 (0.54–1.34)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1.01 (0.73–1.39)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Hospital beds per 1,000 inhabitants ± SD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0.99 (0.70–1.39)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0.92 (0.56–1.52)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0.90 (0.63–1.29)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Resident in a city with 20,000 to 100,000 inhabitants, % 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0.98 (0.90–1.07)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1.01 (0.89–1.14)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0.98 (0.90–1.08)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At least one hospital in the municipality with acute cardiac care, % 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0.93 (0.80–1.08)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0.97 (0.79–1.18)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0.95 (0.82–1.11)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i/>
                <w:iCs/>
                <w:sz w:val="20"/>
                <w:szCs w:val="20"/>
              </w:rPr>
              <w:t>Comorbidities</w:t>
            </w:r>
            <w:r w:rsidRPr="00C248C5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Type 2 diabetes,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2.51 (2.39–2.65)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2.20 (2.03–2.39)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2.43 (2.29–2.57)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Newly coded HF,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2.42 (2.29–2.56)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1.61 (1.48–1.76)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2.48 (2.32–2.64)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Kidney disease,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1.43 (1.34–1.51)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1.15 (1.06–1.26)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1.41 (1.33–1.50)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sz w:val="20"/>
                <w:szCs w:val="20"/>
              </w:rPr>
              <w:t>Obesity, %</w:t>
            </w:r>
            <w:r w:rsidRPr="00C248C5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1.13 (1.06–1.21)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0.96 (0.87–1.06)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1.11 (1.03–1.19)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COPD or Asthma</w:t>
            </w:r>
            <w:r w:rsidRPr="00C248C5">
              <w:rPr>
                <w:rFonts w:cs="Arial"/>
                <w:b/>
                <w:bCs/>
                <w:sz w:val="20"/>
                <w:szCs w:val="20"/>
              </w:rPr>
              <w:t>, %</w:t>
            </w:r>
            <w:r w:rsidRPr="00C248C5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1.07 (1.01–1.13)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1.08 (0.99–1.17)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1.09 (1.02–1.15)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</w:pPr>
            <w:proofErr w:type="spellStart"/>
            <w:r w:rsidRPr="00C248C5">
              <w:rPr>
                <w:rFonts w:cs="Arial"/>
                <w:b/>
                <w:bCs/>
                <w:sz w:val="20"/>
                <w:szCs w:val="20"/>
              </w:rPr>
              <w:t>Elixhauser</w:t>
            </w:r>
            <w:proofErr w:type="spellEnd"/>
            <w:r w:rsidRPr="00C248C5">
              <w:rPr>
                <w:rFonts w:cs="Arial"/>
                <w:b/>
                <w:bCs/>
                <w:sz w:val="20"/>
                <w:szCs w:val="20"/>
              </w:rPr>
              <w:t xml:space="preserve"> Comorbidity Index </w:t>
            </w: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± SD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1.00 (1.00–1.00)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1.00 (0.99–1.00)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1.00 (1.00–1.00)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sz w:val="20"/>
                <w:szCs w:val="20"/>
              </w:rPr>
              <w:t>Liver disease, %</w:t>
            </w:r>
            <w:r w:rsidRPr="00C248C5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0.60 (0.50–0.72)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0.54 (0.42–0.68)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0.62 (0.51–0.75)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val="de-DE" w:eastAsia="de-DE"/>
              </w:rPr>
            </w:pPr>
            <w:proofErr w:type="spellStart"/>
            <w:r w:rsidRPr="00C248C5">
              <w:rPr>
                <w:rFonts w:cs="Arial"/>
                <w:b/>
                <w:bCs/>
                <w:i/>
                <w:iCs/>
                <w:sz w:val="20"/>
                <w:szCs w:val="20"/>
              </w:rPr>
              <w:t>Comedications</w:t>
            </w:r>
            <w:proofErr w:type="spellEnd"/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lastRenderedPageBreak/>
              <w:t>Sacubitril</w:t>
            </w:r>
            <w:proofErr w:type="spellEnd"/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/ valsartan,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5.22 (4.86–5.62)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6.85 (6.13–7.66)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5.18 (4.80–5.59)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MRA,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2.68 (2.53–2.83)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3.35 (3.09–3.63)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2.69 (2.54–2.85)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202122"/>
                <w:sz w:val="20"/>
                <w:szCs w:val="20"/>
                <w:lang w:val="de-DE" w:eastAsia="de-DE"/>
              </w:rPr>
            </w:pPr>
            <w:bookmarkStart w:id="2" w:name="OLE_LINK2"/>
            <w:r w:rsidRPr="00C248C5">
              <w:rPr>
                <w:rFonts w:cs="Arial"/>
                <w:b/>
                <w:bCs/>
                <w:color w:val="202122"/>
                <w:sz w:val="20"/>
                <w:szCs w:val="20"/>
              </w:rPr>
              <w:t>β–blockers</w:t>
            </w:r>
            <w:bookmarkEnd w:id="2"/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1.84 (1.71–1.97)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2.10 (1.87–2.36)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1.81 (1.68–1.96)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Diuretics excluding MRA,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1.30 (1.22–1.37)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1.32 (1.20–1.45)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1.34 (1.26–1.43)</w:t>
            </w:r>
          </w:p>
        </w:tc>
      </w:tr>
      <w:tr w:rsidR="00525315" w:rsidRPr="00C248C5" w:rsidTr="00CB7098">
        <w:trPr>
          <w:trHeight w:val="340"/>
          <w:jc w:val="center"/>
        </w:trPr>
        <w:tc>
          <w:tcPr>
            <w:tcW w:w="42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b/>
                <w:bCs/>
                <w:color w:val="000000"/>
                <w:sz w:val="20"/>
                <w:szCs w:val="20"/>
              </w:rPr>
              <w:t>ACE–I or ARB, %</w:t>
            </w:r>
            <w:r w:rsidRPr="00C248C5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de-DE" w:eastAsia="de-DE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1.23 (1.17–1.30)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1.21 (1.12–1.31)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25315" w:rsidRPr="00C248C5" w:rsidRDefault="00525315" w:rsidP="00CB709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248C5">
              <w:rPr>
                <w:rFonts w:cs="Arial"/>
                <w:color w:val="000000"/>
                <w:sz w:val="20"/>
                <w:szCs w:val="20"/>
              </w:rPr>
              <w:t>1.24 (1.18–1.31)</w:t>
            </w:r>
          </w:p>
        </w:tc>
      </w:tr>
    </w:tbl>
    <w:p w:rsidR="00B001FD" w:rsidRDefault="00525315">
      <w:r w:rsidRPr="00C248C5">
        <w:rPr>
          <w:rFonts w:cs="Arial"/>
        </w:rPr>
        <w:t>DMP CAD: disease management program coronary artery disease; COPD: Chronic Obstructive Pulmonary Disease; HF: heart failure; DMP CAD: disease management program coronary artery disease; MRA: mineralocorticoid receptor antagonist; ACE–I:</w:t>
      </w:r>
      <w:r w:rsidRPr="00C248C5">
        <w:rPr>
          <w:rFonts w:ascii="Roboto" w:hAnsi="Roboto"/>
          <w:i/>
          <w:iCs/>
          <w:color w:val="000000"/>
          <w:sz w:val="30"/>
          <w:szCs w:val="30"/>
          <w:shd w:val="clear" w:color="auto" w:fill="FFFFFF"/>
        </w:rPr>
        <w:t xml:space="preserve"> </w:t>
      </w:r>
      <w:r w:rsidRPr="00C248C5">
        <w:rPr>
          <w:rFonts w:cs="Arial"/>
          <w:i/>
          <w:iCs/>
        </w:rPr>
        <w:t>angiotensin converting enzyme inhibitors; ARB: Angiotensin II receptor</w:t>
      </w:r>
    </w:p>
    <w:sectPr w:rsidR="00B00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15"/>
    <w:rsid w:val="00525315"/>
    <w:rsid w:val="00B001FD"/>
    <w:rsid w:val="00C2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DE01FB-4FCA-47F1-8C81-D99FFBFB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315"/>
    <w:pPr>
      <w:spacing w:after="160" w:line="259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Redelyn Paladar</dc:creator>
  <cp:lastModifiedBy>Queenie Diamano</cp:lastModifiedBy>
  <cp:revision>2</cp:revision>
  <dcterms:created xsi:type="dcterms:W3CDTF">2026-06-06T06:09:00Z</dcterms:created>
  <dcterms:modified xsi:type="dcterms:W3CDTF">2026-06-11T05:32:00Z</dcterms:modified>
</cp:coreProperties>
</file>