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D8C12" w14:textId="77777777" w:rsidR="00715742" w:rsidRPr="007E3B4A" w:rsidRDefault="00000000" w:rsidP="004104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cs="Times New Roman"/>
          <w:color w:val="000000" w:themeColor="text1"/>
        </w:rPr>
      </w:pPr>
      <w:r>
        <w:rPr>
          <w:rFonts w:eastAsia="Times New Roman" w:cs="Times New Roman"/>
          <w:b/>
          <w:color w:val="000000" w:themeColor="text1"/>
        </w:rPr>
        <w:t>Supplementary Table S1. Baseline characteristics by registry (KorHF vs KorAHF)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744"/>
        <w:gridCol w:w="1609"/>
        <w:gridCol w:w="1609"/>
        <w:gridCol w:w="1609"/>
        <w:gridCol w:w="1181"/>
      </w:tblGrid>
      <w:tr w:rsidR="00715742" w:rsidRPr="007E3B4A" w14:paraId="19CAC748" w14:textId="77777777">
        <w:trPr>
          <w:tblHeader/>
          <w:jc w:val="center"/>
        </w:trPr>
        <w:tc>
          <w:tcPr>
            <w:tcW w:w="274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38453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바탕" w:cs="Times New Roman"/>
                <w:color w:val="000000"/>
                <w:lang w:eastAsia="ko-KR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852A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Overall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eastAsia="Times New Roman" w:cs="Times New Roman"/>
                <w:color w:val="000000"/>
              </w:rPr>
              <w:br/>
              <w:t>N = 8,384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6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8674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KorHF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eastAsia="Times New Roman" w:cs="Times New Roman"/>
                <w:color w:val="000000"/>
              </w:rPr>
              <w:br/>
              <w:t>N = 2,802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60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DE92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KorAHF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eastAsia="Times New Roman" w:cs="Times New Roman"/>
                <w:color w:val="000000"/>
              </w:rPr>
              <w:br/>
              <w:t>N = 5,582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5708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p-value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2</w:t>
            </w:r>
          </w:p>
        </w:tc>
      </w:tr>
      <w:tr w:rsidR="00715742" w:rsidRPr="007E3B4A" w14:paraId="3499E742" w14:textId="77777777">
        <w:trPr>
          <w:jc w:val="center"/>
        </w:trPr>
        <w:tc>
          <w:tcPr>
            <w:tcW w:w="274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DFA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Age (years)</w:t>
            </w:r>
          </w:p>
        </w:tc>
        <w:tc>
          <w:tcPr>
            <w:tcW w:w="16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38D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68.0 (14.4)</w:t>
            </w:r>
          </w:p>
        </w:tc>
        <w:tc>
          <w:tcPr>
            <w:tcW w:w="16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AA8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67.1 (14.3)</w:t>
            </w:r>
          </w:p>
        </w:tc>
        <w:tc>
          <w:tcPr>
            <w:tcW w:w="160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E50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68.4 (14.5)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E8F3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1721FD2B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AF7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Sex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E0017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6363E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B1BA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182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0.074</w:t>
            </w:r>
          </w:p>
        </w:tc>
      </w:tr>
      <w:tr w:rsidR="00715742" w:rsidRPr="007E3B4A" w14:paraId="027431CC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A226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Female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6A3B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3,978 (47%)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32BE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1,368 (49%)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6F10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2,610 (47%)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9DD1B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793C2B31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7228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Male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1A9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4,406 (53%)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B145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1,434 (51%)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8FC0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2,972 (53%)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90330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7EB53AED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1E01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 (kg/m²)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1AB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23.3 (3.9)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286F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23.2 (4.0)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627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23.3 (3.9)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3EC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</w:t>
            </w:r>
          </w:p>
        </w:tc>
      </w:tr>
      <w:tr w:rsidR="00715742" w:rsidRPr="007E3B4A" w14:paraId="30462F6B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8AF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 category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CD2C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DF2D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047D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AF5D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</w:tr>
      <w:tr w:rsidR="00715742" w:rsidRPr="007E3B4A" w14:paraId="3496BC93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5EE7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 ≤23 kg/m²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9455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4,181 (50%)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5B76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1,413 (50%)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8D47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2,768 (50%)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877E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2EA348C1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180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 &gt;23 kg/m²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F9C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4,203 (50%)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EC97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1,389 (50%)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4E46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2,814 (50%)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C1AF7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58E61F86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D17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Diabetes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2C7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2,850 (34%)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D570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879 (31%)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745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1,971 (35%)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E0E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61521F3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2A4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BMI–diabetes group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B989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B7FE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6B78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A47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0.003</w:t>
            </w:r>
          </w:p>
        </w:tc>
      </w:tr>
      <w:tr w:rsidR="00715742" w:rsidRPr="007E3B4A" w14:paraId="3826BDC8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41F5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diabetic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A2A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1,266 (15%)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789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405 (14%)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C50B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861 (15%)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F729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639073F2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6BF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A839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2,618 (31%)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A73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914 (33%)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A031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1,704 (31%)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1501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2FBA908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E7A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0ACB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1,584 (19%)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FC72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474 (17%)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B34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1,110 (20%)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586A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4FFEE39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751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D83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2,915 (35%)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97BF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1,008 (36%)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A56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1,907 (34%)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42A13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6F3599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AC5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NYHA III-IV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431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B4E1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F3D1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738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6ABFD4B6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7FA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NYHA I, II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BB7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1,472 (18%)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466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626 (26%)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BC18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846 (15%)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FEEE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731AF3C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04BA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NYHA III, IV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3BB2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6,490 (82%)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EE34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1,754 (74%)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62D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4,736 (85%)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71E4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288CBEEA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C6D0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Hypertension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FBCC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4,620 (55%)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DA5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1,319 (47%)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AF4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3,301 (59%)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DE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33DE5010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E71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COPD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D75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720 (8.9%)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B167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 (3.5%)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BD7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630 (11%)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6E0E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47E26278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2495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Ischemic etiology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5163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3,150 (38%)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A32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1,050 (38%)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F0D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2,100 (38%)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DC0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</w:t>
            </w:r>
          </w:p>
        </w:tc>
      </w:tr>
      <w:tr w:rsidR="00715742" w:rsidRPr="007E3B4A" w14:paraId="1D999CD7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872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Heart failure presentation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8191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5D6E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4949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046D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25E912B9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2A09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De-novo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F14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4,695 (58%)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334B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1,780 (70%)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31D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2,915 (52%)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3F69F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24B79909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F85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Acute decompensated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6A66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3,434 (42%)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A88D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767 (30%)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A97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2,667 (48%)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9EAF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0D1107B0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B2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HF type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90D6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0A21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6A2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560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</w:t>
            </w:r>
          </w:p>
        </w:tc>
      </w:tr>
      <w:tr w:rsidR="00715742" w:rsidRPr="007E3B4A" w14:paraId="3AEDBAA9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A6C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HFrEF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C0BB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4,615 (61%)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983D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1,538 (61%)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3A6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3,077 (61%)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08290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6F08A3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B1E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HFmrEF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897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1,058 (14%)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65E7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358 (14%)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213A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700 (14%)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D2FF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5C576024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2E52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HFpEF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D11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1,901 (25%)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B945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615 (24%)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67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1,286 (25%)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35A2D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46504B31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1F3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SBP (mmHg)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6E8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130.8 (30.0)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F9F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130.0 (29.3)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AF0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131.2 (30.3)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1770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0.078</w:t>
            </w:r>
          </w:p>
        </w:tc>
      </w:tr>
      <w:tr w:rsidR="00715742" w:rsidRPr="007E3B4A" w14:paraId="245103E9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1763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Hemoglobin (g/dL)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CB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12.4 (2.3)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AD8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12.5 (2.3)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BDC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12.4 (2.3)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81E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</w:tr>
      <w:tr w:rsidR="00715742" w:rsidRPr="007E3B4A" w14:paraId="28F60889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FD3B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Creatinine (mg/dL)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032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 (1.4)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B689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 (1.3)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CFE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 (1.5)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DE48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3900D39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274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eGFR &lt;60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A3294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3126F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25C9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1546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77EBFA5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C9E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 60 mL/min/1.73 m²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92E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3,940 (47%)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A3C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1,429 (52%)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1C68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2,511 (45%)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9526D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8B2660A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8DC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≥ 60 mL/min/1.73 m²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0C8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4,403 (53%)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C5D3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1,336 (48%)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11B9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3,067 (55%)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B4493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5AAB19FE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4EA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LVEF (%)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E96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37.9 (15.7)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F361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38.3 (15.7)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15D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37.7 (15.6)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5005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</w:tr>
      <w:tr w:rsidR="00715742" w:rsidRPr="007E3B4A" w14:paraId="576E951B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FFF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LVEDD (mm)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82C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57.3 (10.1)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48B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57.2 (10.3)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04DD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57.4 (10.1)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6AFA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</w:p>
        </w:tc>
      </w:tr>
      <w:tr w:rsidR="00715742" w:rsidRPr="007E3B4A" w14:paraId="7A3004FD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00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LA diameter (mm)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DEB5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47.9 (9.8)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ECD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47.0 (9.8)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7AF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48.2 (9.8)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7DC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580D8794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C60B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E/e'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EB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20.8 (11.5)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54D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19.7 (11.3)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B14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21.2 (11.5)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414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6A7CDED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70E7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Natriuretic-peptide quartile (BNP-Q)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7D19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D797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5757A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A27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100AEEFD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6F1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Q1 (lowest)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8E4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1,843 (25%)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962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660 (28%)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5E3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1,183 (24%)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81E9A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42CE7EF1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08C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Q2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F610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1,864 (25%)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202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550 (23%)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77B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1,314 (26%)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88120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7F022E9B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8C6F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Q3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6667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1,855 (25%)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066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601 (25%)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288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1,254 (25%)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5D891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647DEC9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2DAC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Q4 (highest)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08D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1,826 (25%)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064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565 (24%)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ED54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1,261 (25%)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7B5D8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E102A90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A8B2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RAS-inhibitor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9319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4,202 (50%)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0EA7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520 (19%)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B07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3,682 (66%)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3AC2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42189F56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D9A5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Beta-blocker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71F7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3,053 (41%)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F485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271 (14%)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5F95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2,782 (50%)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FF2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4E645276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7F2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MRA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F8D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3,535 (42%)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A7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1,024 (37%)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61A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2,511 (45%)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31A4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455D1ADF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60F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In-hospital death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E2DA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B537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AC7A9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A7F9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0.006</w:t>
            </w:r>
          </w:p>
        </w:tc>
      </w:tr>
      <w:tr w:rsidR="00715742" w:rsidRPr="007E3B4A" w14:paraId="540B80F2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A92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No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928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7,942 (95%)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F5E0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2,627 (94%)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C8C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5,315 (95%)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5825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161D30B5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A75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Yes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6B63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441 (5.3%)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D86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174 (6.2%)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325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267 (4.8%)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6F7F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65FB8BDB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53D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1-year death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82366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2B8ED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D30C5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4B2C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54C3CA22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36C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No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0175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6,757 (85%)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09C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2,413 (92%)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CE1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4,344 (82%)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859A5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3A1EAE7F" w14:textId="77777777">
        <w:trPr>
          <w:jc w:val="center"/>
        </w:trPr>
        <w:tc>
          <w:tcPr>
            <w:tcW w:w="2744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673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Yes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CC9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1,183 (15%)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E4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212 (8.1%)</w:t>
            </w:r>
          </w:p>
        </w:tc>
        <w:tc>
          <w:tcPr>
            <w:tcW w:w="16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BC2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971 (18%)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F514D" w14:textId="77777777" w:rsidR="00715742" w:rsidRPr="007E3B4A" w:rsidRDefault="007157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</w:rPr>
            </w:pPr>
          </w:p>
        </w:tc>
      </w:tr>
      <w:tr w:rsidR="00715742" w:rsidRPr="007E3B4A" w14:paraId="49669E43" w14:textId="77777777">
        <w:trPr>
          <w:jc w:val="center"/>
        </w:trPr>
        <w:tc>
          <w:tcPr>
            <w:tcW w:w="8752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087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>
              <w:rPr>
                <w:rFonts w:eastAsia="Times New Roman" w:cs="Times New Roman"/>
                <w:color w:val="000000"/>
              </w:rPr>
              <w:t>Mean (SD); n (%)</w:t>
            </w:r>
          </w:p>
        </w:tc>
      </w:tr>
      <w:tr w:rsidR="00715742" w:rsidRPr="007E3B4A" w14:paraId="1FBF2983" w14:textId="77777777">
        <w:trPr>
          <w:jc w:val="center"/>
        </w:trPr>
        <w:tc>
          <w:tcPr>
            <w:tcW w:w="875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252C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Wilcoxon rank sum test; Pearson's Chi-squared test</w:t>
            </w:r>
          </w:p>
        </w:tc>
      </w:tr>
    </w:tbl>
    <w:p w14:paraId="03A8526C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lastRenderedPageBreak/>
        <w:t>KorHF enrolled 2004–2009; KorAHF enrolled 2011–2014. Continuous variables, mean (SD) with Wilcoxon rank-sum test; categorical, n (%) with chi-square test; summarized among non-missing observations. Beta-blocker at discharge was missing in 32% of KorHF (vs 0% in KorAHF); its registry comparison should be read with this differential missingness in mind. Cardiac-device variables (ICD, CRT, permanent pacemaker) were captured in only one registry each (ICD/CRT in KorAHF; pacemaker in KorHF) and are therefore not comparable across registries; they are not shown. BNP-Q is a harmonized natriuretic-peptide quartile combining the assay-specific quartiles of BNP (predominantly measured in KorHF) and NT-proBNP (predominantly in KorAHF), which reduces missingness from 41% (NT-proBNP alone) to 12%. Registry-stratified outcome models and registry-interaction tests are reported in Supplementary Table S6.</w:t>
      </w:r>
    </w:p>
    <w:p w14:paraId="6B6EB151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br w:type="page"/>
      </w:r>
    </w:p>
    <w:p w14:paraId="10955BD7" w14:textId="77777777" w:rsidR="00715742" w:rsidRPr="007E3B4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cs="Times New Roman"/>
          <w:color w:val="000000" w:themeColor="text1"/>
        </w:rPr>
      </w:pPr>
      <w:r>
        <w:rPr>
          <w:rFonts w:eastAsia="Times New Roman" w:cs="Times New Roman"/>
          <w:b/>
          <w:color w:val="000000" w:themeColor="text1"/>
        </w:rPr>
        <w:lastRenderedPageBreak/>
        <w:t>Supplementary Table S2. Missing data by variable (overall and by registry)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721"/>
        <w:gridCol w:w="2762"/>
        <w:gridCol w:w="1700"/>
        <w:gridCol w:w="1883"/>
      </w:tblGrid>
      <w:tr w:rsidR="00715742" w:rsidRPr="007E3B4A" w14:paraId="6D505B33" w14:textId="77777777" w:rsidTr="0041048A">
        <w:trPr>
          <w:tblHeader/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0F61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Variable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D7F8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Missing overall (%)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37B6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KorHF (%)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2BC5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KorAHF (%)</w:t>
            </w:r>
          </w:p>
        </w:tc>
      </w:tr>
      <w:tr w:rsidR="00715742" w:rsidRPr="007E3B4A" w14:paraId="4E343AE8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7AE8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Body mass index (BMI)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0878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2F3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12.4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384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</w:t>
            </w:r>
          </w:p>
        </w:tc>
      </w:tr>
      <w:tr w:rsidR="00715742" w:rsidRPr="007E3B4A" w14:paraId="6663022E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4A49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Age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BAD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F050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A4F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0EB791F9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7862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Sex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3B35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494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C34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4D1B1F6B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AC9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Systolic blood pressure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DA0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1.4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EDD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2.8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3C8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</w:t>
            </w:r>
          </w:p>
        </w:tc>
      </w:tr>
      <w:tr w:rsidR="00715742" w:rsidRPr="007E3B4A" w14:paraId="3D864DCD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11DB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NYHA functional class III–IV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CF6A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5.7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E447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15.8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A27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27D557AD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8F8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Hemoglobin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467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E289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6FF8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  <w:tr w:rsidR="00715742" w:rsidRPr="007E3B4A" w14:paraId="6DF5955C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50D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Creatinine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6ABB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61EA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266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  <w:tr w:rsidR="00715742" w:rsidRPr="007E3B4A" w14:paraId="29D08BE2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D70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eGFR &lt; 60 mL/min/1.73 m²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BB2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515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105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  <w:tr w:rsidR="00715742" w:rsidRPr="007E3B4A" w14:paraId="47347C00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421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B-type natriuretic peptide (BNP)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A53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66.2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BFF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77.0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75E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60.1</w:t>
            </w:r>
          </w:p>
        </w:tc>
      </w:tr>
      <w:tr w:rsidR="00715742" w:rsidRPr="007E3B4A" w14:paraId="6DEBCEF1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3325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N-terminal pro–B-type natriuretic peptide (NT-proBNP)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0351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41.2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61C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32.2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D79F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46.3</w:t>
            </w:r>
          </w:p>
        </w:tc>
      </w:tr>
      <w:tr w:rsidR="00715742" w:rsidRPr="007E3B4A" w14:paraId="34AD9918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EC9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Natriuretic-peptide quartile (BNP-Q)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3AC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12.2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37B7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15.7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AE9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10.3</w:t>
            </w:r>
          </w:p>
        </w:tc>
      </w:tr>
      <w:tr w:rsidR="00715742" w:rsidRPr="007E3B4A" w14:paraId="50A6D78E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EDCD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Left ventricular ejection fraction (LVEF)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A6C6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EB9B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11.2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523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9.3</w:t>
            </w:r>
          </w:p>
        </w:tc>
      </w:tr>
      <w:tr w:rsidR="00715742" w:rsidRPr="007E3B4A" w14:paraId="25B64E2F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838A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E/e′ ratio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339B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32.8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AC8E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51.2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E7A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22.3</w:t>
            </w:r>
          </w:p>
        </w:tc>
      </w:tr>
      <w:tr w:rsidR="00715742" w:rsidRPr="007E3B4A" w14:paraId="5520A130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22A5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Ischemic etiology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FB14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026C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BF55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5C374911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C34B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Hypertension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FD96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50F3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FBB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24D79162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F37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Chronic obstructive pulmonary disease (COPD)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633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2.9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E05C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0B5B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356163BE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955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Heart failure type (HFrEF/HFmrEF/HFpEF)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106F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F09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11.2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E05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9.3</w:t>
            </w:r>
          </w:p>
        </w:tc>
      </w:tr>
      <w:tr w:rsidR="00715742" w:rsidRPr="007E3B4A" w14:paraId="33FDFF13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320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De-novo heart failure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8C65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2.9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E511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AF7B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443B8EBA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3C5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Diabetes mellitus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AB78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EC1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23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02895F86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EEF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Glycated hemoglobin (HbA1c)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234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76.6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8F33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78D6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63.3</w:t>
            </w:r>
          </w:p>
        </w:tc>
      </w:tr>
      <w:tr w:rsidR="00715742" w:rsidRPr="007E3B4A" w14:paraId="2888B093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51B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Serum glucose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0F5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A2C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3.9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81B3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</w:tr>
      <w:tr w:rsidR="00715742" w:rsidRPr="007E3B4A" w14:paraId="6122A527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B59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In-hospital death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558E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0FAE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626F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35F7838C" w14:textId="77777777" w:rsidTr="0041048A">
        <w:trPr>
          <w:jc w:val="center"/>
        </w:trPr>
        <w:tc>
          <w:tcPr>
            <w:tcW w:w="128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C2E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One-year all-cause death</w:t>
            </w:r>
          </w:p>
        </w:tc>
        <w:tc>
          <w:tcPr>
            <w:tcW w:w="159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E9C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5.7</w:t>
            </w:r>
          </w:p>
        </w:tc>
        <w:tc>
          <w:tcPr>
            <w:tcW w:w="100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5051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7.2</w:t>
            </w:r>
          </w:p>
        </w:tc>
        <w:tc>
          <w:tcPr>
            <w:tcW w:w="110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BA4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4.8</w:t>
            </w:r>
          </w:p>
        </w:tc>
      </w:tr>
      <w:tr w:rsidR="00715742" w:rsidRPr="007E3B4A" w14:paraId="06A2B640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E637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Renin–angiotensin system inhibitor at discharge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A51E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C37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7B7C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7C4A56C8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65E0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Beta-blocker at discharge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16BB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11.6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F28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31.9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BCA3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06E0FFB8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21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Mineralocorticoid-receptor antagonist at discharge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0C6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728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9E3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6126ED68" w14:textId="77777777" w:rsidTr="0041048A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057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Implantable cardioverter-defibrillator (ICD)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94E3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36.3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7A3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6AB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40D6FF9B" w14:textId="77777777" w:rsidTr="00483217">
        <w:trPr>
          <w:jc w:val="center"/>
        </w:trPr>
        <w:tc>
          <w:tcPr>
            <w:tcW w:w="128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A37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Cardiac resynchronization therapy (CRT)</w:t>
            </w:r>
          </w:p>
        </w:tc>
        <w:tc>
          <w:tcPr>
            <w:tcW w:w="159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11F2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36.3</w:t>
            </w:r>
          </w:p>
        </w:tc>
        <w:tc>
          <w:tcPr>
            <w:tcW w:w="100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4499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  <w:tc>
          <w:tcPr>
            <w:tcW w:w="110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7474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</w:t>
            </w:r>
          </w:p>
        </w:tc>
      </w:tr>
      <w:tr w:rsidR="00715742" w:rsidRPr="007E3B4A" w14:paraId="60AA6495" w14:textId="77777777" w:rsidTr="00483217">
        <w:trPr>
          <w:jc w:val="center"/>
        </w:trPr>
        <w:tc>
          <w:tcPr>
            <w:tcW w:w="1289" w:type="pct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C4B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Permanent pacemaker</w:t>
            </w:r>
          </w:p>
        </w:tc>
        <w:tc>
          <w:tcPr>
            <w:tcW w:w="1594" w:type="pct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471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66.7</w:t>
            </w:r>
          </w:p>
        </w:tc>
        <w:tc>
          <w:tcPr>
            <w:tcW w:w="1008" w:type="pct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45E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</w:t>
            </w:r>
          </w:p>
        </w:tc>
        <w:tc>
          <w:tcPr>
            <w:tcW w:w="1109" w:type="pct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340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100.0</w:t>
            </w:r>
          </w:p>
        </w:tc>
      </w:tr>
    </w:tbl>
    <w:p w14:paraId="03E19920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t>Primary multivariable models use complete cases on a consistent covariate set; NT-proBNP and E/e′ were excluded from the primary models (&gt;30% missing) because their inclusion restricted the modeled cohort to N=2,707. The two registries measured natriuretic peptides differently: BNP was missing in 77%/60% and NT-proBNP in 32%/46% of KorHF/KorAHF, whereas the harmonized quartile BNP-Q — which uses whichever peptide was available for each patient — is missing in only 16%/10%, enabling natriuretic-peptide adjustment across the pooled cohort with minimal case loss (Supplementary Table S3).</w:t>
      </w:r>
    </w:p>
    <w:p w14:paraId="00BC10CF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br w:type="page"/>
      </w:r>
    </w:p>
    <w:p w14:paraId="4382087F" w14:textId="01D476C1" w:rsidR="00715742" w:rsidRPr="007E3B4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cs="Times New Roman"/>
          <w:color w:val="000000" w:themeColor="text1"/>
        </w:rPr>
      </w:pPr>
      <w:r>
        <w:rPr>
          <w:rFonts w:eastAsia="Times New Roman" w:cs="Times New Roman"/>
          <w:b/>
          <w:color w:val="000000" w:themeColor="text1"/>
        </w:rPr>
        <w:lastRenderedPageBreak/>
        <w:t>Supplementary Table S3. Sensitivity analyses adjusting for natriuretic peptide and E/e′, including a harmonized natriuretic-peptide quartile (BNP-Q) to minimize case loss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4252"/>
        <w:gridCol w:w="2158"/>
        <w:gridCol w:w="1780"/>
        <w:gridCol w:w="876"/>
      </w:tblGrid>
      <w:tr w:rsidR="00111D2B" w:rsidRPr="007E3B4A" w14:paraId="766395B1" w14:textId="77777777" w:rsidTr="001A203D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D7C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Outcome (adjustment, N)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E35B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Group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ED00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Estimate (95% CI)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22CC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p</w:t>
            </w:r>
          </w:p>
        </w:tc>
      </w:tr>
      <w:tr w:rsidR="00111D2B" w:rsidRPr="007E3B4A" w14:paraId="5A025B38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A03C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no NP / E/e′ (restricted) — In-hospital (aOR), N=2,795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9FE14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2EC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1.38 (0.71-2.74)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FE574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0.345</w:t>
            </w:r>
          </w:p>
        </w:tc>
      </w:tr>
      <w:tr w:rsidR="00111D2B" w:rsidRPr="007E3B4A" w14:paraId="40941C6C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6982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664DC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8347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1.26 (0.63-2.57)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0E23E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0.512</w:t>
            </w:r>
          </w:p>
        </w:tc>
      </w:tr>
      <w:tr w:rsidR="00111D2B" w:rsidRPr="007E3B4A" w14:paraId="67A7987C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3220C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DCC6D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82F9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1.02 (0.54-1.98)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8977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0.960</w:t>
            </w:r>
          </w:p>
        </w:tc>
      </w:tr>
      <w:tr w:rsidR="00111D2B" w:rsidRPr="007E3B4A" w14:paraId="3B9F7D92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A96F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no NP / E/e′ (restricted) — 1-year (aHR), N=2,707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DFBE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3C6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0.58 (0.42-0.80)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27CED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111D2B" w:rsidRPr="007E3B4A" w14:paraId="322978EC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10C0C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8298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E4C4D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0.65 (0.46-0.90)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2169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0.010</w:t>
            </w:r>
          </w:p>
        </w:tc>
      </w:tr>
      <w:tr w:rsidR="00111D2B" w:rsidRPr="007E3B4A" w14:paraId="56923283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0B5F2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F84E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97B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1.05 (0.80-1.37)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FC1F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0.733</w:t>
            </w:r>
          </w:p>
        </w:tc>
      </w:tr>
      <w:tr w:rsidR="00111D2B" w:rsidRPr="007E3B4A" w14:paraId="3124841B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8B22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NT-proBNP + E/e' — In-hospital (aOR), N=2,795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E8A5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F7A8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1.70 (0.86-3.43)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A94C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0.128</w:t>
            </w:r>
          </w:p>
        </w:tc>
      </w:tr>
      <w:tr w:rsidR="00111D2B" w:rsidRPr="007E3B4A" w14:paraId="56F7D44E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BBD3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E7A72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C5DB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1.67 (0.81-3.45)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7B37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0.165</w:t>
            </w:r>
          </w:p>
        </w:tc>
      </w:tr>
      <w:tr w:rsidR="00111D2B" w:rsidRPr="007E3B4A" w14:paraId="21AAB279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A0AE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2614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9247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1.05 (0.54-2.06)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6C6E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0.896</w:t>
            </w:r>
          </w:p>
        </w:tc>
      </w:tr>
      <w:tr w:rsidR="00111D2B" w:rsidRPr="007E3B4A" w14:paraId="4678465E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D7ED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NT-proBNP + E/e' — 1-year (aHR), N=2,707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79808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3EE7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0.64 (0.46-0.88)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9EF25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0.007</w:t>
            </w:r>
          </w:p>
        </w:tc>
      </w:tr>
      <w:tr w:rsidR="00111D2B" w:rsidRPr="007E3B4A" w14:paraId="18061213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05B85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A8D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17B2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0.72 (0.52-1.01)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62D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0.059</w:t>
            </w:r>
          </w:p>
        </w:tc>
      </w:tr>
      <w:tr w:rsidR="00111D2B" w:rsidRPr="007E3B4A" w14:paraId="0DD41587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02451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00DC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ABB2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1.03 (0.79-1.35)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EB935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0.811</w:t>
            </w:r>
          </w:p>
        </w:tc>
      </w:tr>
      <w:tr w:rsidR="00111D2B" w:rsidRPr="007E3B4A" w14:paraId="6BE421B4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A857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BNP-Q + E/e' — In-hospital (aOR), N=4,676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8451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3FFF4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1.14 (0.71-1.85)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F61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0.595</w:t>
            </w:r>
          </w:p>
        </w:tc>
      </w:tr>
      <w:tr w:rsidR="00111D2B" w:rsidRPr="007E3B4A" w14:paraId="68886958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DE390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FD7D1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731D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0.97 (0.57-1.63)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A2F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0.903</w:t>
            </w:r>
          </w:p>
        </w:tc>
      </w:tr>
      <w:tr w:rsidR="00111D2B" w:rsidRPr="007E3B4A" w14:paraId="20F044D9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E34BA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9A2A7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CDC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0.81 (0.51-1.30)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F9DA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0.380</w:t>
            </w:r>
          </w:p>
        </w:tc>
      </w:tr>
      <w:tr w:rsidR="00111D2B" w:rsidRPr="007E3B4A" w14:paraId="023F3150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F44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BNP-Q + E/e' — 1-year (aHR), N=4,506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016AA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2425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0.67 (0.53-0.84)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C6A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111D2B" w:rsidRPr="007E3B4A" w14:paraId="14D24615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37239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1DC57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EA1BE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0.70 (0.55-0.89)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FA8FA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0.003</w:t>
            </w:r>
          </w:p>
        </w:tc>
      </w:tr>
      <w:tr w:rsidR="00111D2B" w:rsidRPr="007E3B4A" w14:paraId="5695ACC0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748A4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95D5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CAE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0.89 (0.73-1.09)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9338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0.267</w:t>
            </w:r>
          </w:p>
        </w:tc>
      </w:tr>
      <w:tr w:rsidR="00111D2B" w:rsidRPr="007E3B4A" w14:paraId="292331C9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12F12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+ BNP-Q — In-hospital (aOR), N=6,104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79FE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3D01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1.06 (0.72-1.56)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3258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0.786</w:t>
            </w:r>
          </w:p>
        </w:tc>
      </w:tr>
      <w:tr w:rsidR="00111D2B" w:rsidRPr="007E3B4A" w14:paraId="6FE7E12A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9C15D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BE25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812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0.82 (0.53-1.25)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32CBA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0.354</w:t>
            </w:r>
          </w:p>
        </w:tc>
      </w:tr>
      <w:tr w:rsidR="00111D2B" w:rsidRPr="007E3B4A" w14:paraId="49ABCC38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035E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BF16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90ED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0.85 (0.59-1.23)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B203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0.381</w:t>
            </w:r>
          </w:p>
        </w:tc>
      </w:tr>
      <w:tr w:rsidR="00111D2B" w:rsidRPr="007E3B4A" w14:paraId="63982DA3" w14:textId="77777777" w:rsidTr="001A203D">
        <w:trPr>
          <w:jc w:val="center"/>
        </w:trPr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63D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+ BNP-Q — 1-year (aHR), N=5,847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698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36E2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0.63 (0.51-0.77)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86A0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111D2B" w:rsidRPr="007E3B4A" w14:paraId="198BA916" w14:textId="77777777" w:rsidTr="001A203D">
        <w:trPr>
          <w:jc w:val="center"/>
        </w:trPr>
        <w:tc>
          <w:tcPr>
            <w:tcW w:w="0" w:type="auto"/>
            <w:vMerge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AEAA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8918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368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0.67 (0.54-0.83)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D636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111D2B" w:rsidRPr="007E3B4A" w14:paraId="5C2A8C37" w14:textId="77777777" w:rsidTr="001A203D">
        <w:trPr>
          <w:jc w:val="center"/>
        </w:trPr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60B9" w14:textId="77777777" w:rsidR="00111D2B" w:rsidRPr="007E3B4A" w:rsidRDefault="00111D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67BC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Lean non-diabetic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9588F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0.88 (0.73-1.04)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747CF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0.139</w:t>
            </w:r>
          </w:p>
        </w:tc>
      </w:tr>
    </w:tbl>
    <w:p w14:paraId="675206C6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t>Each model adds the indicated biomarker(s) to the primary covariate set (age, sex, systolic BP, NYHA III–IV, hemoglobin, creatinine, hypertension, COPD, eGFR&lt;60, LVEF, ischemic etiology, de novo vs. acute decompensated HF). The overweight-diabetic association is directionally consistent throughout (aHR 0.65–0.72). On the identical NT-proBNP/E/e′-complete subset (N=2,707) the estimate is 0.65 (p=0.010) without these biomarkers and 0.72 (p=0.059) with them, so the loss of nominal significance is produced by the natriuretic-peptide / E/e′ adjustment itself rather than by the smaller sample (the cohort-restricted estimate without biomarkers equals the full-cohort primary, 0.65; Table 3). Because NT-proBNP is missing in 41% versus 12% for the harmonized quartile BNP-Q (Supplementary Table S2), substituting BNP-Q permits natriuretic-peptide adjustment in a far larger cohort (N up to 5,847), where the paradox persists (overweight-diabetic aHR 0.67, p&lt;0.001). The association is therefore robust to natriuretic-peptide adjustment. In-hospital estimates are shown for completeness and are imprecise owing to few events.</w:t>
      </w:r>
    </w:p>
    <w:p w14:paraId="50DAD03E" w14:textId="77777777" w:rsidR="0041048A" w:rsidRPr="007E3B4A" w:rsidRDefault="0041048A">
      <w:pPr>
        <w:rPr>
          <w:rFonts w:cs="Times New Roman"/>
          <w:b/>
        </w:rPr>
      </w:pPr>
      <w:r>
        <w:rPr>
          <w:rFonts w:eastAsia="Times New Roman" w:cs="Times New Roman"/>
          <w:b/>
        </w:rPr>
        <w:br w:type="page"/>
      </w:r>
    </w:p>
    <w:p w14:paraId="190895F6" w14:textId="13CD9B5B" w:rsidR="00111D2B" w:rsidRPr="007E3B4A" w:rsidRDefault="00000000">
      <w:pPr>
        <w:rPr>
          <w:rFonts w:cs="Times New Roman"/>
        </w:rPr>
      </w:pPr>
      <w:r>
        <w:rPr>
          <w:rFonts w:eastAsia="Times New Roman" w:cs="Times New Roman"/>
          <w:b/>
        </w:rPr>
        <w:lastRenderedPageBreak/>
        <w:t>Supplementary Table S4. Formal BMI×DM interaction tests for one-year and in-hospital mortality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748"/>
        <w:gridCol w:w="1973"/>
        <w:gridCol w:w="2939"/>
        <w:gridCol w:w="2406"/>
      </w:tblGrid>
      <w:tr w:rsidR="00715742" w:rsidRPr="007E3B4A" w14:paraId="6DB891E7" w14:textId="77777777" w:rsidTr="0041048A">
        <w:trPr>
          <w:tblHeader/>
          <w:jc w:val="center"/>
        </w:trPr>
        <w:tc>
          <w:tcPr>
            <w:tcW w:w="110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C95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Outcome (model)</w:t>
            </w:r>
          </w:p>
        </w:tc>
        <w:tc>
          <w:tcPr>
            <w:tcW w:w="66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3148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BMI × DM parameterization</w:t>
            </w:r>
          </w:p>
        </w:tc>
        <w:tc>
          <w:tcPr>
            <w:tcW w:w="176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892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Interaction P, full cohort</w:t>
            </w:r>
          </w:p>
        </w:tc>
        <w:tc>
          <w:tcPr>
            <w:tcW w:w="14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4D47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Interaction P, restricted cohort</w:t>
            </w:r>
          </w:p>
        </w:tc>
      </w:tr>
      <w:tr w:rsidR="00715742" w:rsidRPr="007E3B4A" w14:paraId="3427386D" w14:textId="77777777" w:rsidTr="0041048A">
        <w:trPr>
          <w:jc w:val="center"/>
        </w:trPr>
        <w:tc>
          <w:tcPr>
            <w:tcW w:w="110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24A9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One-year all-cause mortality (Cox)</w:t>
            </w:r>
          </w:p>
        </w:tc>
        <w:tc>
          <w:tcPr>
            <w:tcW w:w="66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496D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BMI, continuous (per 1 kg/m²)</w:t>
            </w:r>
          </w:p>
        </w:tc>
        <w:tc>
          <w:tcPr>
            <w:tcW w:w="176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B85F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0.82</w:t>
            </w:r>
          </w:p>
        </w:tc>
        <w:tc>
          <w:tcPr>
            <w:tcW w:w="146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FB9C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0.63</w:t>
            </w:r>
          </w:p>
        </w:tc>
      </w:tr>
      <w:tr w:rsidR="00715742" w:rsidRPr="007E3B4A" w14:paraId="532CB35B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705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One-year all-cause mortality (Cox)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F4D3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(BMI ≥23 vs &lt;23)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12D7C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0.70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E26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0.46</w:t>
            </w:r>
          </w:p>
        </w:tc>
      </w:tr>
      <w:tr w:rsidR="00715742" w:rsidRPr="007E3B4A" w14:paraId="0239B418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9826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In-hospital mortality (logistic)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62D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BMI, continuous (per 1 kg/m²)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A4A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0.16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3B0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0.63</w:t>
            </w:r>
          </w:p>
        </w:tc>
      </w:tr>
      <w:tr w:rsidR="00715742" w:rsidRPr="007E3B4A" w14:paraId="291B65D6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BEC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In-hospital mortality (logistic)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AC6A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(BMI ≥23 vs &lt;23)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28DD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0.10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74C6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0.96</w:t>
            </w:r>
          </w:p>
        </w:tc>
      </w:tr>
    </w:tbl>
    <w:p w14:paraId="311FD452" w14:textId="4E11FACE" w:rsidR="00AE3B2A" w:rsidRPr="007E3B4A" w:rsidRDefault="00AE3B2A">
      <w:pPr>
        <w:rPr>
          <w:rFonts w:cs="Times New Roman"/>
        </w:rPr>
      </w:pPr>
      <w:r>
        <w:rPr>
          <w:rFonts w:eastAsia="Times New Roman" w:cs="Times New Roman"/>
        </w:rPr>
        <w:t>Values are P-values for the BMI×DM interaction term from likelihood-ratio tests (1 degree of freedom) comparing the multivariable main-effects model with the model additionally including the BMI×DM product term. Both outcome models were adjusted for the same prespecified covariates: age, sex, systolic blood pressure, NYHA class III–IV, hemoglobin, creatinine, hypertension, COPD, eGFR &lt;60 mL/min/1.73m², LVEF, ischemic etiology, and de novo vs. acute decompensated HF. Full-cohort models: N=6,566 (one-year Cox) and N=6,859 (in-hospital logistic). Restricted-cohort models were additionally adjusted for NT-proBNP (quartile) and E/e′, restricting to patients with both values available (N=2,707 and N=2,795, respectively). All interaction tests were non-significant (P&gt;0.05), indicating no statistical evidence that diabetes status modifies the BMI–mortality association on the multiplicative scale.</w:t>
      </w:r>
    </w:p>
    <w:p w14:paraId="67A1AF35" w14:textId="77777777" w:rsidR="00AE3B2A" w:rsidRPr="007E3B4A" w:rsidRDefault="00AE3B2A">
      <w:pPr>
        <w:rPr>
          <w:rFonts w:cs="Times New Roman"/>
        </w:rPr>
      </w:pPr>
      <w:r>
        <w:rPr>
          <w:rFonts w:eastAsia="Times New Roman" w:cs="Times New Roman"/>
        </w:rPr>
        <w:br w:type="page"/>
      </w:r>
    </w:p>
    <w:p w14:paraId="7573AD17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  <w:b/>
        </w:rPr>
        <w:lastRenderedPageBreak/>
        <w:t>Supplementary Table S5. Sensitivity analyses using alternative BMI parameterizations for one-year all-cause mortality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615"/>
        <w:gridCol w:w="946"/>
        <w:gridCol w:w="1122"/>
        <w:gridCol w:w="2386"/>
        <w:gridCol w:w="997"/>
      </w:tblGrid>
      <w:tr w:rsidR="00715742" w:rsidRPr="007E3B4A" w14:paraId="5E0C8DFE" w14:textId="77777777" w:rsidTr="0041048A">
        <w:trPr>
          <w:tblHeader/>
          <w:jc w:val="center"/>
        </w:trPr>
        <w:tc>
          <w:tcPr>
            <w:tcW w:w="199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5200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BMI parameterization</w:t>
            </w:r>
          </w:p>
        </w:tc>
        <w:tc>
          <w:tcPr>
            <w:tcW w:w="52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AB39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N</w:t>
            </w:r>
          </w:p>
        </w:tc>
        <w:tc>
          <w:tcPr>
            <w:tcW w:w="61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E5B2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Events</w:t>
            </w:r>
          </w:p>
        </w:tc>
        <w:tc>
          <w:tcPr>
            <w:tcW w:w="131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3A89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Adjusted HR (95% CI)</w:t>
            </w:r>
          </w:p>
        </w:tc>
        <w:tc>
          <w:tcPr>
            <w:tcW w:w="55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9B4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p</w:t>
            </w:r>
          </w:p>
        </w:tc>
      </w:tr>
      <w:tr w:rsidR="00715742" w:rsidRPr="007E3B4A" w14:paraId="39BD22F1" w14:textId="77777777" w:rsidTr="0041048A">
        <w:trPr>
          <w:jc w:val="center"/>
        </w:trPr>
        <w:tc>
          <w:tcPr>
            <w:tcW w:w="199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20A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BMI as a continuous variable (per +1 kg/m² increment)</w:t>
            </w:r>
          </w:p>
        </w:tc>
        <w:tc>
          <w:tcPr>
            <w:tcW w:w="52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1057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6,566</w:t>
            </w:r>
          </w:p>
        </w:tc>
        <w:tc>
          <w:tcPr>
            <w:tcW w:w="61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BE14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1,016</w:t>
            </w:r>
          </w:p>
        </w:tc>
        <w:tc>
          <w:tcPr>
            <w:tcW w:w="131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3C7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0.93 (0.91–0.95)</w:t>
            </w:r>
          </w:p>
        </w:tc>
        <w:tc>
          <w:tcPr>
            <w:tcW w:w="55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5E13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12F661F2" w14:textId="77777777" w:rsidTr="0041048A">
        <w:trPr>
          <w:jc w:val="center"/>
        </w:trPr>
        <w:tc>
          <w:tcPr>
            <w:tcW w:w="1993" w:type="pct"/>
            <w:tcBorders>
              <w:top w:val="none" w:sz="0" w:space="0" w:color="000000"/>
              <w:left w:val="none" w:sz="0" w:space="0" w:color="000000"/>
              <w:bottom w:val="non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240F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by WHO cutoff (BMI ≥25 vs &lt;25 kg/m²)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non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3B75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6,566</w:t>
            </w:r>
          </w:p>
        </w:tc>
        <w:tc>
          <w:tcPr>
            <w:tcW w:w="619" w:type="pct"/>
            <w:tcBorders>
              <w:top w:val="none" w:sz="0" w:space="0" w:color="000000"/>
              <w:left w:val="none" w:sz="0" w:space="0" w:color="000000"/>
              <w:bottom w:val="non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B25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1,016</w:t>
            </w:r>
          </w:p>
        </w:tc>
        <w:tc>
          <w:tcPr>
            <w:tcW w:w="1316" w:type="pct"/>
            <w:tcBorders>
              <w:top w:val="none" w:sz="0" w:space="0" w:color="000000"/>
              <w:left w:val="none" w:sz="0" w:space="0" w:color="000000"/>
              <w:bottom w:val="non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562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0.72 (0.62–0.85)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BF9A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715742" w:rsidRPr="007E3B4A" w14:paraId="28658A03" w14:textId="77777777" w:rsidTr="0041048A">
        <w:trPr>
          <w:jc w:val="center"/>
        </w:trPr>
        <w:tc>
          <w:tcPr>
            <w:tcW w:w="199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F449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Overweight (BMI ≥23 vs 20–&lt;23 kg/m²), extreme underweight excluded</w:t>
            </w:r>
          </w:p>
        </w:tc>
        <w:tc>
          <w:tcPr>
            <w:tcW w:w="522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5EE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5,351</w:t>
            </w:r>
          </w:p>
        </w:tc>
        <w:tc>
          <w:tcPr>
            <w:tcW w:w="61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A74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723</w:t>
            </w:r>
          </w:p>
        </w:tc>
        <w:tc>
          <w:tcPr>
            <w:tcW w:w="131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FCB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0.77 (0.66–0.90)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A2C6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0.001</w:t>
            </w:r>
          </w:p>
        </w:tc>
      </w:tr>
    </w:tbl>
    <w:p w14:paraId="11184314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t>One-year all-cause mortality, multivariable Cox proportional-hazards model adjusted for the same prespecified covariates as the primary model (Table 3): age, sex, systolic blood pressure, NYHA class III–IV, hemoglobin, creatinine, hypertension, COPD, eGFR &lt;60 mL/min/1.73m², LVEF, ischemic etiology, and de novo vs. acute decompensated HF, plus diabetes status. The continuous-BMI and WHO-threshold analyses used the full cohort (N=6,566; 1,016 deaths). The third analysis excluded patients with BMI &lt;20 kg/m² and compared BMI ≥23 with 20–&lt;23 kg/m² (N=5,351; 723 deaths). All three parameterizations confirm the inverse BMI–mortality association observed in the categorical four-group primary analysis (Table 3).</w:t>
      </w:r>
    </w:p>
    <w:p w14:paraId="633358B3" w14:textId="77777777" w:rsidR="00AE3B2A" w:rsidRPr="007E3B4A" w:rsidRDefault="00AE3B2A">
      <w:pPr>
        <w:rPr>
          <w:rFonts w:cs="Times New Roman"/>
          <w:b/>
        </w:rPr>
      </w:pPr>
      <w:r>
        <w:rPr>
          <w:rFonts w:eastAsia="Times New Roman" w:cs="Times New Roman"/>
          <w:b/>
        </w:rPr>
        <w:br w:type="page"/>
      </w:r>
    </w:p>
    <w:p w14:paraId="7D701412" w14:textId="2D210AA2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  <w:b/>
        </w:rPr>
        <w:lastRenderedPageBreak/>
        <w:t>Supplementary Table S6. Registry-stratified BMI–DM group effects and registry-interaction tests for one-year all-cause mortality.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067"/>
        <w:gridCol w:w="740"/>
        <w:gridCol w:w="894"/>
        <w:gridCol w:w="2083"/>
        <w:gridCol w:w="2449"/>
        <w:gridCol w:w="1833"/>
      </w:tblGrid>
      <w:tr w:rsidR="00111D2B" w:rsidRPr="007E3B4A" w14:paraId="130C15B6" w14:textId="77777777" w:rsidTr="001A203D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E1D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Registry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AACC6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3269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Events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B14BD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Overweight diabetic</w:t>
            </w:r>
            <w:r>
              <w:rPr>
                <w:rFonts w:eastAsia="Times New Roman" w:cs="Times New Roman"/>
                <w:b/>
                <w:color w:val="000000"/>
              </w:rPr>
              <w:br/>
              <w:t>aHR (95% CI)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779DD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Overweight non-diabetic</w:t>
            </w:r>
            <w:r>
              <w:rPr>
                <w:rFonts w:eastAsia="Times New Roman" w:cs="Times New Roman"/>
                <w:b/>
                <w:color w:val="000000"/>
              </w:rPr>
              <w:br/>
              <w:t>aHR (95% CI)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0001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Lean non-diabetic</w:t>
            </w:r>
            <w:r>
              <w:rPr>
                <w:rFonts w:eastAsia="Times New Roman" w:cs="Times New Roman"/>
                <w:b/>
                <w:color w:val="000000"/>
              </w:rPr>
              <w:br/>
              <w:t>aHR (95% CI)</w:t>
            </w:r>
          </w:p>
        </w:tc>
      </w:tr>
      <w:tr w:rsidR="00111D2B" w:rsidRPr="007E3B4A" w14:paraId="35DB6ACE" w14:textId="77777777" w:rsidTr="001A203D">
        <w:trPr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9772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KorHF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3D052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1,739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C6CF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152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6D820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0.53 (0.29-0.95)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E372A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0.59 (0.35-0.99)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238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0.97 (0.62-1.52)</w:t>
            </w:r>
          </w:p>
        </w:tc>
      </w:tr>
      <w:tr w:rsidR="00111D2B" w:rsidRPr="007E3B4A" w14:paraId="51AD56D9" w14:textId="77777777" w:rsidTr="001A203D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D3C7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KorAHF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5CD6A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4,827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64515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50DD9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0.67 (0.54-0.83)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01C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0.62 (0.50-0.76)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98EB" w14:textId="77777777" w:rsidR="00111D2B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0.89 (0.74-1.07)</w:t>
            </w:r>
          </w:p>
        </w:tc>
      </w:tr>
    </w:tbl>
    <w:p w14:paraId="01E996D5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t>Adjusted hazard ratios (95% CI) from Cox proportional-hazards models fitted within each registry, adjusted for the primary covariate set (age, sex, systolic BP, NYHA III–IV, hemoglobin, creatinine, hypertension, COPD, eGFR&lt;60, LVEF, ischemic etiology, de novo vs. acute decompensated HF); reference = lean diabetic. N and events denote the complete-case analytic sample. Registry×</w:t>
      </w:r>
      <w:proofErr w:type="gramStart"/>
      <w:r>
        <w:rPr>
          <w:rFonts w:eastAsia="Times New Roman" w:cs="Times New Roman"/>
        </w:rPr>
        <w:t>BMI(</w:t>
      </w:r>
      <w:proofErr w:type="gramEnd"/>
      <w:r>
        <w:rPr>
          <w:rFonts w:eastAsia="Times New Roman" w:cs="Times New Roman"/>
        </w:rPr>
        <w:t>&gt;23 kg/m²) interaction p=0.73; Registry×diabetes interaction p=0.42 — neither significant, supporting pooling of the two registries.</w:t>
      </w:r>
    </w:p>
    <w:p w14:paraId="3C44C08C" w14:textId="77777777" w:rsidR="001A203D" w:rsidRDefault="001A203D">
      <w:pPr>
        <w:rPr>
          <w:rFonts w:eastAsia="Times New Roman" w:cs="Times New Roman"/>
          <w:b/>
          <w:color w:val="000000" w:themeColor="text1"/>
        </w:rPr>
      </w:pPr>
      <w:r>
        <w:rPr>
          <w:rFonts w:eastAsia="Times New Roman" w:cs="Times New Roman"/>
          <w:b/>
          <w:color w:val="000000" w:themeColor="text1"/>
        </w:rPr>
        <w:br w:type="page"/>
      </w:r>
    </w:p>
    <w:p w14:paraId="49DD80CF" w14:textId="3EAADF49" w:rsidR="00715742" w:rsidRPr="007E3B4A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cs="Times New Roman"/>
          <w:color w:val="000000" w:themeColor="text1"/>
        </w:rPr>
      </w:pPr>
      <w:r>
        <w:rPr>
          <w:rFonts w:eastAsia="Times New Roman" w:cs="Times New Roman"/>
          <w:b/>
          <w:color w:val="000000" w:themeColor="text1"/>
        </w:rPr>
        <w:lastRenderedPageBreak/>
        <w:t>Supplementary Table S7. One-year and in-hospital mortality by finer BMI category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003"/>
        <w:gridCol w:w="1206"/>
        <w:gridCol w:w="3195"/>
        <w:gridCol w:w="2662"/>
      </w:tblGrid>
      <w:tr w:rsidR="00715742" w:rsidRPr="007E3B4A" w14:paraId="09131E05" w14:textId="77777777" w:rsidTr="0041048A">
        <w:trPr>
          <w:tblHeader/>
          <w:jc w:val="center"/>
        </w:trPr>
        <w:tc>
          <w:tcPr>
            <w:tcW w:w="110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541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BMI (kg/m2)</w:t>
            </w:r>
          </w:p>
        </w:tc>
        <w:tc>
          <w:tcPr>
            <w:tcW w:w="66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E32A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N</w:t>
            </w:r>
          </w:p>
        </w:tc>
        <w:tc>
          <w:tcPr>
            <w:tcW w:w="176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9F5E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In-hospital deaths (%)</w:t>
            </w:r>
          </w:p>
        </w:tc>
        <w:tc>
          <w:tcPr>
            <w:tcW w:w="14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7277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b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1-year deaths (%)</w:t>
            </w:r>
          </w:p>
        </w:tc>
      </w:tr>
      <w:tr w:rsidR="00715742" w:rsidRPr="007E3B4A" w14:paraId="110CA27F" w14:textId="77777777" w:rsidTr="0041048A">
        <w:trPr>
          <w:jc w:val="center"/>
        </w:trPr>
        <w:tc>
          <w:tcPr>
            <w:tcW w:w="110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50A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&lt;18.5</w:t>
            </w:r>
          </w:p>
        </w:tc>
        <w:tc>
          <w:tcPr>
            <w:tcW w:w="66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AD2C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762</w:t>
            </w:r>
          </w:p>
        </w:tc>
        <w:tc>
          <w:tcPr>
            <w:tcW w:w="176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765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44 (5.8)</w:t>
            </w:r>
          </w:p>
        </w:tc>
        <w:tc>
          <w:tcPr>
            <w:tcW w:w="146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8AB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 (26.9)</w:t>
            </w:r>
          </w:p>
        </w:tc>
      </w:tr>
      <w:tr w:rsidR="00715742" w:rsidRPr="007E3B4A" w14:paraId="12319BA1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2A53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18.5-20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5ECF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823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9F76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 (6.7)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F9D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157 (20.5)</w:t>
            </w:r>
          </w:p>
        </w:tc>
      </w:tr>
      <w:tr w:rsidR="00715742" w:rsidRPr="007E3B4A" w14:paraId="4D0BBD39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1FE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20-23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054B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2,596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E664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151 (5.8)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0A1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389 (15.9)</w:t>
            </w:r>
          </w:p>
        </w:tc>
      </w:tr>
      <w:tr w:rsidR="00715742" w:rsidRPr="007E3B4A" w14:paraId="29F99613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71783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23-25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DD45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1,789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78F41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91 (5.1)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8A4D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216 (12.7)</w:t>
            </w:r>
          </w:p>
        </w:tc>
      </w:tr>
      <w:tr w:rsidR="00715742" w:rsidRPr="007E3B4A" w14:paraId="19B04D44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F122B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25-30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8EF75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2,012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754A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86 (4.3)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CC96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 (10.4)</w:t>
            </w:r>
          </w:p>
        </w:tc>
      </w:tr>
      <w:tr w:rsidR="00715742" w:rsidRPr="007E3B4A" w14:paraId="4C060F7B" w14:textId="77777777" w:rsidTr="0041048A">
        <w:trPr>
          <w:jc w:val="center"/>
        </w:trPr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0FB14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&gt;30</w:t>
            </w:r>
          </w:p>
        </w:tc>
        <w:tc>
          <w:tcPr>
            <w:tcW w:w="66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EBC9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402</w:t>
            </w:r>
          </w:p>
        </w:tc>
        <w:tc>
          <w:tcPr>
            <w:tcW w:w="1762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365E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 (3.5)</w:t>
            </w:r>
          </w:p>
        </w:tc>
        <w:tc>
          <w:tcPr>
            <w:tcW w:w="146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87E68" w14:textId="77777777" w:rsidR="00715742" w:rsidRPr="007E3B4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 (7.0)</w:t>
            </w:r>
          </w:p>
        </w:tc>
      </w:tr>
    </w:tbl>
    <w:p w14:paraId="1F8CC843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t>WHO categories: underweight &lt;18.5, normal 18.5-25, overweight 25-30, obese &gt;=30. KSSO overweight cutoff = 23. Monotone inverse BMI-mortality gradient.</w:t>
      </w:r>
    </w:p>
    <w:p w14:paraId="76EB7F5D" w14:textId="77777777" w:rsidR="00715742" w:rsidRPr="007E3B4A" w:rsidRDefault="00000000">
      <w:pPr>
        <w:rPr>
          <w:rFonts w:cs="Times New Roman"/>
        </w:rPr>
      </w:pPr>
      <w:r>
        <w:rPr>
          <w:rFonts w:eastAsia="Times New Roman" w:cs="Times New Roman"/>
        </w:rPr>
        <w:br w:type="page"/>
      </w:r>
    </w:p>
    <w:sectPr w:rsidR="00715742" w:rsidRPr="007E3B4A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47308082">
    <w:abstractNumId w:val="1"/>
  </w:num>
  <w:num w:numId="2" w16cid:durableId="1036541372">
    <w:abstractNumId w:val="2"/>
  </w:num>
  <w:num w:numId="3" w16cid:durableId="1121402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742"/>
    <w:rsid w:val="00111D2B"/>
    <w:rsid w:val="001A203D"/>
    <w:rsid w:val="002A061E"/>
    <w:rsid w:val="0041048A"/>
    <w:rsid w:val="00483217"/>
    <w:rsid w:val="004B2333"/>
    <w:rsid w:val="00715742"/>
    <w:rsid w:val="00742352"/>
    <w:rsid w:val="007D2DCE"/>
    <w:rsid w:val="007E3B4A"/>
    <w:rsid w:val="009B29B4"/>
    <w:rsid w:val="00AE3B2A"/>
    <w:rsid w:val="00E65E25"/>
    <w:rsid w:val="00F5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744B6"/>
  <w15:docId w15:val="{6D24573F-FCD4-574B-8E9F-E93D50E3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</w:rPr>
  </w:style>
  <w:style w:type="paragraph" w:styleId="1">
    <w:name w:val="heading 1"/>
    <w:basedOn w:val="a"/>
    <w:next w:val="a"/>
    <w:link w:val="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굵은 텍스트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1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1802</Words>
  <Characters>10278</Characters>
  <Application>Microsoft Office Word</Application>
  <DocSecurity>0</DocSecurity>
  <Lines>85</Lines>
  <Paragraphs>24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고수령</cp:lastModifiedBy>
  <cp:revision>3</cp:revision>
  <dcterms:created xsi:type="dcterms:W3CDTF">2017-02-28T11:18:00Z</dcterms:created>
  <dcterms:modified xsi:type="dcterms:W3CDTF">2026-06-29T17:31:00Z</dcterms:modified>
  <cp:category/>
</cp:coreProperties>
</file>