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 w:cs="Arial"/>
          <w:b/>
          <w:bCs/>
        </w:rPr>
      </w:pPr>
      <w:bookmarkStart w:id="0" w:name="_GoBack"/>
      <w:bookmarkEnd w:id="0"/>
      <w:r>
        <w:rPr>
          <w:rFonts w:cs="Arial" w:ascii="Arial" w:hAnsi="Arial"/>
          <w:b/>
          <w:bCs/>
        </w:rPr>
        <w:t xml:space="preserve">Supplementary File for “Long-term LDL-C lowering and treatment persistence with inclisiran: three-year follow- up from the German Inclisiran Network” </w:t>
      </w:r>
    </w:p>
    <w:p>
      <w:pPr>
        <w:pStyle w:val="Normal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  <w:b/>
          <w:bCs/>
        </w:rPr>
        <w:t xml:space="preserve">Supplementary Table 1. </w:t>
      </w:r>
      <w:r>
        <w:rPr>
          <w:rFonts w:cs="Arial" w:ascii="Arial" w:hAnsi="Arial"/>
        </w:rPr>
        <w:t xml:space="preserve">Percentages of patients achieving EAS/ESC Guideline recommended LDL-C target levels. </w:t>
      </w:r>
    </w:p>
    <w:tbl>
      <w:tblPr>
        <w:tblStyle w:val="Tabellenraster"/>
        <w:tblW w:w="812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708"/>
        <w:gridCol w:w="2709"/>
        <w:gridCol w:w="2709"/>
      </w:tblGrid>
      <w:tr>
        <w:trPr>
          <w:trHeight w:val="831" w:hRule="atLeast"/>
        </w:trPr>
        <w:tc>
          <w:tcPr>
            <w:tcW w:w="2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eastAsia="Aptos" w:cs="Arial" w:ascii="Arial" w:hAnsi="Arial"/>
                <w:b/>
                <w:bCs/>
                <w:kern w:val="2"/>
                <w:sz w:val="22"/>
                <w:szCs w:val="22"/>
                <w:lang w:val="en-US" w:eastAsia="ja-JP" w:bidi="ar-SA"/>
              </w:rPr>
              <w:t xml:space="preserve">Target level definition </w:t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eastAsia="Aptos" w:cs="Arial" w:ascii="Arial" w:hAnsi="Arial"/>
                <w:b/>
                <w:bCs/>
                <w:kern w:val="2"/>
                <w:sz w:val="22"/>
                <w:szCs w:val="22"/>
                <w:lang w:val="en-US" w:eastAsia="ja-JP" w:bidi="ar-SA"/>
              </w:rPr>
              <w:t>Ever achieved LDL-C target goal, n (%)</w:t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eastAsia="Aptos" w:cs="Arial" w:ascii="Arial" w:hAnsi="Arial"/>
                <w:b/>
                <w:bCs/>
                <w:kern w:val="2"/>
                <w:sz w:val="22"/>
                <w:szCs w:val="22"/>
                <w:lang w:val="en-US" w:eastAsia="ja-JP" w:bidi="ar-SA"/>
              </w:rPr>
              <w:t>Achieved LDL-C target at least 50% of time</w:t>
            </w:r>
          </w:p>
        </w:tc>
      </w:tr>
      <w:tr>
        <w:trPr>
          <w:trHeight w:val="273" w:hRule="atLeast"/>
        </w:trPr>
        <w:tc>
          <w:tcPr>
            <w:tcW w:w="2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en-US" w:eastAsia="ja-JP" w:bidi="ar-SA"/>
              </w:rPr>
              <w:t>LDL-C&lt;1.4 mmol/L or &lt;1.8 mmol/L</w:t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2"/>
                <w:szCs w:val="22"/>
                <w:lang w:val="en-US" w:eastAsia="de-DE" w:bidi="ar-SA"/>
                <w14:ligatures w14:val="none"/>
              </w:rPr>
              <w:t>49 (45.0%)</w:t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2"/>
                <w:szCs w:val="22"/>
                <w:lang w:val="en-US" w:eastAsia="de-DE" w:bidi="ar-SA"/>
                <w14:ligatures w14:val="none"/>
              </w:rPr>
              <w:t>27 (24.8%)</w:t>
            </w:r>
          </w:p>
        </w:tc>
      </w:tr>
      <w:tr>
        <w:trPr>
          <w:trHeight w:val="557" w:hRule="atLeast"/>
        </w:trPr>
        <w:tc>
          <w:tcPr>
            <w:tcW w:w="2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en-US" w:eastAsia="ja-JP" w:bidi="ar-SA"/>
              </w:rPr>
              <w:t>LDL-C reduction ≥50% from baseline</w:t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2"/>
                <w:szCs w:val="22"/>
                <w:lang w:val="en-US" w:eastAsia="de-DE" w:bidi="ar-SA"/>
                <w14:ligatures w14:val="none"/>
              </w:rPr>
              <w:t>48 (44.0%)</w:t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en-US" w:eastAsia="ja-JP" w:bidi="ar-SA"/>
              </w:rPr>
              <w:t>18 (16.5%)</w:t>
            </w:r>
          </w:p>
        </w:tc>
      </w:tr>
      <w:tr>
        <w:trPr>
          <w:trHeight w:val="273" w:hRule="atLeast"/>
        </w:trPr>
        <w:tc>
          <w:tcPr>
            <w:tcW w:w="2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en-US" w:eastAsia="ja-JP" w:bidi="ar-SA"/>
              </w:rPr>
              <w:t>Both targets</w:t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2"/>
                <w:szCs w:val="22"/>
                <w:lang w:val="en-US" w:eastAsia="de-DE" w:bidi="ar-SA"/>
                <w14:ligatures w14:val="none"/>
              </w:rPr>
              <w:t>36 (33.0%)</w:t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2"/>
                <w:szCs w:val="22"/>
                <w:lang w:val="de-DE" w:eastAsia="de-DE" w:bidi="ar-SA"/>
                <w14:ligatures w14:val="none"/>
              </w:rPr>
              <w:t>9 (8.3%)</w:t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 xml:space="preserve">Supplementary Table 2. </w:t>
      </w:r>
      <w:r>
        <w:rPr>
          <w:rFonts w:cs="Arial" w:ascii="Arial" w:hAnsi="Arial"/>
        </w:rPr>
        <w:t>Percentage of non-responders according to two definitions (LDL-C reduction less than 25% or 50%).</w:t>
      </w:r>
      <w:r>
        <w:rPr>
          <w:rFonts w:cs="Arial" w:ascii="Arial" w:hAnsi="Arial"/>
          <w:b/>
          <w:bCs/>
        </w:rPr>
        <w:t xml:space="preserve"> </w:t>
      </w:r>
    </w:p>
    <w:tbl>
      <w:tblPr>
        <w:tblStyle w:val="Tabellenraster"/>
        <w:tblW w:w="812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708"/>
        <w:gridCol w:w="2709"/>
        <w:gridCol w:w="2709"/>
      </w:tblGrid>
      <w:tr>
        <w:trPr>
          <w:trHeight w:val="831" w:hRule="atLeast"/>
        </w:trPr>
        <w:tc>
          <w:tcPr>
            <w:tcW w:w="2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eastAsia="Aptos" w:cs="Arial" w:ascii="Arial" w:hAnsi="Arial"/>
                <w:b/>
                <w:bCs/>
                <w:kern w:val="2"/>
                <w:sz w:val="22"/>
                <w:szCs w:val="22"/>
                <w:lang w:val="en-US" w:eastAsia="ja-JP" w:bidi="ar-SA"/>
              </w:rPr>
              <w:t>Definition of response</w:t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eastAsia="Aptos" w:cs="Arial" w:ascii="Arial" w:hAnsi="Arial"/>
                <w:b/>
                <w:bCs/>
                <w:kern w:val="2"/>
                <w:sz w:val="22"/>
                <w:szCs w:val="22"/>
                <w:lang w:val="en-US" w:eastAsia="ja-JP" w:bidi="ar-SA"/>
              </w:rPr>
              <w:t>Median LDL-C during all visits</w:t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eastAsia="Aptos" w:cs="Arial" w:ascii="Arial" w:hAnsi="Arial"/>
                <w:b/>
                <w:bCs/>
                <w:kern w:val="2"/>
                <w:sz w:val="22"/>
                <w:szCs w:val="22"/>
                <w:lang w:val="en-US" w:eastAsia="ja-JP" w:bidi="ar-SA"/>
              </w:rPr>
              <w:t>Nadir LDL-C (lowest value)</w:t>
            </w:r>
          </w:p>
        </w:tc>
      </w:tr>
      <w:tr>
        <w:trPr>
          <w:trHeight w:val="519" w:hRule="atLeast"/>
        </w:trPr>
        <w:tc>
          <w:tcPr>
            <w:tcW w:w="2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en-US" w:eastAsia="ja-JP" w:bidi="ar-SA"/>
              </w:rPr>
              <w:t>LDL-C reduction &lt;25%</w:t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en-US" w:eastAsia="ja-JP" w:bidi="ar-SA"/>
              </w:rPr>
              <w:t>47 (43.1%)</w:t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en-US" w:eastAsia="ja-JP" w:bidi="ar-SA"/>
              </w:rPr>
              <w:t>18 (16.5%)</w:t>
            </w:r>
          </w:p>
        </w:tc>
      </w:tr>
      <w:tr>
        <w:trPr>
          <w:trHeight w:val="557" w:hRule="atLeast"/>
        </w:trPr>
        <w:tc>
          <w:tcPr>
            <w:tcW w:w="2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en-US" w:eastAsia="ja-JP" w:bidi="ar-SA"/>
              </w:rPr>
              <w:t>LDL-C reduction &lt;50%</w:t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en-US" w:eastAsia="ja-JP" w:bidi="ar-SA"/>
              </w:rPr>
              <w:t>94 (86.2%)</w:t>
            </w:r>
          </w:p>
        </w:tc>
        <w:tc>
          <w:tcPr>
            <w:tcW w:w="2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eastAsia="Aptos" w:cs="Arial" w:ascii="Arial" w:hAnsi="Arial"/>
                <w:kern w:val="2"/>
                <w:sz w:val="22"/>
                <w:szCs w:val="22"/>
                <w:lang w:val="en-US" w:eastAsia="ja-JP" w:bidi="ar-SA"/>
              </w:rPr>
              <w:t>61 (56.0%)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 xml:space="preserve">Supplementary Table 3. </w:t>
      </w:r>
      <w:r>
        <w:rPr>
          <w:rFonts w:cs="Arial" w:ascii="Arial" w:hAnsi="Arial"/>
        </w:rPr>
        <w:t>Baseline characteristics of non-responders vs. responders (based on cut-off 25% LDL-C reduction).</w:t>
      </w:r>
    </w:p>
    <w:tbl>
      <w:tblPr>
        <w:tblW w:w="6115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noHBand="0" w:noVBand="1" w:firstColumn="1" w:lastRow="0" w:lastColumn="0" w:firstRow="1"/>
      </w:tblPr>
      <w:tblGrid>
        <w:gridCol w:w="2250"/>
        <w:gridCol w:w="1519"/>
        <w:gridCol w:w="1595"/>
        <w:gridCol w:w="750"/>
      </w:tblGrid>
      <w:tr>
        <w:trPr>
          <w:trHeight w:val="300" w:hRule="atLeast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Variable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Responders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de-DE" w:eastAsia="de-DE"/>
                <w14:ligatures w14:val="none"/>
              </w:rPr>
              <w:t xml:space="preserve">       </w:t>
            </w: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de-DE" w:eastAsia="de-DE"/>
                <w14:ligatures w14:val="none"/>
              </w:rPr>
              <w:t>(n=62)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Non-responders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(n=47)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P value</w:t>
            </w:r>
          </w:p>
        </w:tc>
      </w:tr>
      <w:tr>
        <w:trPr>
          <w:trHeight w:val="300" w:hRule="atLeast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de-DE" w:eastAsia="de-DE"/>
                <w14:ligatures w14:val="none"/>
              </w:rPr>
              <w:t>Age, years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65.1 (10.1)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62.8 (9.61)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0.</w:t>
            </w: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231</w:t>
            </w:r>
          </w:p>
        </w:tc>
      </w:tr>
      <w:tr>
        <w:trPr>
          <w:trHeight w:val="300" w:hRule="atLeast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Sex (female)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27 (43.5%)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20 (42.6%)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1.000</w:t>
            </w:r>
          </w:p>
        </w:tc>
      </w:tr>
      <w:tr>
        <w:trPr>
          <w:trHeight w:val="300" w:hRule="atLeast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BMI, kg/m²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26.4 (4.19)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27.1 (4.68)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0.</w:t>
            </w: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531</w:t>
            </w:r>
          </w:p>
        </w:tc>
      </w:tr>
      <w:tr>
        <w:trPr>
          <w:trHeight w:val="300" w:hRule="atLeast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Baseline LDL-C, mmol/L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3.0 (1.49)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3.76 (1.8)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0.0</w:t>
            </w:r>
            <w:r>
              <w:rPr>
                <w:rFonts w:eastAsia="Times New Roman" w:cs="Arial" w:ascii="Arial" w:hAnsi="Arial"/>
                <w:b/>
                <w:bCs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21</w:t>
            </w:r>
          </w:p>
        </w:tc>
      </w:tr>
      <w:tr>
        <w:trPr>
          <w:trHeight w:val="300" w:hRule="atLeast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Baseline TC, mmol/L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5.23 (1.75)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5.86 (1.99)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0.</w:t>
            </w: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121</w:t>
            </w:r>
          </w:p>
        </w:tc>
      </w:tr>
      <w:tr>
        <w:trPr>
          <w:trHeight w:val="300" w:hRule="atLeast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Baseline HDL-C, mmol/L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1.33 (0.46)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1.36 (0.43)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0.</w:t>
            </w: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752</w:t>
            </w:r>
          </w:p>
        </w:tc>
      </w:tr>
      <w:tr>
        <w:trPr>
          <w:trHeight w:val="300" w:hRule="atLeast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Baseline TG, mmol/L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2.21 (1.81)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2.27 (1.77)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0.</w:t>
            </w: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886</w:t>
            </w:r>
          </w:p>
        </w:tc>
      </w:tr>
      <w:tr>
        <w:trPr>
          <w:trHeight w:val="300" w:hRule="atLeast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de-DE" w:eastAsia="de-DE"/>
                <w14:ligatures w14:val="none"/>
              </w:rPr>
              <w:t>Diabetes (yes)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9 (14.5%)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8 (17.0%)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0.793</w:t>
            </w:r>
          </w:p>
        </w:tc>
      </w:tr>
      <w:tr>
        <w:trPr>
          <w:trHeight w:val="300" w:hRule="atLeast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ASCVD (yes)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53 (85.5%)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38 (80.9%)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0.606</w:t>
            </w:r>
          </w:p>
        </w:tc>
      </w:tr>
      <w:tr>
        <w:trPr>
          <w:trHeight w:val="300" w:hRule="atLeast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FH (yes)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de-DE" w:eastAsia="de-DE"/>
                <w14:ligatures w14:val="none"/>
              </w:rPr>
              <w:t>30 (48.4%)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de-DE" w:eastAsia="de-DE"/>
                <w14:ligatures w14:val="none"/>
              </w:rPr>
              <w:t>20 (42.6%)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de-DE" w:eastAsia="de-DE"/>
                <w14:ligatures w14:val="none"/>
              </w:rPr>
              <w:t>0.566</w:t>
            </w:r>
          </w:p>
        </w:tc>
      </w:tr>
      <w:tr>
        <w:trPr>
          <w:trHeight w:val="300" w:hRule="atLeast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CKD (yes)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17 (27.4%)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18 (38.3%)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0.301</w:t>
            </w:r>
          </w:p>
        </w:tc>
      </w:tr>
      <w:tr>
        <w:trPr>
          <w:trHeight w:val="300" w:hRule="atLeast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Statin (yes)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23 (37.1%)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11 (23.4%)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lang w:val="de-DE" w:eastAsia="de-DE"/>
                <w14:ligatures w14:val="none"/>
              </w:rPr>
              <w:t>0.148</w:t>
            </w:r>
          </w:p>
        </w:tc>
      </w:tr>
      <w:tr>
        <w:trPr>
          <w:trHeight w:val="300" w:hRule="atLeast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de-DE" w:eastAsia="de-DE"/>
                <w14:ligatures w14:val="none"/>
              </w:rPr>
              <w:t>LLT (yes)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de-DE" w:eastAsia="de-DE"/>
                <w14:ligatures w14:val="none"/>
              </w:rPr>
              <w:t xml:space="preserve">41 (66.1%)      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kern w:val="0"/>
                <w:sz w:val="20"/>
                <w:szCs w:val="20"/>
                <w:lang w:val="de-DE" w:eastAsia="de-DE"/>
                <w14:ligatures w14:val="none"/>
              </w:rPr>
              <w:t xml:space="preserve">21 (44.7%)  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kern w:val="0"/>
                <w:sz w:val="20"/>
                <w:szCs w:val="20"/>
                <w:lang w:val="de-DE" w:eastAsia="de-DE"/>
                <w14:ligatures w14:val="none"/>
              </w:rPr>
            </w:pPr>
            <w:r>
              <w:rPr>
                <w:rFonts w:eastAsia="Times New Roman" w:cs="Arial" w:ascii="Arial" w:hAnsi="Arial"/>
                <w:b/>
                <w:bCs/>
                <w:kern w:val="0"/>
                <w:sz w:val="20"/>
                <w:szCs w:val="20"/>
                <w:lang w:val="de-DE" w:eastAsia="de-DE"/>
                <w14:ligatures w14:val="none"/>
              </w:rPr>
              <w:t xml:space="preserve">0.032     </w:t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Aptos Displa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75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en-US" w:eastAsia="ja-JP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en-US" w:eastAsia="ja-JP" w:bidi="ar-SA"/>
      <w14:ligatures w14:val="standardContextual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d64bea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d64bea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d64bea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d64bea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d64bea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d64bea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d64bea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d64bea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d64bea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d64bea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d64bea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d64bea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d64bea"/>
    <w:rPr>
      <w:rFonts w:eastAsia="" w:cs="" w:cstheme="majorBidi" w:eastAsiaTheme="majorEastAsia"/>
      <w:i/>
      <w:iCs/>
      <w:color w:themeColor="accent1" w:themeShade="bf" w:val="0F476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d64bea"/>
    <w:rPr>
      <w:rFonts w:eastAsia="" w:cs="" w:cstheme="majorBidi" w:eastAsiaTheme="majorEastAsia"/>
      <w:color w:themeColor="accent1" w:themeShade="bf" w:val="0F476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d64bea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d64bea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d64bea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d64bea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d64bea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d64bea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d64bea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d64bea"/>
    <w:rPr>
      <w:i/>
      <w:iCs/>
      <w:color w:themeColor="accent1" w:themeShade="bf" w:val="0F476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d64bea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d64bea"/>
    <w:rPr>
      <w:b/>
      <w:bCs/>
      <w:smallCaps/>
      <w:color w:themeColor="accent1" w:themeShade="bf" w:val="0F4761"/>
      <w:spacing w:val="5"/>
    </w:rPr>
  </w:style>
  <w:style w:type="character" w:styleId="gnvwddmdn3b" w:customStyle="1">
    <w:name w:val="gnvwddmdn3b"/>
    <w:basedOn w:val="DefaultParagraphFont"/>
    <w:qFormat/>
    <w:rsid w:val="00864b3c"/>
    <w:rPr/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link w:val="TitelZchn"/>
    <w:uiPriority w:val="10"/>
    <w:qFormat/>
    <w:rsid w:val="00d64bea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d64bea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d64bea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d64bea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d64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Tabelleninhalt">
    <w:name w:val="Tabelleninhalt"/>
    <w:basedOn w:val="Normal"/>
    <w:qFormat/>
    <w:pPr>
      <w:widowControl w:val="false"/>
      <w:suppressLineNumbers/>
    </w:pPr>
    <w:rPr/>
  </w:style>
  <w:style w:type="paragraph" w:styleId="Tabellenberschrift">
    <w:name w:val="Tabellenüberschrift"/>
    <w:basedOn w:val="Tabelleninhalt"/>
    <w:qFormat/>
    <w:pPr>
      <w:suppressLineNumbers/>
      <w:jc w:val="center"/>
    </w:pPr>
    <w:rPr>
      <w:b/>
      <w:bCs/>
    </w:rPr>
  </w:style>
  <w:style w:type="numbering" w:styleId="KeineListe" w:default="1">
    <w:name w:val="Keine Liste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39"/>
    <w:rsid w:val="00d64be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LibreOffice/24.2.7.2$Linux_X86_64 LibreOffice_project/420$Build-2</Application>
  <AppVersion>15.0000</AppVersion>
  <DocSecurity>4</DocSecurity>
  <Pages>1</Pages>
  <Words>235</Words>
  <Characters>1302</Characters>
  <CharactersWithSpaces>1479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2026-08-23T18:10:00Z</dcterms:created>
  <dc:creator>Makhmudova, Umidakhon</dc:creator>
  <dc:description/>
  <dc:language>de-DE</dc:language>
  <cp:lastModifiedBy/>
  <dcterms:modified xsi:type="dcterms:W3CDTF">2026-09-19T21:53:16Z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