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D0D" w:rsidRDefault="00710D30" w:rsidP="00710D30">
      <w:pPr>
        <w:pStyle w:val="Heading1FMBM"/>
      </w:pPr>
      <w:r>
        <w:t>Supplementary Information</w:t>
      </w:r>
    </w:p>
    <w:p w:rsidR="00A47D0D" w:rsidRDefault="006F455D" w:rsidP="00EC1F46">
      <w:pPr>
        <w:pStyle w:val="Heading2"/>
      </w:pPr>
      <w:r>
        <w:t>DNA Extraction and Sequencing Method</w:t>
      </w:r>
    </w:p>
    <w:p w:rsidR="006F455D" w:rsidRPr="006F455D" w:rsidRDefault="006F455D" w:rsidP="00EC1F46"/>
    <w:p w:rsidR="006F455D" w:rsidRPr="006545E2" w:rsidRDefault="006F455D" w:rsidP="006F455D">
      <w:pPr>
        <w:spacing w:line="480" w:lineRule="auto"/>
        <w:rPr>
          <w:rFonts w:ascii="Times New Roman" w:hAnsi="Times New Roman" w:cs="Times New Roman"/>
        </w:rPr>
      </w:pPr>
      <w:r w:rsidRPr="00E87C2E">
        <w:rPr>
          <w:rFonts w:ascii="Calibri" w:hAnsi="Calibri" w:cs="Calibri"/>
          <w:sz w:val="24"/>
          <w:szCs w:val="24"/>
        </w:rPr>
        <w:t xml:space="preserve">The </w:t>
      </w:r>
      <w:proofErr w:type="spellStart"/>
      <w:r w:rsidRPr="00E87C2E">
        <w:rPr>
          <w:rFonts w:ascii="Calibri" w:hAnsi="Calibri" w:cs="Calibri"/>
          <w:sz w:val="24"/>
          <w:szCs w:val="24"/>
        </w:rPr>
        <w:t>QIAamp</w:t>
      </w:r>
      <w:proofErr w:type="spellEnd"/>
      <w:r w:rsidRPr="00E87C2E">
        <w:rPr>
          <w:rFonts w:ascii="Calibri" w:hAnsi="Calibri" w:cs="Calibri"/>
          <w:sz w:val="24"/>
          <w:szCs w:val="24"/>
        </w:rPr>
        <w:t xml:space="preserve"> </w:t>
      </w:r>
      <w:proofErr w:type="spellStart"/>
      <w:r w:rsidRPr="00E87C2E">
        <w:rPr>
          <w:rFonts w:ascii="Calibri" w:hAnsi="Calibri" w:cs="Calibri"/>
          <w:sz w:val="24"/>
          <w:szCs w:val="24"/>
        </w:rPr>
        <w:t>PowerFecal</w:t>
      </w:r>
      <w:proofErr w:type="spellEnd"/>
      <w:r w:rsidRPr="00E87C2E">
        <w:rPr>
          <w:rFonts w:ascii="Calibri" w:hAnsi="Calibri" w:cs="Calibri"/>
          <w:sz w:val="24"/>
          <w:szCs w:val="24"/>
        </w:rPr>
        <w:t xml:space="preserve"> DNA Kit (QIAGEN, Netherlands) </w:t>
      </w:r>
      <w:r w:rsidRPr="004F0289">
        <w:rPr>
          <w:rFonts w:ascii="Calibri" w:hAnsi="Calibri" w:cs="Calibri"/>
          <w:noProof/>
          <w:sz w:val="24"/>
          <w:szCs w:val="24"/>
        </w:rPr>
        <w:t>was utilised</w:t>
      </w:r>
      <w:r w:rsidRPr="00E87C2E">
        <w:rPr>
          <w:rFonts w:ascii="Calibri" w:hAnsi="Calibri" w:cs="Calibri"/>
          <w:sz w:val="24"/>
          <w:szCs w:val="24"/>
        </w:rPr>
        <w:t xml:space="preserve"> for the DNA extraction follow</w:t>
      </w:r>
      <w:r>
        <w:rPr>
          <w:rFonts w:ascii="Calibri" w:hAnsi="Calibri" w:cs="Calibri"/>
          <w:sz w:val="24"/>
          <w:szCs w:val="24"/>
        </w:rPr>
        <w:t>ing</w:t>
      </w:r>
      <w:r w:rsidRPr="00E87C2E">
        <w:rPr>
          <w:rFonts w:ascii="Calibri" w:hAnsi="Calibri" w:cs="Calibri"/>
          <w:sz w:val="24"/>
          <w:szCs w:val="24"/>
        </w:rPr>
        <w:t xml:space="preserve"> the manufacturer</w:t>
      </w:r>
      <w:r>
        <w:rPr>
          <w:rFonts w:ascii="Calibri" w:hAnsi="Calibri" w:cs="Calibri"/>
          <w:sz w:val="24"/>
          <w:szCs w:val="24"/>
        </w:rPr>
        <w:t xml:space="preserve"> instructions</w:t>
      </w:r>
      <w:r w:rsidRPr="00E87C2E">
        <w:rPr>
          <w:rFonts w:ascii="Calibri" w:hAnsi="Calibri" w:cs="Calibri"/>
          <w:sz w:val="24"/>
          <w:szCs w:val="24"/>
        </w:rPr>
        <w:t>, using 0.2</w:t>
      </w:r>
      <w:r>
        <w:rPr>
          <w:rFonts w:ascii="Calibri" w:hAnsi="Calibri" w:cs="Calibri"/>
          <w:sz w:val="24"/>
          <w:szCs w:val="24"/>
        </w:rPr>
        <w:t xml:space="preserve"> </w:t>
      </w:r>
      <w:r w:rsidRPr="00E87C2E">
        <w:rPr>
          <w:rFonts w:ascii="Calibri" w:hAnsi="Calibri" w:cs="Calibri"/>
          <w:sz w:val="24"/>
          <w:szCs w:val="24"/>
        </w:rPr>
        <w:t xml:space="preserve">g of </w:t>
      </w:r>
      <w:r w:rsidRPr="00E87C2E">
        <w:rPr>
          <w:rFonts w:ascii="Calibri" w:hAnsi="Calibri" w:cs="Calibri"/>
          <w:noProof/>
          <w:sz w:val="24"/>
          <w:szCs w:val="24"/>
        </w:rPr>
        <w:t>well-homogenised</w:t>
      </w:r>
      <w:r w:rsidRPr="00E87C2E">
        <w:rPr>
          <w:rFonts w:ascii="Calibri" w:hAnsi="Calibri" w:cs="Calibri"/>
          <w:sz w:val="24"/>
          <w:szCs w:val="24"/>
        </w:rPr>
        <w:t xml:space="preserve"> sample, </w:t>
      </w:r>
      <w:r>
        <w:rPr>
          <w:rFonts w:ascii="Calibri" w:hAnsi="Calibri" w:cs="Calibri"/>
          <w:sz w:val="24"/>
          <w:szCs w:val="24"/>
        </w:rPr>
        <w:t>and two</w:t>
      </w:r>
      <w:r w:rsidRPr="00E87C2E">
        <w:rPr>
          <w:rFonts w:ascii="Calibri" w:hAnsi="Calibri" w:cs="Calibri"/>
          <w:sz w:val="24"/>
          <w:szCs w:val="24"/>
        </w:rPr>
        <w:t xml:space="preserve"> </w:t>
      </w:r>
      <w:r w:rsidRPr="00E87C2E">
        <w:rPr>
          <w:rFonts w:ascii="Calibri" w:hAnsi="Calibri" w:cs="Calibri"/>
          <w:noProof/>
          <w:sz w:val="24"/>
          <w:szCs w:val="24"/>
        </w:rPr>
        <w:t>30-second</w:t>
      </w:r>
      <w:r w:rsidRPr="00E87C2E">
        <w:rPr>
          <w:rFonts w:ascii="Calibri" w:hAnsi="Calibri" w:cs="Calibri"/>
          <w:sz w:val="24"/>
          <w:szCs w:val="24"/>
        </w:rPr>
        <w:t xml:space="preserve"> intervals of beat-beating using a Bertin mini-</w:t>
      </w:r>
      <w:proofErr w:type="spellStart"/>
      <w:r w:rsidRPr="004F0289">
        <w:rPr>
          <w:rFonts w:ascii="Calibri" w:hAnsi="Calibri" w:cs="Calibri"/>
          <w:noProof/>
          <w:sz w:val="24"/>
          <w:szCs w:val="24"/>
        </w:rPr>
        <w:t>lyser</w:t>
      </w:r>
      <w:proofErr w:type="spellEnd"/>
      <w:r w:rsidRPr="00E87C2E">
        <w:rPr>
          <w:rFonts w:ascii="Calibri" w:hAnsi="Calibri" w:cs="Calibri"/>
          <w:sz w:val="24"/>
          <w:szCs w:val="24"/>
        </w:rPr>
        <w:t xml:space="preserve"> (Bertin Instruments, France)</w:t>
      </w:r>
      <w:r>
        <w:rPr>
          <w:rFonts w:ascii="Calibri" w:hAnsi="Calibri" w:cs="Calibri"/>
          <w:sz w:val="24"/>
          <w:szCs w:val="24"/>
        </w:rPr>
        <w:t xml:space="preserve"> for mechanical lysis</w:t>
      </w:r>
      <w:r w:rsidRPr="00E87C2E">
        <w:rPr>
          <w:rFonts w:ascii="Calibri" w:hAnsi="Calibri" w:cs="Calibri"/>
          <w:sz w:val="24"/>
          <w:szCs w:val="24"/>
        </w:rPr>
        <w:t>.</w:t>
      </w:r>
      <w:r>
        <w:rPr>
          <w:rFonts w:ascii="Calibri" w:hAnsi="Calibri" w:cs="Calibri"/>
          <w:sz w:val="24"/>
          <w:szCs w:val="24"/>
        </w:rPr>
        <w:t xml:space="preserve"> Five QC samples (no stool) were extracted at the same time and carried all the way through to sequencing to control for introduced contamination in the extraction and sequencing workflow.</w:t>
      </w:r>
      <w:r w:rsidRPr="00E0358F">
        <w:rPr>
          <w:color w:val="000000"/>
          <w:sz w:val="24"/>
          <w:szCs w:val="24"/>
        </w:rPr>
        <w:t xml:space="preserve"> </w:t>
      </w:r>
      <w:r w:rsidRPr="00E87C2E">
        <w:rPr>
          <w:color w:val="000000"/>
          <w:sz w:val="24"/>
          <w:szCs w:val="24"/>
        </w:rPr>
        <w:t xml:space="preserve">DNA concentrations were determined </w:t>
      </w:r>
      <w:r w:rsidRPr="00E87C2E">
        <w:rPr>
          <w:noProof/>
          <w:color w:val="000000"/>
          <w:sz w:val="24"/>
          <w:szCs w:val="24"/>
        </w:rPr>
        <w:t>spectrophotometrically</w:t>
      </w:r>
      <w:r w:rsidRPr="00E87C2E">
        <w:rPr>
          <w:color w:val="000000"/>
          <w:sz w:val="24"/>
          <w:szCs w:val="24"/>
        </w:rPr>
        <w:t xml:space="preserve">, using the </w:t>
      </w:r>
      <w:r w:rsidRPr="004F0289">
        <w:rPr>
          <w:noProof/>
          <w:color w:val="000000"/>
          <w:sz w:val="24"/>
          <w:szCs w:val="24"/>
        </w:rPr>
        <w:t>QIAxpert</w:t>
      </w:r>
      <w:r w:rsidRPr="00E87C2E">
        <w:rPr>
          <w:color w:val="000000"/>
          <w:sz w:val="24"/>
          <w:szCs w:val="24"/>
        </w:rPr>
        <w:t xml:space="preserve"> (QIAGEN, Netherlands). </w:t>
      </w:r>
      <w:r>
        <w:rPr>
          <w:color w:val="000000"/>
          <w:sz w:val="24"/>
          <w:szCs w:val="24"/>
        </w:rPr>
        <w:t xml:space="preserve">PCR inhibitors were assessed by a three point dilution of each sample prior to </w:t>
      </w:r>
      <w:r w:rsidRPr="004F0289">
        <w:rPr>
          <w:rFonts w:ascii="Calibri" w:hAnsi="Calibri" w:cs="Calibri"/>
          <w:noProof/>
          <w:sz w:val="24"/>
          <w:szCs w:val="24"/>
        </w:rPr>
        <w:t>quantitative polymerase chain reaction (qPCR)</w:t>
      </w:r>
      <w:r>
        <w:rPr>
          <w:rFonts w:ascii="Calibri" w:hAnsi="Calibri" w:cs="Calibri"/>
          <w:noProof/>
          <w:sz w:val="24"/>
          <w:szCs w:val="24"/>
        </w:rPr>
        <w:t xml:space="preserve"> using same cycling conditions and primers as described below. For the amplicon PCR,</w:t>
      </w:r>
      <w:r w:rsidRPr="004F0289">
        <w:rPr>
          <w:rFonts w:ascii="Calibri" w:hAnsi="Calibri" w:cs="Calibri"/>
          <w:noProof/>
          <w:sz w:val="24"/>
          <w:szCs w:val="24"/>
        </w:rPr>
        <w:t xml:space="preserve"> </w:t>
      </w:r>
      <w:r>
        <w:rPr>
          <w:rFonts w:ascii="Calibri" w:hAnsi="Calibri" w:cs="Calibri"/>
          <w:noProof/>
          <w:sz w:val="24"/>
          <w:szCs w:val="24"/>
        </w:rPr>
        <w:t>2</w:t>
      </w:r>
      <w:r w:rsidRPr="004F0289">
        <w:rPr>
          <w:rFonts w:ascii="Calibri" w:hAnsi="Calibri" w:cs="Calibri"/>
          <w:noProof/>
          <w:sz w:val="24"/>
          <w:szCs w:val="24"/>
        </w:rPr>
        <w:t xml:space="preserve"> µL of </w:t>
      </w:r>
      <w:r>
        <w:rPr>
          <w:rFonts w:ascii="Calibri" w:hAnsi="Calibri" w:cs="Calibri"/>
          <w:noProof/>
          <w:sz w:val="24"/>
          <w:szCs w:val="24"/>
        </w:rPr>
        <w:t xml:space="preserve">the highest non-inhibited </w:t>
      </w:r>
      <w:r w:rsidRPr="004F0289">
        <w:rPr>
          <w:rFonts w:ascii="Calibri" w:hAnsi="Calibri" w:cs="Calibri"/>
          <w:noProof/>
          <w:sz w:val="24"/>
          <w:szCs w:val="24"/>
        </w:rPr>
        <w:t>DNA</w:t>
      </w:r>
      <w:r>
        <w:rPr>
          <w:rFonts w:ascii="Calibri" w:hAnsi="Calibri" w:cs="Calibri"/>
          <w:noProof/>
          <w:sz w:val="24"/>
          <w:szCs w:val="24"/>
        </w:rPr>
        <w:t xml:space="preserve"> dilution</w:t>
      </w:r>
      <w:r w:rsidRPr="004F0289">
        <w:rPr>
          <w:rFonts w:ascii="Calibri" w:hAnsi="Calibri" w:cs="Calibri"/>
          <w:noProof/>
          <w:sz w:val="24"/>
          <w:szCs w:val="24"/>
        </w:rPr>
        <w:t xml:space="preserve"> and 23 µL master mix were combined (14.45 µL ultrapure water, 2.5 µL reaction buffer</w:t>
      </w:r>
      <w:r>
        <w:rPr>
          <w:rFonts w:ascii="Calibri" w:hAnsi="Calibri" w:cs="Calibri"/>
          <w:noProof/>
          <w:sz w:val="24"/>
          <w:szCs w:val="24"/>
        </w:rPr>
        <w:t xml:space="preserve"> (Applied Biosystems [ABI], USA)</w:t>
      </w:r>
      <w:r w:rsidRPr="004F0289">
        <w:rPr>
          <w:rFonts w:ascii="Calibri" w:hAnsi="Calibri" w:cs="Calibri"/>
          <w:noProof/>
          <w:sz w:val="24"/>
          <w:szCs w:val="24"/>
        </w:rPr>
        <w:t xml:space="preserve">, </w:t>
      </w:r>
      <w:r>
        <w:rPr>
          <w:rFonts w:ascii="Calibri" w:hAnsi="Calibri" w:cs="Calibri"/>
          <w:noProof/>
          <w:sz w:val="24"/>
          <w:szCs w:val="24"/>
        </w:rPr>
        <w:t>2</w:t>
      </w:r>
      <w:r w:rsidRPr="004F0289">
        <w:rPr>
          <w:rFonts w:ascii="Calibri" w:hAnsi="Calibri" w:cs="Calibri"/>
          <w:noProof/>
          <w:sz w:val="24"/>
          <w:szCs w:val="24"/>
        </w:rPr>
        <w:t xml:space="preserve"> µL magnesium chloride</w:t>
      </w:r>
      <w:r>
        <w:rPr>
          <w:rFonts w:ascii="Calibri" w:hAnsi="Calibri" w:cs="Calibri"/>
          <w:noProof/>
          <w:sz w:val="24"/>
          <w:szCs w:val="24"/>
        </w:rPr>
        <w:t xml:space="preserve"> (ABI)</w:t>
      </w:r>
      <w:r w:rsidRPr="004F0289">
        <w:rPr>
          <w:rFonts w:ascii="Calibri" w:hAnsi="Calibri" w:cs="Calibri"/>
          <w:noProof/>
          <w:sz w:val="24"/>
          <w:szCs w:val="24"/>
        </w:rPr>
        <w:t xml:space="preserve">, </w:t>
      </w:r>
      <w:r>
        <w:rPr>
          <w:rFonts w:ascii="Calibri" w:hAnsi="Calibri" w:cs="Calibri"/>
          <w:noProof/>
          <w:sz w:val="24"/>
          <w:szCs w:val="24"/>
        </w:rPr>
        <w:t>1</w:t>
      </w:r>
      <w:r w:rsidRPr="004F0289">
        <w:rPr>
          <w:rFonts w:ascii="Calibri" w:hAnsi="Calibri" w:cs="Calibri"/>
          <w:noProof/>
          <w:sz w:val="24"/>
          <w:szCs w:val="24"/>
        </w:rPr>
        <w:t xml:space="preserve"> µL bovine serum albumin</w:t>
      </w:r>
      <w:r>
        <w:rPr>
          <w:rFonts w:ascii="Calibri" w:hAnsi="Calibri" w:cs="Calibri"/>
          <w:noProof/>
          <w:sz w:val="24"/>
          <w:szCs w:val="24"/>
        </w:rPr>
        <w:t xml:space="preserve"> (Fisher Biotec, Aus)</w:t>
      </w:r>
      <w:r w:rsidRPr="004F0289">
        <w:rPr>
          <w:rFonts w:ascii="Calibri" w:hAnsi="Calibri" w:cs="Calibri"/>
          <w:noProof/>
          <w:sz w:val="24"/>
          <w:szCs w:val="24"/>
        </w:rPr>
        <w:t>, one µL 10 µM forward primer, one µL 10 µM reverse primer</w:t>
      </w:r>
      <w:r>
        <w:rPr>
          <w:rFonts w:ascii="Calibri" w:hAnsi="Calibri" w:cs="Calibri"/>
          <w:noProof/>
          <w:sz w:val="24"/>
          <w:szCs w:val="24"/>
        </w:rPr>
        <w:t xml:space="preserve"> (Integrated DNA Technologies [IDT] Aus)</w:t>
      </w:r>
      <w:r w:rsidRPr="004F0289">
        <w:rPr>
          <w:rFonts w:ascii="Calibri" w:hAnsi="Calibri" w:cs="Calibri"/>
          <w:noProof/>
          <w:sz w:val="24"/>
          <w:szCs w:val="24"/>
        </w:rPr>
        <w:t>, 0.6 µL SYBR</w:t>
      </w:r>
      <w:r>
        <w:rPr>
          <w:rFonts w:ascii="Calibri" w:hAnsi="Calibri" w:cs="Calibri"/>
          <w:noProof/>
          <w:sz w:val="24"/>
          <w:szCs w:val="24"/>
        </w:rPr>
        <w:t xml:space="preserve"> (Invitrogen, USA)</w:t>
      </w:r>
      <w:r w:rsidRPr="004F0289">
        <w:rPr>
          <w:rFonts w:ascii="Calibri" w:hAnsi="Calibri" w:cs="Calibri"/>
          <w:noProof/>
          <w:sz w:val="24"/>
          <w:szCs w:val="24"/>
        </w:rPr>
        <w:t>, 0.25 µL dNTP’s (25 mM dATP, 25 mM dTTP, 25 mM dCTP, 25 mM dGTP</w:t>
      </w:r>
      <w:r>
        <w:rPr>
          <w:rFonts w:ascii="Calibri" w:hAnsi="Calibri" w:cs="Calibri"/>
          <w:noProof/>
          <w:sz w:val="24"/>
          <w:szCs w:val="24"/>
        </w:rPr>
        <w:t>; Astral Scientific, Aus</w:t>
      </w:r>
      <w:r w:rsidRPr="004F0289">
        <w:rPr>
          <w:rFonts w:ascii="Calibri" w:hAnsi="Calibri" w:cs="Calibri"/>
          <w:noProof/>
          <w:sz w:val="24"/>
          <w:szCs w:val="24"/>
        </w:rPr>
        <w:t xml:space="preserve">) and 0.2 µL </w:t>
      </w:r>
      <w:r>
        <w:rPr>
          <w:rFonts w:ascii="Calibri" w:hAnsi="Calibri" w:cs="Calibri"/>
          <w:noProof/>
          <w:sz w:val="24"/>
          <w:szCs w:val="24"/>
        </w:rPr>
        <w:t>Ampli</w:t>
      </w:r>
      <w:r w:rsidRPr="004F0289">
        <w:rPr>
          <w:rFonts w:ascii="Calibri" w:hAnsi="Calibri" w:cs="Calibri"/>
          <w:i/>
          <w:noProof/>
          <w:sz w:val="24"/>
          <w:szCs w:val="24"/>
        </w:rPr>
        <w:t>Taq</w:t>
      </w:r>
      <w:r w:rsidRPr="004F0289">
        <w:rPr>
          <w:rFonts w:ascii="Calibri" w:hAnsi="Calibri" w:cs="Calibri"/>
          <w:noProof/>
          <w:sz w:val="24"/>
          <w:szCs w:val="24"/>
        </w:rPr>
        <w:t xml:space="preserve"> Gold</w:t>
      </w:r>
      <w:r>
        <w:rPr>
          <w:rFonts w:ascii="Calibri" w:hAnsi="Calibri" w:cs="Calibri"/>
          <w:noProof/>
          <w:sz w:val="24"/>
          <w:szCs w:val="24"/>
        </w:rPr>
        <w:t xml:space="preserve"> (ABI)</w:t>
      </w:r>
      <w:r w:rsidRPr="004F0289">
        <w:rPr>
          <w:rFonts w:ascii="Calibri" w:hAnsi="Calibri" w:cs="Calibri"/>
          <w:noProof/>
          <w:sz w:val="24"/>
          <w:szCs w:val="24"/>
        </w:rPr>
        <w:t>.</w:t>
      </w:r>
      <w:r w:rsidRPr="00E87C2E">
        <w:rPr>
          <w:rFonts w:ascii="Calibri" w:hAnsi="Calibri" w:cs="Calibri"/>
          <w:sz w:val="24"/>
          <w:szCs w:val="24"/>
        </w:rPr>
        <w:t xml:space="preserve"> </w:t>
      </w:r>
      <w:r w:rsidRPr="00E87C2E">
        <w:rPr>
          <w:sz w:val="24"/>
          <w:szCs w:val="24"/>
          <w:lang w:val="en-GB"/>
        </w:rPr>
        <w:t xml:space="preserve">Primers amplifying the V4 region of the 16S </w:t>
      </w:r>
      <w:r w:rsidRPr="00E87C2E">
        <w:rPr>
          <w:sz w:val="24"/>
          <w:szCs w:val="24"/>
        </w:rPr>
        <w:t xml:space="preserve">rRNA gene (515) </w:t>
      </w:r>
      <w:r w:rsidRPr="004F0289">
        <w:rPr>
          <w:noProof/>
          <w:sz w:val="24"/>
          <w:szCs w:val="24"/>
        </w:rPr>
        <w:t>were used</w:t>
      </w:r>
      <w:r w:rsidRPr="00E87C2E">
        <w:rPr>
          <w:sz w:val="24"/>
          <w:szCs w:val="24"/>
        </w:rPr>
        <w:t>. The forward primer (</w:t>
      </w:r>
      <w:r w:rsidRPr="00E87C2E">
        <w:rPr>
          <w:color w:val="000000"/>
          <w:sz w:val="24"/>
          <w:szCs w:val="24"/>
        </w:rPr>
        <w:t xml:space="preserve">GTGCCAGCMGCCGCGGTAA), was combined with a seven base forward </w:t>
      </w:r>
      <w:r>
        <w:rPr>
          <w:color w:val="000000"/>
          <w:sz w:val="24"/>
          <w:szCs w:val="24"/>
        </w:rPr>
        <w:t xml:space="preserve">multiplex identifier (MID) </w:t>
      </w:r>
      <w:r w:rsidRPr="00E87C2E">
        <w:rPr>
          <w:color w:val="000000"/>
          <w:sz w:val="24"/>
          <w:szCs w:val="24"/>
        </w:rPr>
        <w:t xml:space="preserve">barcode, and the reverse primer (GGACTACHVGGGTWTCTAAT) with an </w:t>
      </w:r>
      <w:r w:rsidRPr="00E87C2E">
        <w:rPr>
          <w:noProof/>
          <w:color w:val="000000"/>
          <w:sz w:val="24"/>
          <w:szCs w:val="24"/>
        </w:rPr>
        <w:t>eight</w:t>
      </w:r>
      <w:r w:rsidRPr="00E87C2E">
        <w:rPr>
          <w:color w:val="000000"/>
          <w:sz w:val="24"/>
          <w:szCs w:val="24"/>
        </w:rPr>
        <w:t xml:space="preserve"> base </w:t>
      </w:r>
      <w:r>
        <w:rPr>
          <w:color w:val="000000"/>
          <w:sz w:val="24"/>
          <w:szCs w:val="24"/>
        </w:rPr>
        <w:t xml:space="preserve">MID </w:t>
      </w:r>
      <w:r w:rsidRPr="00E87C2E">
        <w:rPr>
          <w:color w:val="000000"/>
          <w:sz w:val="24"/>
          <w:szCs w:val="24"/>
        </w:rPr>
        <w:t xml:space="preserve">barcode. The combination of barcodes </w:t>
      </w:r>
      <w:r w:rsidRPr="00E87C2E">
        <w:rPr>
          <w:noProof/>
          <w:color w:val="000000"/>
          <w:sz w:val="24"/>
          <w:szCs w:val="24"/>
        </w:rPr>
        <w:t>was</w:t>
      </w:r>
      <w:r w:rsidRPr="00E87C2E">
        <w:rPr>
          <w:color w:val="000000"/>
          <w:sz w:val="24"/>
          <w:szCs w:val="24"/>
        </w:rPr>
        <w:t xml:space="preserve"> unique for each sample. PCR amplification was performed using a </w:t>
      </w:r>
      <w:proofErr w:type="spellStart"/>
      <w:r w:rsidRPr="00E87C2E">
        <w:rPr>
          <w:color w:val="000000"/>
          <w:sz w:val="24"/>
          <w:szCs w:val="24"/>
        </w:rPr>
        <w:t>S</w:t>
      </w:r>
      <w:r>
        <w:rPr>
          <w:color w:val="000000"/>
          <w:sz w:val="24"/>
          <w:szCs w:val="24"/>
        </w:rPr>
        <w:t>tepO</w:t>
      </w:r>
      <w:r w:rsidRPr="00E87C2E">
        <w:rPr>
          <w:color w:val="000000"/>
          <w:sz w:val="24"/>
          <w:szCs w:val="24"/>
        </w:rPr>
        <w:t>ne</w:t>
      </w:r>
      <w:r>
        <w:rPr>
          <w:color w:val="000000"/>
          <w:sz w:val="24"/>
          <w:szCs w:val="24"/>
        </w:rPr>
        <w:t>Plus</w:t>
      </w:r>
      <w:proofErr w:type="spellEnd"/>
      <w:r>
        <w:rPr>
          <w:color w:val="000000"/>
          <w:sz w:val="24"/>
          <w:szCs w:val="24"/>
        </w:rPr>
        <w:t xml:space="preserve"> </w:t>
      </w:r>
      <w:r w:rsidRPr="00E87C2E">
        <w:rPr>
          <w:color w:val="000000"/>
          <w:sz w:val="24"/>
          <w:szCs w:val="24"/>
        </w:rPr>
        <w:t>Real-Time PCR System (Life Technologies, Thermo Scientific, USA</w:t>
      </w:r>
      <w:r>
        <w:rPr>
          <w:color w:val="000000"/>
          <w:sz w:val="24"/>
          <w:szCs w:val="24"/>
        </w:rPr>
        <w:t>)</w:t>
      </w:r>
      <w:r w:rsidRPr="00E87C2E">
        <w:rPr>
          <w:color w:val="000000"/>
          <w:sz w:val="24"/>
          <w:szCs w:val="24"/>
        </w:rPr>
        <w:t xml:space="preserve">. Samples were </w:t>
      </w:r>
      <w:r>
        <w:rPr>
          <w:color w:val="000000"/>
          <w:sz w:val="24"/>
          <w:szCs w:val="24"/>
        </w:rPr>
        <w:t>mini-</w:t>
      </w:r>
      <w:r w:rsidRPr="00E87C2E">
        <w:rPr>
          <w:color w:val="000000"/>
          <w:sz w:val="24"/>
          <w:szCs w:val="24"/>
        </w:rPr>
        <w:t xml:space="preserve">pooled in equal proportion based on </w:t>
      </w:r>
      <w:proofErr w:type="spellStart"/>
      <w:r>
        <w:rPr>
          <w:rFonts w:cstheme="minorHAnsi"/>
          <w:color w:val="000000"/>
          <w:sz w:val="24"/>
          <w:szCs w:val="24"/>
        </w:rPr>
        <w:t>Δ</w:t>
      </w:r>
      <w:r>
        <w:rPr>
          <w:color w:val="000000"/>
          <w:sz w:val="24"/>
          <w:szCs w:val="24"/>
        </w:rPr>
        <w:t>Rn</w:t>
      </w:r>
      <w:proofErr w:type="spellEnd"/>
      <w:r>
        <w:rPr>
          <w:color w:val="000000"/>
          <w:sz w:val="24"/>
          <w:szCs w:val="24"/>
        </w:rPr>
        <w:t xml:space="preserve"> florescent values prior to purification </w:t>
      </w:r>
      <w:r>
        <w:rPr>
          <w:color w:val="000000"/>
          <w:sz w:val="24"/>
          <w:szCs w:val="24"/>
        </w:rPr>
        <w:lastRenderedPageBreak/>
        <w:t xml:space="preserve">using </w:t>
      </w:r>
      <w:proofErr w:type="spellStart"/>
      <w:r w:rsidRPr="008B2A9D">
        <w:rPr>
          <w:color w:val="000000"/>
          <w:sz w:val="24"/>
          <w:szCs w:val="24"/>
        </w:rPr>
        <w:t>QIAquick</w:t>
      </w:r>
      <w:proofErr w:type="spellEnd"/>
      <w:r w:rsidRPr="008B2A9D">
        <w:rPr>
          <w:color w:val="000000"/>
          <w:sz w:val="24"/>
          <w:szCs w:val="24"/>
        </w:rPr>
        <w:t xml:space="preserve"> PCR purification kit (QIAGEN, Netherlands)</w:t>
      </w:r>
      <w:r>
        <w:rPr>
          <w:color w:val="000000"/>
          <w:sz w:val="24"/>
          <w:szCs w:val="24"/>
        </w:rPr>
        <w:t xml:space="preserve">. All </w:t>
      </w:r>
      <w:proofErr w:type="spellStart"/>
      <w:r>
        <w:rPr>
          <w:color w:val="000000"/>
          <w:sz w:val="24"/>
          <w:szCs w:val="24"/>
        </w:rPr>
        <w:t>minipools</w:t>
      </w:r>
      <w:proofErr w:type="spellEnd"/>
      <w:r>
        <w:rPr>
          <w:color w:val="000000"/>
          <w:sz w:val="24"/>
          <w:szCs w:val="24"/>
        </w:rPr>
        <w:t xml:space="preserve"> were then combined based on amplicon concentration prior to PCR-free ligation based on the method by </w:t>
      </w:r>
      <w:proofErr w:type="spellStart"/>
      <w:r>
        <w:rPr>
          <w:color w:val="000000"/>
          <w:sz w:val="24"/>
          <w:szCs w:val="24"/>
        </w:rPr>
        <w:t>Kozarewa</w:t>
      </w:r>
      <w:proofErr w:type="spellEnd"/>
      <w:r>
        <w:rPr>
          <w:color w:val="000000"/>
          <w:sz w:val="24"/>
          <w:szCs w:val="24"/>
        </w:rPr>
        <w:t xml:space="preserve"> and Turner, (2011). The ligation process involved </w:t>
      </w:r>
      <w:r w:rsidRPr="004027F7">
        <w:rPr>
          <w:rFonts w:cs="Times New Roman"/>
          <w:sz w:val="24"/>
          <w:szCs w:val="24"/>
        </w:rPr>
        <w:t xml:space="preserve">an end-repair reaction for 30 minutes at 20°C in a thermal cycler (DNA Engine, </w:t>
      </w:r>
      <w:proofErr w:type="spellStart"/>
      <w:r w:rsidRPr="004027F7">
        <w:rPr>
          <w:rFonts w:cs="Times New Roman"/>
          <w:sz w:val="24"/>
          <w:szCs w:val="24"/>
        </w:rPr>
        <w:t>BioRad</w:t>
      </w:r>
      <w:proofErr w:type="spellEnd"/>
      <w:r w:rsidRPr="004027F7">
        <w:rPr>
          <w:rFonts w:cs="Times New Roman"/>
          <w:sz w:val="24"/>
          <w:szCs w:val="24"/>
        </w:rPr>
        <w:t>) using End-repair enzyme mix, End-repair reaction buffer (New England Biolabs, [</w:t>
      </w:r>
      <w:proofErr w:type="spellStart"/>
      <w:r w:rsidRPr="004027F7">
        <w:rPr>
          <w:rFonts w:cs="Times New Roman"/>
          <w:sz w:val="24"/>
          <w:szCs w:val="24"/>
        </w:rPr>
        <w:t>NEBNext</w:t>
      </w:r>
      <w:proofErr w:type="spellEnd"/>
      <w:r w:rsidRPr="004027F7">
        <w:rPr>
          <w:rFonts w:cs="Times New Roman"/>
          <w:sz w:val="24"/>
          <w:szCs w:val="24"/>
        </w:rPr>
        <w:t xml:space="preserve">], USA) and ultra-pure PCR water to a final reaction volume of 100 </w:t>
      </w:r>
      <w:proofErr w:type="spellStart"/>
      <w:r w:rsidRPr="004027F7">
        <w:rPr>
          <w:rFonts w:cs="Times New Roman"/>
          <w:sz w:val="24"/>
          <w:szCs w:val="24"/>
        </w:rPr>
        <w:t>μL</w:t>
      </w:r>
      <w:proofErr w:type="spellEnd"/>
      <w:r w:rsidRPr="004027F7">
        <w:rPr>
          <w:rFonts w:cs="Times New Roman"/>
          <w:sz w:val="24"/>
          <w:szCs w:val="24"/>
        </w:rPr>
        <w:t xml:space="preserve">. The end-repaired mixture was purified using the </w:t>
      </w:r>
      <w:proofErr w:type="spellStart"/>
      <w:r w:rsidRPr="004027F7">
        <w:rPr>
          <w:rFonts w:cs="Times New Roman"/>
          <w:sz w:val="24"/>
          <w:szCs w:val="24"/>
        </w:rPr>
        <w:t>QIAquick</w:t>
      </w:r>
      <w:proofErr w:type="spellEnd"/>
      <w:r w:rsidRPr="004027F7">
        <w:rPr>
          <w:rFonts w:cs="Times New Roman"/>
          <w:sz w:val="24"/>
          <w:szCs w:val="24"/>
        </w:rPr>
        <w:t xml:space="preserve"> PCR purification protocol (Qiagen) and eluted in 32 </w:t>
      </w:r>
      <w:proofErr w:type="spellStart"/>
      <w:r w:rsidRPr="004027F7">
        <w:rPr>
          <w:rFonts w:cs="Times New Roman"/>
          <w:sz w:val="24"/>
          <w:szCs w:val="24"/>
        </w:rPr>
        <w:t>μL</w:t>
      </w:r>
      <w:proofErr w:type="spellEnd"/>
      <w:r w:rsidRPr="004027F7">
        <w:rPr>
          <w:rFonts w:cs="Times New Roman"/>
          <w:sz w:val="24"/>
          <w:szCs w:val="24"/>
        </w:rPr>
        <w:t xml:space="preserve"> of </w:t>
      </w:r>
      <w:proofErr w:type="spellStart"/>
      <w:r w:rsidRPr="004027F7">
        <w:rPr>
          <w:rFonts w:cs="Times New Roman"/>
          <w:sz w:val="24"/>
          <w:szCs w:val="24"/>
        </w:rPr>
        <w:t>EB</w:t>
      </w:r>
      <w:proofErr w:type="spellEnd"/>
      <w:r w:rsidRPr="004027F7">
        <w:rPr>
          <w:rFonts w:cs="Times New Roman"/>
          <w:sz w:val="24"/>
          <w:szCs w:val="24"/>
        </w:rPr>
        <w:t xml:space="preserve"> buffer. The amplicon pool then underwent an A-tailing reaction in a 50 </w:t>
      </w:r>
      <w:proofErr w:type="spellStart"/>
      <w:r w:rsidRPr="004027F7">
        <w:rPr>
          <w:rFonts w:cs="Times New Roman"/>
          <w:sz w:val="24"/>
          <w:szCs w:val="24"/>
        </w:rPr>
        <w:t>μL</w:t>
      </w:r>
      <w:proofErr w:type="spellEnd"/>
      <w:r w:rsidRPr="004027F7">
        <w:rPr>
          <w:rFonts w:cs="Times New Roman"/>
          <w:sz w:val="24"/>
          <w:szCs w:val="24"/>
        </w:rPr>
        <w:t xml:space="preserve"> volume with 5 U/</w:t>
      </w:r>
      <w:proofErr w:type="spellStart"/>
      <w:r w:rsidRPr="004027F7">
        <w:rPr>
          <w:rFonts w:cs="Times New Roman"/>
          <w:sz w:val="24"/>
          <w:szCs w:val="24"/>
        </w:rPr>
        <w:t>μL</w:t>
      </w:r>
      <w:proofErr w:type="spellEnd"/>
      <w:r w:rsidRPr="004027F7">
        <w:rPr>
          <w:rFonts w:cs="Times New Roman"/>
          <w:sz w:val="24"/>
          <w:szCs w:val="24"/>
        </w:rPr>
        <w:t xml:space="preserve"> </w:t>
      </w:r>
      <w:proofErr w:type="spellStart"/>
      <w:r w:rsidRPr="004027F7">
        <w:rPr>
          <w:rFonts w:cs="Times New Roman"/>
          <w:sz w:val="24"/>
          <w:szCs w:val="24"/>
        </w:rPr>
        <w:t>Klenow</w:t>
      </w:r>
      <w:proofErr w:type="spellEnd"/>
      <w:r w:rsidRPr="004027F7">
        <w:rPr>
          <w:rFonts w:cs="Times New Roman"/>
          <w:sz w:val="24"/>
          <w:szCs w:val="24"/>
        </w:rPr>
        <w:t xml:space="preserve"> </w:t>
      </w:r>
      <w:proofErr w:type="spellStart"/>
      <w:r w:rsidRPr="004027F7">
        <w:rPr>
          <w:rFonts w:cs="Times New Roman"/>
          <w:sz w:val="24"/>
          <w:szCs w:val="24"/>
        </w:rPr>
        <w:t>exo</w:t>
      </w:r>
      <w:proofErr w:type="spellEnd"/>
      <w:r w:rsidRPr="004027F7">
        <w:rPr>
          <w:rFonts w:cs="Times New Roman"/>
          <w:sz w:val="24"/>
          <w:szCs w:val="24"/>
        </w:rPr>
        <w:t xml:space="preserve"> (3’-5’ </w:t>
      </w:r>
      <w:proofErr w:type="spellStart"/>
      <w:r w:rsidRPr="004027F7">
        <w:rPr>
          <w:rFonts w:cs="Times New Roman"/>
          <w:sz w:val="24"/>
          <w:szCs w:val="24"/>
        </w:rPr>
        <w:t>exo</w:t>
      </w:r>
      <w:proofErr w:type="spellEnd"/>
      <w:r w:rsidRPr="004027F7">
        <w:rPr>
          <w:rFonts w:cs="Times New Roman"/>
          <w:sz w:val="24"/>
          <w:szCs w:val="24"/>
        </w:rPr>
        <w:t xml:space="preserve"> minus), 10X </w:t>
      </w:r>
      <w:proofErr w:type="spellStart"/>
      <w:r w:rsidRPr="004027F7">
        <w:rPr>
          <w:rFonts w:cs="Times New Roman"/>
          <w:sz w:val="24"/>
          <w:szCs w:val="24"/>
        </w:rPr>
        <w:t>Klenow</w:t>
      </w:r>
      <w:proofErr w:type="spellEnd"/>
      <w:r w:rsidRPr="004027F7">
        <w:rPr>
          <w:rFonts w:cs="Times New Roman"/>
          <w:sz w:val="24"/>
          <w:szCs w:val="24"/>
        </w:rPr>
        <w:t xml:space="preserve"> buffer, and </w:t>
      </w:r>
      <w:proofErr w:type="spellStart"/>
      <w:r w:rsidRPr="004027F7">
        <w:rPr>
          <w:rFonts w:cs="Times New Roman"/>
          <w:sz w:val="24"/>
          <w:szCs w:val="24"/>
        </w:rPr>
        <w:t>dATP</w:t>
      </w:r>
      <w:proofErr w:type="spellEnd"/>
      <w:r w:rsidRPr="004027F7">
        <w:rPr>
          <w:rFonts w:cs="Times New Roman"/>
          <w:sz w:val="24"/>
          <w:szCs w:val="24"/>
        </w:rPr>
        <w:t xml:space="preserve"> (</w:t>
      </w:r>
      <w:proofErr w:type="spellStart"/>
      <w:r w:rsidRPr="004027F7">
        <w:rPr>
          <w:rFonts w:cs="Times New Roman"/>
          <w:sz w:val="24"/>
          <w:szCs w:val="24"/>
        </w:rPr>
        <w:t>NEBNext</w:t>
      </w:r>
      <w:proofErr w:type="spellEnd"/>
      <w:r w:rsidRPr="004027F7">
        <w:rPr>
          <w:rFonts w:cs="Times New Roman"/>
          <w:sz w:val="24"/>
          <w:szCs w:val="24"/>
        </w:rPr>
        <w:t>) for 30 minutes at 37°C in a thermal cycler (DNA Engine). After A-tailing, the amplicon pool was purified and concentrated down again (</w:t>
      </w:r>
      <w:proofErr w:type="spellStart"/>
      <w:r w:rsidRPr="004027F7">
        <w:rPr>
          <w:rFonts w:cs="Times New Roman"/>
          <w:sz w:val="24"/>
          <w:szCs w:val="24"/>
        </w:rPr>
        <w:t>QIAquick</w:t>
      </w:r>
      <w:proofErr w:type="spellEnd"/>
      <w:r w:rsidRPr="004027F7">
        <w:rPr>
          <w:rFonts w:cs="Times New Roman"/>
          <w:sz w:val="24"/>
          <w:szCs w:val="24"/>
        </w:rPr>
        <w:t xml:space="preserve"> PCR purification, </w:t>
      </w:r>
      <w:proofErr w:type="spellStart"/>
      <w:r w:rsidRPr="004027F7">
        <w:rPr>
          <w:rFonts w:cs="Times New Roman"/>
          <w:sz w:val="24"/>
          <w:szCs w:val="24"/>
        </w:rPr>
        <w:t>Qiagen</w:t>
      </w:r>
      <w:proofErr w:type="spellEnd"/>
      <w:r w:rsidRPr="004027F7">
        <w:rPr>
          <w:rFonts w:cs="Times New Roman"/>
          <w:sz w:val="24"/>
          <w:szCs w:val="24"/>
        </w:rPr>
        <w:t xml:space="preserve">) and eluted in 30 </w:t>
      </w:r>
      <w:proofErr w:type="spellStart"/>
      <w:r w:rsidRPr="004027F7">
        <w:rPr>
          <w:rFonts w:cs="Times New Roman"/>
          <w:sz w:val="24"/>
          <w:szCs w:val="24"/>
        </w:rPr>
        <w:t>μL</w:t>
      </w:r>
      <w:proofErr w:type="spellEnd"/>
      <w:r w:rsidRPr="004027F7">
        <w:rPr>
          <w:rFonts w:cs="Times New Roman"/>
          <w:sz w:val="24"/>
          <w:szCs w:val="24"/>
        </w:rPr>
        <w:t xml:space="preserve"> of </w:t>
      </w:r>
      <w:proofErr w:type="spellStart"/>
      <w:r w:rsidRPr="004027F7">
        <w:rPr>
          <w:rFonts w:cs="Times New Roman"/>
          <w:sz w:val="24"/>
          <w:szCs w:val="24"/>
        </w:rPr>
        <w:t>EB</w:t>
      </w:r>
      <w:proofErr w:type="spellEnd"/>
      <w:r w:rsidRPr="004027F7">
        <w:rPr>
          <w:rFonts w:cs="Times New Roman"/>
          <w:sz w:val="24"/>
          <w:szCs w:val="24"/>
        </w:rPr>
        <w:t xml:space="preserve"> buffer. The pool was then quantified on the </w:t>
      </w:r>
      <w:proofErr w:type="spellStart"/>
      <w:r w:rsidRPr="004027F7">
        <w:rPr>
          <w:rFonts w:cs="Times New Roman"/>
          <w:sz w:val="24"/>
          <w:szCs w:val="24"/>
        </w:rPr>
        <w:t>QIAxpert</w:t>
      </w:r>
      <w:proofErr w:type="spellEnd"/>
      <w:r w:rsidRPr="004027F7">
        <w:rPr>
          <w:rFonts w:cs="Times New Roman"/>
          <w:sz w:val="24"/>
          <w:szCs w:val="24"/>
        </w:rPr>
        <w:t xml:space="preserve"> (</w:t>
      </w:r>
      <w:proofErr w:type="spellStart"/>
      <w:r w:rsidRPr="004027F7">
        <w:rPr>
          <w:rFonts w:cs="Times New Roman"/>
          <w:sz w:val="24"/>
          <w:szCs w:val="24"/>
        </w:rPr>
        <w:t>Qiagen</w:t>
      </w:r>
      <w:proofErr w:type="spellEnd"/>
      <w:r w:rsidRPr="004027F7">
        <w:rPr>
          <w:rFonts w:cs="Times New Roman"/>
          <w:sz w:val="24"/>
          <w:szCs w:val="24"/>
        </w:rPr>
        <w:t xml:space="preserve">) to determine the volume of adapter required for a 3:1 adapter to sample ratio. The ligation reaction was then carried out in a 50 </w:t>
      </w:r>
      <w:proofErr w:type="spellStart"/>
      <w:r w:rsidRPr="004027F7">
        <w:rPr>
          <w:rFonts w:cs="Times New Roman"/>
          <w:sz w:val="24"/>
          <w:szCs w:val="24"/>
        </w:rPr>
        <w:t>μL</w:t>
      </w:r>
      <w:proofErr w:type="spellEnd"/>
      <w:r w:rsidRPr="004027F7">
        <w:rPr>
          <w:rFonts w:cs="Times New Roman"/>
          <w:sz w:val="24"/>
          <w:szCs w:val="24"/>
        </w:rPr>
        <w:t xml:space="preserve"> total volume with 28 </w:t>
      </w:r>
      <w:proofErr w:type="spellStart"/>
      <w:r w:rsidRPr="004027F7">
        <w:rPr>
          <w:rFonts w:cs="Times New Roman"/>
          <w:sz w:val="24"/>
          <w:szCs w:val="24"/>
        </w:rPr>
        <w:t>μL</w:t>
      </w:r>
      <w:proofErr w:type="spellEnd"/>
      <w:r w:rsidRPr="004027F7">
        <w:rPr>
          <w:rFonts w:cs="Times New Roman"/>
          <w:sz w:val="24"/>
          <w:szCs w:val="24"/>
        </w:rPr>
        <w:t xml:space="preserve"> of amplicon pool, Quick T4 DNA Ligase (</w:t>
      </w:r>
      <w:proofErr w:type="spellStart"/>
      <w:r w:rsidRPr="004027F7">
        <w:rPr>
          <w:rFonts w:cs="Times New Roman"/>
          <w:sz w:val="24"/>
          <w:szCs w:val="24"/>
        </w:rPr>
        <w:t>NEBNext</w:t>
      </w:r>
      <w:proofErr w:type="spellEnd"/>
      <w:r w:rsidRPr="004027F7">
        <w:rPr>
          <w:rFonts w:cs="Times New Roman"/>
          <w:sz w:val="24"/>
          <w:szCs w:val="24"/>
        </w:rPr>
        <w:t xml:space="preserve">), </w:t>
      </w:r>
      <w:proofErr w:type="spellStart"/>
      <w:r w:rsidRPr="004027F7">
        <w:rPr>
          <w:rFonts w:cs="Times New Roman"/>
          <w:sz w:val="24"/>
          <w:szCs w:val="24"/>
        </w:rPr>
        <w:t>5X</w:t>
      </w:r>
      <w:proofErr w:type="spellEnd"/>
      <w:r w:rsidRPr="004027F7">
        <w:rPr>
          <w:rFonts w:cs="Times New Roman"/>
          <w:sz w:val="24"/>
          <w:szCs w:val="24"/>
        </w:rPr>
        <w:t xml:space="preserve"> Quick Ligation Reaction Buffer (</w:t>
      </w:r>
      <w:proofErr w:type="spellStart"/>
      <w:r w:rsidRPr="004027F7">
        <w:rPr>
          <w:rFonts w:cs="Times New Roman"/>
          <w:sz w:val="24"/>
          <w:szCs w:val="24"/>
        </w:rPr>
        <w:t>NEBNext</w:t>
      </w:r>
      <w:proofErr w:type="spellEnd"/>
      <w:r w:rsidRPr="004027F7">
        <w:rPr>
          <w:rFonts w:cs="Times New Roman"/>
          <w:sz w:val="24"/>
          <w:szCs w:val="24"/>
        </w:rPr>
        <w:t>), phosphorylated adapters (IDT), and ultra-pure PCR water for 15 minutes at 20°C in a thermal cycler (DNA Engine). The ligated products were purified again (</w:t>
      </w:r>
      <w:proofErr w:type="spellStart"/>
      <w:r w:rsidRPr="004027F7">
        <w:rPr>
          <w:rFonts w:cs="Times New Roman"/>
          <w:sz w:val="24"/>
          <w:szCs w:val="24"/>
        </w:rPr>
        <w:t>QIAquick</w:t>
      </w:r>
      <w:proofErr w:type="spellEnd"/>
      <w:r w:rsidRPr="004027F7">
        <w:rPr>
          <w:rFonts w:cs="Times New Roman"/>
          <w:sz w:val="24"/>
          <w:szCs w:val="24"/>
        </w:rPr>
        <w:t xml:space="preserve"> PCR purification, </w:t>
      </w:r>
      <w:proofErr w:type="spellStart"/>
      <w:r w:rsidRPr="004027F7">
        <w:rPr>
          <w:rFonts w:cs="Times New Roman"/>
          <w:sz w:val="24"/>
          <w:szCs w:val="24"/>
        </w:rPr>
        <w:t>Qiagen</w:t>
      </w:r>
      <w:proofErr w:type="spellEnd"/>
      <w:r w:rsidRPr="004027F7">
        <w:rPr>
          <w:rFonts w:cs="Times New Roman"/>
          <w:sz w:val="24"/>
          <w:szCs w:val="24"/>
        </w:rPr>
        <w:t xml:space="preserve">), eluted in 30 </w:t>
      </w:r>
      <w:proofErr w:type="spellStart"/>
      <w:r w:rsidRPr="004027F7">
        <w:rPr>
          <w:rFonts w:cs="Times New Roman"/>
          <w:sz w:val="24"/>
          <w:szCs w:val="24"/>
        </w:rPr>
        <w:t>μL</w:t>
      </w:r>
      <w:proofErr w:type="spellEnd"/>
      <w:r w:rsidRPr="004027F7">
        <w:rPr>
          <w:rFonts w:cs="Times New Roman"/>
          <w:sz w:val="24"/>
          <w:szCs w:val="24"/>
        </w:rPr>
        <w:t xml:space="preserve"> of </w:t>
      </w:r>
      <w:proofErr w:type="spellStart"/>
      <w:r w:rsidRPr="004027F7">
        <w:rPr>
          <w:rFonts w:cs="Times New Roman"/>
          <w:sz w:val="24"/>
          <w:szCs w:val="24"/>
        </w:rPr>
        <w:t>EB</w:t>
      </w:r>
      <w:proofErr w:type="spellEnd"/>
      <w:r w:rsidRPr="004027F7">
        <w:rPr>
          <w:rFonts w:cs="Times New Roman"/>
          <w:sz w:val="24"/>
          <w:szCs w:val="24"/>
        </w:rPr>
        <w:t xml:space="preserve"> buffer, and size selected to remove any residual adapter dimer using a Pippin Prep 2% agarose with ethidium bromide and external marker B cassette (Sage Science, USA). The size selected amplicon pool was purified a final time (</w:t>
      </w:r>
      <w:proofErr w:type="spellStart"/>
      <w:r w:rsidRPr="004027F7">
        <w:rPr>
          <w:rFonts w:cs="Times New Roman"/>
          <w:sz w:val="24"/>
          <w:szCs w:val="24"/>
        </w:rPr>
        <w:t>QIAquick</w:t>
      </w:r>
      <w:proofErr w:type="spellEnd"/>
      <w:r w:rsidRPr="004027F7">
        <w:rPr>
          <w:rFonts w:cs="Times New Roman"/>
          <w:sz w:val="24"/>
          <w:szCs w:val="24"/>
        </w:rPr>
        <w:t xml:space="preserve"> PCR purification, </w:t>
      </w:r>
      <w:proofErr w:type="spellStart"/>
      <w:r w:rsidRPr="004027F7">
        <w:rPr>
          <w:rFonts w:cs="Times New Roman"/>
          <w:sz w:val="24"/>
          <w:szCs w:val="24"/>
        </w:rPr>
        <w:t>Qiagen</w:t>
      </w:r>
      <w:proofErr w:type="spellEnd"/>
      <w:r w:rsidRPr="004027F7">
        <w:rPr>
          <w:rFonts w:cs="Times New Roman"/>
          <w:sz w:val="24"/>
          <w:szCs w:val="24"/>
        </w:rPr>
        <w:t xml:space="preserve">) to remove ethidium bromide attained during size selection, and eluted in 40 </w:t>
      </w:r>
      <w:proofErr w:type="spellStart"/>
      <w:r w:rsidRPr="004027F7">
        <w:rPr>
          <w:rFonts w:cs="Times New Roman"/>
          <w:sz w:val="24"/>
          <w:szCs w:val="24"/>
        </w:rPr>
        <w:t>μL</w:t>
      </w:r>
      <w:proofErr w:type="spellEnd"/>
      <w:r w:rsidRPr="004027F7">
        <w:rPr>
          <w:rFonts w:cs="Times New Roman"/>
          <w:sz w:val="24"/>
          <w:szCs w:val="24"/>
        </w:rPr>
        <w:t xml:space="preserve"> of </w:t>
      </w:r>
      <w:proofErr w:type="spellStart"/>
      <w:r w:rsidRPr="004027F7">
        <w:rPr>
          <w:rFonts w:cs="Times New Roman"/>
          <w:sz w:val="24"/>
          <w:szCs w:val="24"/>
        </w:rPr>
        <w:t>EB</w:t>
      </w:r>
      <w:proofErr w:type="spellEnd"/>
      <w:r w:rsidRPr="004027F7">
        <w:rPr>
          <w:rFonts w:cs="Times New Roman"/>
          <w:sz w:val="24"/>
          <w:szCs w:val="24"/>
        </w:rPr>
        <w:t xml:space="preserve"> buffer. The ligation library amplicon pool was serially diluted in EB buffer, and quantified by qPCR against a standard 200 bp synthetic oligonucleotide (IDT) of known molarity. The qPCR result was used to approximate the amount of pooled ligation library required for successful clustering on the </w:t>
      </w:r>
      <w:proofErr w:type="spellStart"/>
      <w:r w:rsidRPr="004027F7">
        <w:rPr>
          <w:rFonts w:cs="Times New Roman"/>
          <w:sz w:val="24"/>
          <w:szCs w:val="24"/>
        </w:rPr>
        <w:t>MiSeq</w:t>
      </w:r>
      <w:proofErr w:type="spellEnd"/>
      <w:r w:rsidRPr="004027F7">
        <w:rPr>
          <w:rFonts w:cs="Times New Roman"/>
          <w:sz w:val="24"/>
          <w:szCs w:val="24"/>
        </w:rPr>
        <w:t xml:space="preserve"> </w:t>
      </w:r>
      <w:proofErr w:type="spellStart"/>
      <w:r w:rsidRPr="004027F7">
        <w:rPr>
          <w:rFonts w:cs="Times New Roman"/>
          <w:sz w:val="24"/>
          <w:szCs w:val="24"/>
        </w:rPr>
        <w:t>Flowcell</w:t>
      </w:r>
      <w:proofErr w:type="spellEnd"/>
      <w:r w:rsidRPr="004027F7">
        <w:rPr>
          <w:rFonts w:cs="Times New Roman"/>
          <w:sz w:val="24"/>
          <w:szCs w:val="24"/>
        </w:rPr>
        <w:t xml:space="preserve"> </w:t>
      </w:r>
      <w:r w:rsidRPr="004027F7">
        <w:rPr>
          <w:rFonts w:cs="Times New Roman"/>
          <w:sz w:val="24"/>
          <w:szCs w:val="24"/>
        </w:rPr>
        <w:lastRenderedPageBreak/>
        <w:t xml:space="preserve">(Illumina, USA). The </w:t>
      </w:r>
      <w:proofErr w:type="spellStart"/>
      <w:r w:rsidRPr="004027F7">
        <w:rPr>
          <w:rFonts w:cs="Times New Roman"/>
          <w:sz w:val="24"/>
          <w:szCs w:val="24"/>
        </w:rPr>
        <w:t>MiSeq</w:t>
      </w:r>
      <w:proofErr w:type="spellEnd"/>
      <w:r w:rsidRPr="004027F7">
        <w:rPr>
          <w:rFonts w:cs="Times New Roman"/>
          <w:sz w:val="24"/>
          <w:szCs w:val="24"/>
        </w:rPr>
        <w:t xml:space="preserve"> sequencing set-up was carried out as per the manufacturers protocol. The amplicon library was bidirectionally sequenced using a 500-cycle V2 reagent kit and a V2 Standard </w:t>
      </w:r>
      <w:proofErr w:type="spellStart"/>
      <w:r w:rsidRPr="004027F7">
        <w:rPr>
          <w:rFonts w:cs="Times New Roman"/>
          <w:sz w:val="24"/>
          <w:szCs w:val="24"/>
        </w:rPr>
        <w:t>flowcell</w:t>
      </w:r>
      <w:proofErr w:type="spellEnd"/>
      <w:r w:rsidRPr="004027F7">
        <w:rPr>
          <w:rFonts w:cs="Times New Roman"/>
          <w:sz w:val="24"/>
          <w:szCs w:val="24"/>
        </w:rPr>
        <w:t xml:space="preserve"> (Illumina).</w:t>
      </w:r>
    </w:p>
    <w:p w:rsidR="006F455D" w:rsidRPr="00E87C2E" w:rsidRDefault="006F455D" w:rsidP="006F455D">
      <w:pPr>
        <w:spacing w:line="480" w:lineRule="auto"/>
        <w:jc w:val="both"/>
        <w:rPr>
          <w:sz w:val="24"/>
          <w:szCs w:val="24"/>
        </w:rPr>
      </w:pPr>
      <w:r w:rsidRPr="00E87C2E">
        <w:rPr>
          <w:sz w:val="24"/>
          <w:szCs w:val="24"/>
        </w:rPr>
        <w:t xml:space="preserve">The amplicon sequence data was processed using GHAP, an in-house amplicon clustering and classification pipeline built around tools from </w:t>
      </w:r>
      <w:proofErr w:type="spellStart"/>
      <w:r w:rsidRPr="00E87C2E">
        <w:rPr>
          <w:sz w:val="24"/>
          <w:szCs w:val="24"/>
        </w:rPr>
        <w:t>USearch</w:t>
      </w:r>
      <w:proofErr w:type="spellEnd"/>
      <w:r w:rsidRPr="00E87C2E">
        <w:rPr>
          <w:sz w:val="24"/>
          <w:szCs w:val="24"/>
        </w:rPr>
        <w:t xml:space="preserve"> </w:t>
      </w:r>
      <w:r w:rsidR="00635183" w:rsidRPr="00E87C2E">
        <w:rPr>
          <w:sz w:val="24"/>
          <w:szCs w:val="24"/>
        </w:rPr>
        <w:fldChar w:fldCharType="begin"/>
      </w:r>
      <w:r w:rsidR="00EC1F46">
        <w:rPr>
          <w:sz w:val="24"/>
          <w:szCs w:val="24"/>
        </w:rPr>
        <w:instrText xml:space="preserve"> ADDIN EN.CITE &lt;EndNote&gt;&lt;Cite&gt;&lt;Author&gt;Edgar&lt;/Author&gt;&lt;Year&gt;2017&lt;/Year&gt;&lt;RecNum&gt;912&lt;/RecNum&gt;&lt;DisplayText&gt;[73]&lt;/DisplayText&gt;&lt;record&gt;&lt;rec-number&gt;912&lt;/rec-number&gt;&lt;foreign-keys&gt;&lt;key app="EN" db-id="rw0f2ere6spfdte2x035x2tntafwpt29wet5" timestamp="0"&gt;912&lt;/key&gt;&lt;/foreign-keys&gt;&lt;ref-type name="Computer Program"&gt;9&lt;/ref-type&gt;&lt;contributors&gt;&lt;authors&gt;&lt;author&gt;Edgar, Robert C&lt;/author&gt;&lt;/authors&gt;&lt;/contributors&gt;&lt;titles&gt;&lt;title&gt;SEARCH_16S: A new algorithm for identifying 16S ribosomal RNA genes in contigs and chromosomes&lt;/title&gt;&lt;secondary-title&gt;bioRxiv&lt;/secondary-title&gt;&lt;/titles&gt;&lt;dates&gt;&lt;year&gt;2017&lt;/year&gt;&lt;/dates&gt;&lt;urls&gt;&lt;related-urls&gt;&lt;url&gt;https://www.biorxiv.org/content/biorxiv/early/2017/04/04/124131.full.pdf&lt;/url&gt;&lt;/related-urls&gt;&lt;/urls&gt;&lt;electronic-resource-num&gt;10.1101/124131&lt;/electronic-resource-num&gt;&lt;/record&gt;&lt;/Cite&gt;&lt;/EndNote&gt;</w:instrText>
      </w:r>
      <w:r w:rsidR="00635183" w:rsidRPr="00E87C2E">
        <w:rPr>
          <w:sz w:val="24"/>
          <w:szCs w:val="24"/>
        </w:rPr>
        <w:fldChar w:fldCharType="separate"/>
      </w:r>
      <w:r w:rsidR="00EC1F46">
        <w:rPr>
          <w:noProof/>
          <w:sz w:val="24"/>
          <w:szCs w:val="24"/>
        </w:rPr>
        <w:t>[73]</w:t>
      </w:r>
      <w:r w:rsidR="00635183" w:rsidRPr="00E87C2E">
        <w:rPr>
          <w:sz w:val="24"/>
          <w:szCs w:val="24"/>
        </w:rPr>
        <w:fldChar w:fldCharType="end"/>
      </w:r>
      <w:r w:rsidRPr="00E87C2E">
        <w:rPr>
          <w:sz w:val="24"/>
          <w:szCs w:val="24"/>
        </w:rPr>
        <w:t xml:space="preserve"> and RDP</w:t>
      </w:r>
      <w:r w:rsidR="00635183" w:rsidRPr="00E87C2E">
        <w:rPr>
          <w:sz w:val="24"/>
          <w:szCs w:val="24"/>
        </w:rPr>
        <w:fldChar w:fldCharType="begin"/>
      </w:r>
      <w:r w:rsidR="00EC1F46">
        <w:rPr>
          <w:sz w:val="24"/>
          <w:szCs w:val="24"/>
        </w:rPr>
        <w:instrText xml:space="preserve"> ADDIN EN.CITE &lt;EndNote&gt;&lt;Cite&gt;&lt;Author&gt;Cole&lt;/Author&gt;&lt;Year&gt;2008&lt;/Year&gt;&lt;RecNum&gt;913&lt;/RecNum&gt;&lt;DisplayText&gt;[74]&lt;/DisplayText&gt;&lt;record&gt;&lt;rec-number&gt;913&lt;/rec-number&gt;&lt;foreign-keys&gt;&lt;key app="EN" db-id="rw0f2ere6spfdte2x035x2tntafwpt29wet5" timestamp="0"&gt;913&lt;/key&gt;&lt;/foreign-keys&gt;&lt;ref-type name="Journal Article"&gt;17&lt;/ref-type&gt;&lt;contributors&gt;&lt;authors&gt;&lt;author&gt;Cole, James R&lt;/author&gt;&lt;author&gt;Wang, Qiong&lt;/author&gt;&lt;author&gt;Cardenas, E&lt;/author&gt;&lt;author&gt;Fish, J&lt;/author&gt;&lt;author&gt;Chai, Benli&lt;/author&gt;&lt;author&gt;Farris, Ryan J&lt;/author&gt;&lt;author&gt;Kulam-Syed-Mohideen, AS&lt;/author&gt;&lt;author&gt;McGarrell, Donna M&lt;/author&gt;&lt;author&gt;Marsh, T&lt;/author&gt;&lt;author&gt;Garrity, George M&lt;/author&gt;&lt;/authors&gt;&lt;/contributors&gt;&lt;titles&gt;&lt;title&gt;The Ribosomal Database Project: improved alignments and new tools for rRNA analysis&lt;/title&gt;&lt;secondary-title&gt;Nucleic Acids Res&lt;/secondary-title&gt;&lt;/titles&gt;&lt;pages&gt;D141-D145&lt;/pages&gt;&lt;volume&gt;37&lt;/volume&gt;&lt;number&gt;suppl&lt;/number&gt;&lt;dates&gt;&lt;year&gt;2008&lt;/year&gt;&lt;/dates&gt;&lt;isbn&gt;1362-4962&lt;/isbn&gt;&lt;urls&gt;&lt;/urls&gt;&lt;/record&gt;&lt;/Cite&gt;&lt;/EndNote&gt;</w:instrText>
      </w:r>
      <w:r w:rsidR="00635183" w:rsidRPr="00E87C2E">
        <w:rPr>
          <w:sz w:val="24"/>
          <w:szCs w:val="24"/>
        </w:rPr>
        <w:fldChar w:fldCharType="separate"/>
      </w:r>
      <w:r w:rsidR="00EC1F46">
        <w:rPr>
          <w:noProof/>
          <w:sz w:val="24"/>
          <w:szCs w:val="24"/>
        </w:rPr>
        <w:t>[74]</w:t>
      </w:r>
      <w:r w:rsidR="00635183" w:rsidRPr="00E87C2E">
        <w:rPr>
          <w:sz w:val="24"/>
          <w:szCs w:val="24"/>
        </w:rPr>
        <w:fldChar w:fldCharType="end"/>
      </w:r>
      <w:r>
        <w:rPr>
          <w:sz w:val="24"/>
          <w:szCs w:val="24"/>
        </w:rPr>
        <w:t>,</w:t>
      </w:r>
      <w:r w:rsidRPr="00E87C2E">
        <w:rPr>
          <w:sz w:val="24"/>
          <w:szCs w:val="24"/>
        </w:rPr>
        <w:t xml:space="preserve"> combined with locally-written tools for demultiplexing and generating </w:t>
      </w:r>
      <w:r>
        <w:rPr>
          <w:sz w:val="24"/>
          <w:szCs w:val="24"/>
        </w:rPr>
        <w:t>Operational Taxonomic Unit</w:t>
      </w:r>
      <w:r w:rsidRPr="00E87C2E">
        <w:rPr>
          <w:sz w:val="24"/>
          <w:szCs w:val="24"/>
        </w:rPr>
        <w:t xml:space="preserve"> </w:t>
      </w:r>
      <w:r>
        <w:rPr>
          <w:sz w:val="24"/>
          <w:szCs w:val="24"/>
        </w:rPr>
        <w:t>(OTU)</w:t>
      </w:r>
      <w:r w:rsidRPr="00E87C2E">
        <w:rPr>
          <w:sz w:val="24"/>
          <w:szCs w:val="24"/>
        </w:rPr>
        <w:t xml:space="preserve"> tables. The amplicon reads </w:t>
      </w:r>
      <w:r w:rsidRPr="004F0289">
        <w:rPr>
          <w:noProof/>
          <w:sz w:val="24"/>
          <w:szCs w:val="24"/>
        </w:rPr>
        <w:t>were demultiplexed</w:t>
      </w:r>
      <w:r w:rsidRPr="00E87C2E">
        <w:rPr>
          <w:sz w:val="24"/>
          <w:szCs w:val="24"/>
        </w:rPr>
        <w:t>, and the read pairs are then merged and de-replicated. The merged reads were then trimmed and clustered at 9</w:t>
      </w:r>
      <w:r>
        <w:rPr>
          <w:sz w:val="24"/>
          <w:szCs w:val="24"/>
        </w:rPr>
        <w:t>7% similarity to generate OTUs</w:t>
      </w:r>
      <w:r w:rsidRPr="00E87C2E">
        <w:rPr>
          <w:sz w:val="24"/>
          <w:szCs w:val="24"/>
        </w:rPr>
        <w:t xml:space="preserve">. Representative sequences from each OTU were then classified both by finding their closest match in a set of reference 16S </w:t>
      </w:r>
      <w:r w:rsidRPr="00E87C2E">
        <w:rPr>
          <w:noProof/>
          <w:sz w:val="24"/>
          <w:szCs w:val="24"/>
        </w:rPr>
        <w:t>sequences</w:t>
      </w:r>
      <w:r w:rsidRPr="00E87C2E">
        <w:rPr>
          <w:sz w:val="24"/>
          <w:szCs w:val="24"/>
        </w:rPr>
        <w:t xml:space="preserve"> and by using the RDP Naïve Bayesian Classifier. The OTU tables were summarised </w:t>
      </w:r>
      <w:r w:rsidRPr="00E87C2E">
        <w:rPr>
          <w:noProof/>
          <w:sz w:val="24"/>
          <w:szCs w:val="24"/>
        </w:rPr>
        <w:t>overall</w:t>
      </w:r>
      <w:r w:rsidRPr="00E87C2E">
        <w:rPr>
          <w:sz w:val="24"/>
          <w:szCs w:val="24"/>
        </w:rPr>
        <w:t xml:space="preserve"> taxonomic levels, combining the counts for identified taxa across all OTUs. The pipeline classified all the merged reads using the RDP Classifier to provide confidence in the clustering and OTU formation steps.</w:t>
      </w:r>
    </w:p>
    <w:p w:rsidR="00A47D0D" w:rsidRPr="00A47D0D" w:rsidRDefault="006F455D" w:rsidP="00EC1F46">
      <w:pPr>
        <w:pStyle w:val="Heading2"/>
      </w:pPr>
      <w:r>
        <w:t>Supplementary Tables.</w:t>
      </w:r>
    </w:p>
    <w:p w:rsidR="00501B9D" w:rsidRDefault="00501B9D" w:rsidP="00501B9D">
      <w:pPr>
        <w:pStyle w:val="Caption"/>
        <w:keepNext/>
      </w:pPr>
      <w:bookmarkStart w:id="0" w:name="_Ref516568027"/>
      <w:bookmarkStart w:id="1" w:name="_Toc526149793"/>
      <w:r>
        <w:t xml:space="preserve">Table </w:t>
      </w:r>
      <w:r w:rsidR="002F4D13">
        <w:t>S</w:t>
      </w:r>
      <w:r w:rsidR="00635183">
        <w:rPr>
          <w:noProof/>
        </w:rPr>
        <w:fldChar w:fldCharType="begin"/>
      </w:r>
      <w:r>
        <w:rPr>
          <w:noProof/>
        </w:rPr>
        <w:instrText xml:space="preserve"> SEQ Table \* ARABIC </w:instrText>
      </w:r>
      <w:r w:rsidR="00635183">
        <w:rPr>
          <w:noProof/>
        </w:rPr>
        <w:fldChar w:fldCharType="separate"/>
      </w:r>
      <w:r w:rsidR="00651399">
        <w:rPr>
          <w:noProof/>
        </w:rPr>
        <w:t>1</w:t>
      </w:r>
      <w:r w:rsidR="00635183">
        <w:rPr>
          <w:noProof/>
        </w:rPr>
        <w:fldChar w:fldCharType="end"/>
      </w:r>
      <w:bookmarkEnd w:id="0"/>
      <w:r>
        <w:t>. Measures of diversity and richness by dietary group</w:t>
      </w:r>
      <w:bookmarkEnd w:id="1"/>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707"/>
        <w:gridCol w:w="1634"/>
        <w:gridCol w:w="1562"/>
        <w:gridCol w:w="763"/>
        <w:gridCol w:w="1593"/>
        <w:gridCol w:w="850"/>
        <w:gridCol w:w="1133"/>
      </w:tblGrid>
      <w:tr w:rsidR="00501B9D" w:rsidTr="00501B9D">
        <w:tc>
          <w:tcPr>
            <w:tcW w:w="923" w:type="pct"/>
            <w:tcBorders>
              <w:top w:val="single" w:sz="4" w:space="0" w:color="auto"/>
              <w:bottom w:val="single" w:sz="4" w:space="0" w:color="auto"/>
            </w:tcBorders>
          </w:tcPr>
          <w:p w:rsidR="00501B9D" w:rsidRPr="00CD773D" w:rsidRDefault="00501B9D" w:rsidP="001D66DE">
            <w:pPr>
              <w:keepNext/>
              <w:autoSpaceDE w:val="0"/>
              <w:autoSpaceDN w:val="0"/>
              <w:adjustRightInd w:val="0"/>
              <w:jc w:val="center"/>
              <w:rPr>
                <w:b/>
                <w:sz w:val="16"/>
                <w:szCs w:val="16"/>
              </w:rPr>
            </w:pPr>
            <w:r w:rsidRPr="00843845">
              <w:rPr>
                <w:b/>
                <w:noProof/>
                <w:sz w:val="16"/>
                <w:szCs w:val="16"/>
              </w:rPr>
              <w:t>Genus</w:t>
            </w:r>
            <w:r w:rsidRPr="00CD773D">
              <w:rPr>
                <w:b/>
                <w:sz w:val="16"/>
                <w:szCs w:val="16"/>
              </w:rPr>
              <w:t xml:space="preserve"> Composition Measure</w:t>
            </w:r>
          </w:p>
        </w:tc>
        <w:tc>
          <w:tcPr>
            <w:tcW w:w="884" w:type="pct"/>
            <w:tcBorders>
              <w:top w:val="single" w:sz="4" w:space="0" w:color="auto"/>
              <w:bottom w:val="single" w:sz="4" w:space="0" w:color="auto"/>
              <w:right w:val="nil"/>
            </w:tcBorders>
          </w:tcPr>
          <w:p w:rsidR="00501B9D" w:rsidRPr="00CD773D" w:rsidRDefault="00501B9D" w:rsidP="001D66DE">
            <w:pPr>
              <w:keepNext/>
              <w:autoSpaceDE w:val="0"/>
              <w:autoSpaceDN w:val="0"/>
              <w:adjustRightInd w:val="0"/>
              <w:jc w:val="center"/>
              <w:rPr>
                <w:b/>
                <w:sz w:val="16"/>
                <w:szCs w:val="16"/>
              </w:rPr>
            </w:pPr>
            <w:r w:rsidRPr="00CD773D">
              <w:rPr>
                <w:b/>
                <w:sz w:val="16"/>
                <w:szCs w:val="16"/>
              </w:rPr>
              <w:t>Control group</w:t>
            </w:r>
          </w:p>
          <w:p w:rsidR="00501B9D" w:rsidRDefault="00501B9D" w:rsidP="001D66DE">
            <w:pPr>
              <w:keepNext/>
              <w:autoSpaceDE w:val="0"/>
              <w:autoSpaceDN w:val="0"/>
              <w:adjustRightInd w:val="0"/>
              <w:jc w:val="center"/>
              <w:rPr>
                <w:rFonts w:ascii="Calibri" w:hAnsi="Calibri" w:cs="Calibri"/>
                <w:b/>
                <w:sz w:val="16"/>
                <w:szCs w:val="16"/>
              </w:rPr>
            </w:pPr>
            <w:r w:rsidRPr="00CD773D">
              <w:rPr>
                <w:b/>
                <w:sz w:val="16"/>
                <w:szCs w:val="16"/>
              </w:rPr>
              <w:t>Mean (95% CI)</w:t>
            </w:r>
            <w:r w:rsidRPr="00CD773D">
              <w:rPr>
                <w:rFonts w:ascii="Calibri" w:hAnsi="Calibri" w:cs="Calibri"/>
                <w:b/>
                <w:sz w:val="16"/>
                <w:szCs w:val="16"/>
              </w:rPr>
              <w:t>ᵟ</w:t>
            </w:r>
          </w:p>
          <w:p w:rsidR="00501B9D" w:rsidRPr="00CD773D" w:rsidRDefault="00501B9D" w:rsidP="001D66DE">
            <w:pPr>
              <w:keepNext/>
              <w:autoSpaceDE w:val="0"/>
              <w:autoSpaceDN w:val="0"/>
              <w:adjustRightInd w:val="0"/>
              <w:jc w:val="center"/>
              <w:rPr>
                <w:b/>
                <w:sz w:val="16"/>
                <w:szCs w:val="16"/>
              </w:rPr>
            </w:pPr>
            <w:r>
              <w:rPr>
                <w:rFonts w:ascii="Calibri" w:hAnsi="Calibri" w:cs="Calibri"/>
                <w:b/>
                <w:sz w:val="16"/>
                <w:szCs w:val="16"/>
              </w:rPr>
              <w:t>(n=44)</w:t>
            </w:r>
          </w:p>
        </w:tc>
        <w:tc>
          <w:tcPr>
            <w:tcW w:w="845" w:type="pct"/>
            <w:tcBorders>
              <w:top w:val="single" w:sz="4" w:space="0" w:color="auto"/>
              <w:left w:val="nil"/>
              <w:bottom w:val="single" w:sz="4" w:space="0" w:color="auto"/>
            </w:tcBorders>
          </w:tcPr>
          <w:p w:rsidR="00501B9D" w:rsidRDefault="00501B9D" w:rsidP="001D66DE">
            <w:pPr>
              <w:keepNext/>
              <w:autoSpaceDE w:val="0"/>
              <w:autoSpaceDN w:val="0"/>
              <w:adjustRightInd w:val="0"/>
              <w:jc w:val="center"/>
              <w:rPr>
                <w:rFonts w:cstheme="minorHAnsi"/>
                <w:b/>
                <w:sz w:val="16"/>
                <w:szCs w:val="16"/>
              </w:rPr>
            </w:pPr>
            <w:r w:rsidRPr="00CD773D">
              <w:rPr>
                <w:b/>
                <w:sz w:val="16"/>
                <w:szCs w:val="16"/>
              </w:rPr>
              <w:t>Strict Paleolithic group</w:t>
            </w:r>
            <w:r w:rsidRPr="00CD773D">
              <w:rPr>
                <w:rFonts w:cstheme="minorHAnsi"/>
                <w:b/>
                <w:sz w:val="16"/>
                <w:szCs w:val="16"/>
              </w:rPr>
              <w:t>ᵟ</w:t>
            </w:r>
          </w:p>
          <w:p w:rsidR="00501B9D" w:rsidRPr="00CD773D" w:rsidRDefault="00501B9D" w:rsidP="001D66DE">
            <w:pPr>
              <w:keepNext/>
              <w:autoSpaceDE w:val="0"/>
              <w:autoSpaceDN w:val="0"/>
              <w:adjustRightInd w:val="0"/>
              <w:jc w:val="center"/>
              <w:rPr>
                <w:b/>
                <w:sz w:val="16"/>
                <w:szCs w:val="16"/>
              </w:rPr>
            </w:pPr>
            <w:r>
              <w:rPr>
                <w:rFonts w:cstheme="minorHAnsi"/>
                <w:b/>
                <w:sz w:val="16"/>
                <w:szCs w:val="16"/>
              </w:rPr>
              <w:t>(n=22)</w:t>
            </w:r>
          </w:p>
        </w:tc>
        <w:tc>
          <w:tcPr>
            <w:tcW w:w="413" w:type="pct"/>
            <w:tcBorders>
              <w:top w:val="single" w:sz="4" w:space="0" w:color="auto"/>
              <w:bottom w:val="single" w:sz="4" w:space="0" w:color="auto"/>
            </w:tcBorders>
          </w:tcPr>
          <w:p w:rsidR="00501B9D" w:rsidRPr="00CD773D" w:rsidRDefault="00501B9D" w:rsidP="001D66DE">
            <w:pPr>
              <w:keepNext/>
              <w:autoSpaceDE w:val="0"/>
              <w:autoSpaceDN w:val="0"/>
              <w:adjustRightInd w:val="0"/>
              <w:jc w:val="center"/>
              <w:rPr>
                <w:b/>
                <w:sz w:val="16"/>
                <w:szCs w:val="16"/>
              </w:rPr>
            </w:pPr>
            <w:r w:rsidRPr="00CD773D">
              <w:rPr>
                <w:b/>
                <w:sz w:val="16"/>
                <w:szCs w:val="16"/>
              </w:rPr>
              <w:t>Effect Size (SP vs control)</w:t>
            </w:r>
          </w:p>
        </w:tc>
        <w:tc>
          <w:tcPr>
            <w:tcW w:w="862" w:type="pct"/>
            <w:tcBorders>
              <w:top w:val="single" w:sz="4" w:space="0" w:color="auto"/>
              <w:bottom w:val="single" w:sz="4" w:space="0" w:color="auto"/>
            </w:tcBorders>
          </w:tcPr>
          <w:p w:rsidR="00501B9D" w:rsidRDefault="00501B9D" w:rsidP="001D66DE">
            <w:pPr>
              <w:keepNext/>
              <w:autoSpaceDE w:val="0"/>
              <w:autoSpaceDN w:val="0"/>
              <w:adjustRightInd w:val="0"/>
              <w:jc w:val="center"/>
              <w:rPr>
                <w:rFonts w:cstheme="minorHAnsi"/>
                <w:b/>
                <w:sz w:val="16"/>
                <w:szCs w:val="16"/>
              </w:rPr>
            </w:pPr>
            <w:r w:rsidRPr="00CD773D">
              <w:rPr>
                <w:b/>
                <w:sz w:val="16"/>
                <w:szCs w:val="16"/>
              </w:rPr>
              <w:t>Pseudo-Paleolithic group</w:t>
            </w:r>
            <w:r w:rsidRPr="00CD773D">
              <w:rPr>
                <w:rFonts w:cstheme="minorHAnsi"/>
                <w:b/>
                <w:sz w:val="16"/>
                <w:szCs w:val="16"/>
              </w:rPr>
              <w:t>ᵟ</w:t>
            </w:r>
          </w:p>
          <w:p w:rsidR="00501B9D" w:rsidRPr="00CD773D" w:rsidRDefault="00501B9D" w:rsidP="001D66DE">
            <w:pPr>
              <w:keepNext/>
              <w:autoSpaceDE w:val="0"/>
              <w:autoSpaceDN w:val="0"/>
              <w:adjustRightInd w:val="0"/>
              <w:jc w:val="center"/>
              <w:rPr>
                <w:b/>
                <w:sz w:val="16"/>
                <w:szCs w:val="16"/>
              </w:rPr>
            </w:pPr>
            <w:r>
              <w:rPr>
                <w:rFonts w:cstheme="minorHAnsi"/>
                <w:b/>
                <w:sz w:val="16"/>
                <w:szCs w:val="16"/>
              </w:rPr>
              <w:t>(n=22)</w:t>
            </w:r>
          </w:p>
        </w:tc>
        <w:tc>
          <w:tcPr>
            <w:tcW w:w="460" w:type="pct"/>
            <w:tcBorders>
              <w:top w:val="single" w:sz="4" w:space="0" w:color="auto"/>
              <w:bottom w:val="single" w:sz="4" w:space="0" w:color="auto"/>
            </w:tcBorders>
          </w:tcPr>
          <w:p w:rsidR="00501B9D" w:rsidRPr="00CD773D" w:rsidRDefault="00501B9D" w:rsidP="001D66DE">
            <w:pPr>
              <w:keepNext/>
              <w:autoSpaceDE w:val="0"/>
              <w:autoSpaceDN w:val="0"/>
              <w:adjustRightInd w:val="0"/>
              <w:jc w:val="center"/>
              <w:rPr>
                <w:b/>
                <w:sz w:val="16"/>
                <w:szCs w:val="16"/>
              </w:rPr>
            </w:pPr>
            <w:r w:rsidRPr="00CD773D">
              <w:rPr>
                <w:b/>
                <w:sz w:val="16"/>
                <w:szCs w:val="16"/>
              </w:rPr>
              <w:t>Effect Size (PP vs control)</w:t>
            </w:r>
          </w:p>
        </w:tc>
        <w:tc>
          <w:tcPr>
            <w:tcW w:w="613" w:type="pct"/>
            <w:tcBorders>
              <w:top w:val="single" w:sz="4" w:space="0" w:color="auto"/>
              <w:bottom w:val="single" w:sz="4" w:space="0" w:color="auto"/>
            </w:tcBorders>
          </w:tcPr>
          <w:p w:rsidR="00501B9D" w:rsidRPr="00CD773D" w:rsidRDefault="00501B9D" w:rsidP="001D66DE">
            <w:pPr>
              <w:keepNext/>
              <w:autoSpaceDE w:val="0"/>
              <w:autoSpaceDN w:val="0"/>
              <w:adjustRightInd w:val="0"/>
              <w:jc w:val="center"/>
              <w:rPr>
                <w:b/>
                <w:sz w:val="16"/>
                <w:szCs w:val="16"/>
              </w:rPr>
            </w:pPr>
            <w:r w:rsidRPr="00CD773D">
              <w:rPr>
                <w:b/>
                <w:sz w:val="16"/>
                <w:szCs w:val="16"/>
              </w:rPr>
              <w:t>P-</w:t>
            </w:r>
            <w:proofErr w:type="spellStart"/>
            <w:r w:rsidRPr="00CD773D">
              <w:rPr>
                <w:b/>
                <w:sz w:val="16"/>
                <w:szCs w:val="16"/>
              </w:rPr>
              <w:t>Value</w:t>
            </w:r>
            <w:r w:rsidRPr="00CD773D">
              <w:rPr>
                <w:rFonts w:cstheme="minorHAnsi"/>
                <w:b/>
                <w:sz w:val="16"/>
                <w:szCs w:val="16"/>
                <w:vertAlign w:val="superscript"/>
              </w:rPr>
              <w:t>ϯ</w:t>
            </w:r>
            <w:proofErr w:type="spellEnd"/>
          </w:p>
        </w:tc>
      </w:tr>
      <w:tr w:rsidR="00501B9D" w:rsidTr="00501B9D">
        <w:tc>
          <w:tcPr>
            <w:tcW w:w="923" w:type="pct"/>
            <w:tcBorders>
              <w:top w:val="single" w:sz="4" w:space="0" w:color="auto"/>
            </w:tcBorders>
          </w:tcPr>
          <w:p w:rsidR="00501B9D" w:rsidRDefault="00501B9D" w:rsidP="001D66DE">
            <w:pPr>
              <w:keepNext/>
              <w:autoSpaceDE w:val="0"/>
              <w:autoSpaceDN w:val="0"/>
              <w:adjustRightInd w:val="0"/>
              <w:jc w:val="center"/>
              <w:rPr>
                <w:sz w:val="16"/>
                <w:szCs w:val="16"/>
              </w:rPr>
            </w:pPr>
          </w:p>
          <w:p w:rsidR="00501B9D" w:rsidRDefault="00501B9D" w:rsidP="001D66DE">
            <w:pPr>
              <w:keepNext/>
              <w:autoSpaceDE w:val="0"/>
              <w:autoSpaceDN w:val="0"/>
              <w:adjustRightInd w:val="0"/>
              <w:jc w:val="center"/>
              <w:rPr>
                <w:rFonts w:cstheme="minorHAnsi"/>
                <w:sz w:val="16"/>
                <w:szCs w:val="16"/>
              </w:rPr>
            </w:pPr>
            <w:r w:rsidRPr="006B40EE">
              <w:rPr>
                <w:sz w:val="16"/>
                <w:szCs w:val="16"/>
              </w:rPr>
              <w:t>Shannon diversity index</w:t>
            </w:r>
            <w:r w:rsidRPr="006B40EE">
              <w:rPr>
                <w:rFonts w:cstheme="minorHAnsi"/>
                <w:sz w:val="16"/>
                <w:szCs w:val="16"/>
                <w:vertAlign w:val="superscript"/>
              </w:rPr>
              <w:t>π</w:t>
            </w:r>
            <w:r>
              <w:rPr>
                <w:rFonts w:cstheme="minorHAnsi"/>
                <w:sz w:val="16"/>
                <w:szCs w:val="16"/>
                <w:vertAlign w:val="superscript"/>
              </w:rPr>
              <w:t xml:space="preserve"> </w:t>
            </w:r>
          </w:p>
          <w:p w:rsidR="00501B9D" w:rsidRPr="006B40EE" w:rsidRDefault="00501B9D" w:rsidP="001D66DE">
            <w:pPr>
              <w:keepNext/>
              <w:autoSpaceDE w:val="0"/>
              <w:autoSpaceDN w:val="0"/>
              <w:adjustRightInd w:val="0"/>
              <w:jc w:val="center"/>
              <w:rPr>
                <w:sz w:val="16"/>
                <w:szCs w:val="16"/>
              </w:rPr>
            </w:pPr>
          </w:p>
        </w:tc>
        <w:tc>
          <w:tcPr>
            <w:tcW w:w="884" w:type="pct"/>
            <w:tcBorders>
              <w:top w:val="single" w:sz="4" w:space="0" w:color="auto"/>
              <w:right w:val="nil"/>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sidRPr="00CD773D">
              <w:rPr>
                <w:sz w:val="16"/>
                <w:szCs w:val="16"/>
              </w:rPr>
              <w:t>4.35 (4.29, 4.41)</w:t>
            </w:r>
          </w:p>
        </w:tc>
        <w:tc>
          <w:tcPr>
            <w:tcW w:w="845" w:type="pct"/>
            <w:tcBorders>
              <w:top w:val="single" w:sz="4" w:space="0" w:color="auto"/>
              <w:left w:val="nil"/>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sidRPr="00CD773D">
              <w:rPr>
                <w:sz w:val="16"/>
                <w:szCs w:val="16"/>
              </w:rPr>
              <w:t>4.31 (4.26, 4.35)</w:t>
            </w:r>
          </w:p>
        </w:tc>
        <w:tc>
          <w:tcPr>
            <w:tcW w:w="413" w:type="pct"/>
            <w:tcBorders>
              <w:top w:val="single" w:sz="4" w:space="0" w:color="auto"/>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Pr>
                <w:sz w:val="16"/>
                <w:szCs w:val="16"/>
              </w:rPr>
              <w:t>-0.26</w:t>
            </w:r>
          </w:p>
        </w:tc>
        <w:tc>
          <w:tcPr>
            <w:tcW w:w="862" w:type="pct"/>
            <w:tcBorders>
              <w:top w:val="single" w:sz="4" w:space="0" w:color="auto"/>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sidRPr="00CD773D">
              <w:rPr>
                <w:sz w:val="16"/>
                <w:szCs w:val="16"/>
              </w:rPr>
              <w:t>4.34 (4.28, 4.4)</w:t>
            </w:r>
          </w:p>
        </w:tc>
        <w:tc>
          <w:tcPr>
            <w:tcW w:w="460" w:type="pct"/>
            <w:tcBorders>
              <w:top w:val="single" w:sz="4" w:space="0" w:color="auto"/>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Pr>
                <w:sz w:val="16"/>
                <w:szCs w:val="16"/>
              </w:rPr>
              <w:t>-0.07</w:t>
            </w:r>
          </w:p>
        </w:tc>
        <w:tc>
          <w:tcPr>
            <w:tcW w:w="613" w:type="pct"/>
            <w:tcBorders>
              <w:top w:val="single" w:sz="4" w:space="0" w:color="auto"/>
            </w:tcBorders>
          </w:tcPr>
          <w:p w:rsidR="00501B9D" w:rsidRDefault="00501B9D" w:rsidP="001D66DE">
            <w:pPr>
              <w:keepNext/>
              <w:autoSpaceDE w:val="0"/>
              <w:autoSpaceDN w:val="0"/>
              <w:adjustRightInd w:val="0"/>
              <w:jc w:val="center"/>
              <w:rPr>
                <w:sz w:val="16"/>
                <w:szCs w:val="16"/>
              </w:rPr>
            </w:pPr>
          </w:p>
          <w:p w:rsidR="00501B9D" w:rsidRPr="00CD773D" w:rsidRDefault="00501B9D" w:rsidP="001D66DE">
            <w:pPr>
              <w:keepNext/>
              <w:autoSpaceDE w:val="0"/>
              <w:autoSpaceDN w:val="0"/>
              <w:adjustRightInd w:val="0"/>
              <w:jc w:val="center"/>
              <w:rPr>
                <w:sz w:val="16"/>
                <w:szCs w:val="16"/>
              </w:rPr>
            </w:pPr>
            <w:r>
              <w:rPr>
                <w:sz w:val="16"/>
                <w:szCs w:val="16"/>
              </w:rPr>
              <w:t>0.457</w:t>
            </w:r>
          </w:p>
        </w:tc>
      </w:tr>
      <w:tr w:rsidR="00501B9D" w:rsidTr="00501B9D">
        <w:tc>
          <w:tcPr>
            <w:tcW w:w="923" w:type="pct"/>
          </w:tcPr>
          <w:p w:rsidR="00501B9D" w:rsidRDefault="00501B9D" w:rsidP="001D66DE">
            <w:pPr>
              <w:keepNext/>
              <w:autoSpaceDE w:val="0"/>
              <w:autoSpaceDN w:val="0"/>
              <w:adjustRightInd w:val="0"/>
              <w:jc w:val="center"/>
              <w:rPr>
                <w:sz w:val="16"/>
                <w:szCs w:val="16"/>
              </w:rPr>
            </w:pPr>
            <w:r w:rsidRPr="006B40EE">
              <w:rPr>
                <w:sz w:val="16"/>
                <w:szCs w:val="16"/>
              </w:rPr>
              <w:t>Simpson diversity index</w:t>
            </w:r>
          </w:p>
          <w:p w:rsidR="00501B9D" w:rsidRPr="006B40EE" w:rsidRDefault="00501B9D" w:rsidP="001D66DE">
            <w:pPr>
              <w:keepNext/>
              <w:autoSpaceDE w:val="0"/>
              <w:autoSpaceDN w:val="0"/>
              <w:adjustRightInd w:val="0"/>
              <w:jc w:val="center"/>
              <w:rPr>
                <w:sz w:val="16"/>
                <w:szCs w:val="16"/>
              </w:rPr>
            </w:pPr>
          </w:p>
        </w:tc>
        <w:tc>
          <w:tcPr>
            <w:tcW w:w="884" w:type="pct"/>
            <w:tcBorders>
              <w:right w:val="nil"/>
            </w:tcBorders>
          </w:tcPr>
          <w:p w:rsidR="00501B9D" w:rsidRPr="00CD773D" w:rsidRDefault="00501B9D" w:rsidP="001D66DE">
            <w:pPr>
              <w:keepNext/>
              <w:autoSpaceDE w:val="0"/>
              <w:autoSpaceDN w:val="0"/>
              <w:adjustRightInd w:val="0"/>
              <w:jc w:val="center"/>
              <w:rPr>
                <w:sz w:val="16"/>
                <w:szCs w:val="16"/>
              </w:rPr>
            </w:pPr>
            <w:r w:rsidRPr="0096253B">
              <w:rPr>
                <w:sz w:val="16"/>
                <w:szCs w:val="16"/>
              </w:rPr>
              <w:t>1.04 (1.04, 1.04)</w:t>
            </w:r>
          </w:p>
        </w:tc>
        <w:tc>
          <w:tcPr>
            <w:tcW w:w="845" w:type="pct"/>
            <w:tcBorders>
              <w:left w:val="nil"/>
            </w:tcBorders>
          </w:tcPr>
          <w:p w:rsidR="00501B9D" w:rsidRPr="00CD773D" w:rsidRDefault="00501B9D" w:rsidP="001D66DE">
            <w:pPr>
              <w:keepNext/>
              <w:autoSpaceDE w:val="0"/>
              <w:autoSpaceDN w:val="0"/>
              <w:adjustRightInd w:val="0"/>
              <w:jc w:val="center"/>
              <w:rPr>
                <w:sz w:val="16"/>
                <w:szCs w:val="16"/>
              </w:rPr>
            </w:pPr>
            <w:r w:rsidRPr="0096253B">
              <w:rPr>
                <w:sz w:val="16"/>
                <w:szCs w:val="16"/>
              </w:rPr>
              <w:t>1.04 (1.04, 1.04)</w:t>
            </w:r>
          </w:p>
        </w:tc>
        <w:tc>
          <w:tcPr>
            <w:tcW w:w="413" w:type="pct"/>
          </w:tcPr>
          <w:p w:rsidR="00501B9D" w:rsidRPr="00CD773D" w:rsidRDefault="00501B9D" w:rsidP="001D66DE">
            <w:pPr>
              <w:keepNext/>
              <w:autoSpaceDE w:val="0"/>
              <w:autoSpaceDN w:val="0"/>
              <w:adjustRightInd w:val="0"/>
              <w:jc w:val="center"/>
              <w:rPr>
                <w:sz w:val="16"/>
                <w:szCs w:val="16"/>
              </w:rPr>
            </w:pPr>
            <w:r>
              <w:rPr>
                <w:sz w:val="16"/>
                <w:szCs w:val="16"/>
              </w:rPr>
              <w:t>0.00</w:t>
            </w:r>
          </w:p>
        </w:tc>
        <w:tc>
          <w:tcPr>
            <w:tcW w:w="862" w:type="pct"/>
          </w:tcPr>
          <w:p w:rsidR="00501B9D" w:rsidRPr="00CD773D" w:rsidRDefault="00501B9D" w:rsidP="001D66DE">
            <w:pPr>
              <w:keepNext/>
              <w:autoSpaceDE w:val="0"/>
              <w:autoSpaceDN w:val="0"/>
              <w:adjustRightInd w:val="0"/>
              <w:jc w:val="center"/>
              <w:rPr>
                <w:sz w:val="16"/>
                <w:szCs w:val="16"/>
              </w:rPr>
            </w:pPr>
            <w:r w:rsidRPr="0096253B">
              <w:rPr>
                <w:sz w:val="16"/>
                <w:szCs w:val="16"/>
              </w:rPr>
              <w:t>1.04 (1.04, 1.04)</w:t>
            </w:r>
          </w:p>
        </w:tc>
        <w:tc>
          <w:tcPr>
            <w:tcW w:w="460" w:type="pct"/>
          </w:tcPr>
          <w:p w:rsidR="00501B9D" w:rsidRPr="00CD773D" w:rsidRDefault="00501B9D" w:rsidP="001D66DE">
            <w:pPr>
              <w:keepNext/>
              <w:autoSpaceDE w:val="0"/>
              <w:autoSpaceDN w:val="0"/>
              <w:adjustRightInd w:val="0"/>
              <w:jc w:val="center"/>
              <w:rPr>
                <w:sz w:val="16"/>
                <w:szCs w:val="16"/>
              </w:rPr>
            </w:pPr>
            <w:r>
              <w:rPr>
                <w:sz w:val="16"/>
                <w:szCs w:val="16"/>
              </w:rPr>
              <w:t>0.00</w:t>
            </w:r>
          </w:p>
        </w:tc>
        <w:tc>
          <w:tcPr>
            <w:tcW w:w="613" w:type="pct"/>
          </w:tcPr>
          <w:p w:rsidR="00501B9D" w:rsidRPr="00CD773D" w:rsidRDefault="00501B9D" w:rsidP="001D66DE">
            <w:pPr>
              <w:keepNext/>
              <w:autoSpaceDE w:val="0"/>
              <w:autoSpaceDN w:val="0"/>
              <w:adjustRightInd w:val="0"/>
              <w:jc w:val="center"/>
              <w:rPr>
                <w:sz w:val="16"/>
                <w:szCs w:val="16"/>
              </w:rPr>
            </w:pPr>
            <w:r>
              <w:rPr>
                <w:sz w:val="16"/>
                <w:szCs w:val="16"/>
              </w:rPr>
              <w:t>0.302</w:t>
            </w:r>
          </w:p>
        </w:tc>
      </w:tr>
      <w:tr w:rsidR="00501B9D" w:rsidTr="00501B9D">
        <w:tc>
          <w:tcPr>
            <w:tcW w:w="923" w:type="pct"/>
          </w:tcPr>
          <w:p w:rsidR="00501B9D" w:rsidRDefault="00501B9D" w:rsidP="001D66DE">
            <w:pPr>
              <w:keepNext/>
              <w:autoSpaceDE w:val="0"/>
              <w:autoSpaceDN w:val="0"/>
              <w:adjustRightInd w:val="0"/>
              <w:jc w:val="center"/>
              <w:rPr>
                <w:sz w:val="16"/>
                <w:szCs w:val="16"/>
              </w:rPr>
            </w:pPr>
            <w:r w:rsidRPr="006B40EE">
              <w:rPr>
                <w:sz w:val="16"/>
                <w:szCs w:val="16"/>
              </w:rPr>
              <w:t>Species richness</w:t>
            </w:r>
          </w:p>
          <w:p w:rsidR="00501B9D" w:rsidRPr="006B40EE" w:rsidRDefault="00501B9D" w:rsidP="001D66DE">
            <w:pPr>
              <w:keepNext/>
              <w:autoSpaceDE w:val="0"/>
              <w:autoSpaceDN w:val="0"/>
              <w:adjustRightInd w:val="0"/>
              <w:jc w:val="center"/>
              <w:rPr>
                <w:sz w:val="16"/>
                <w:szCs w:val="16"/>
              </w:rPr>
            </w:pPr>
          </w:p>
        </w:tc>
        <w:tc>
          <w:tcPr>
            <w:tcW w:w="884" w:type="pct"/>
            <w:tcBorders>
              <w:bottom w:val="single" w:sz="4" w:space="0" w:color="auto"/>
              <w:right w:val="nil"/>
            </w:tcBorders>
          </w:tcPr>
          <w:p w:rsidR="00501B9D" w:rsidRPr="00CD773D" w:rsidRDefault="00501B9D" w:rsidP="001D66DE">
            <w:pPr>
              <w:keepNext/>
              <w:autoSpaceDE w:val="0"/>
              <w:autoSpaceDN w:val="0"/>
              <w:adjustRightInd w:val="0"/>
              <w:jc w:val="center"/>
              <w:rPr>
                <w:sz w:val="16"/>
                <w:szCs w:val="16"/>
              </w:rPr>
            </w:pPr>
            <w:r w:rsidRPr="00CD773D">
              <w:rPr>
                <w:sz w:val="16"/>
                <w:szCs w:val="16"/>
              </w:rPr>
              <w:t>30.02 (28.53, 31.52)</w:t>
            </w:r>
          </w:p>
        </w:tc>
        <w:tc>
          <w:tcPr>
            <w:tcW w:w="845" w:type="pct"/>
            <w:tcBorders>
              <w:left w:val="nil"/>
              <w:bottom w:val="single" w:sz="4" w:space="0" w:color="auto"/>
            </w:tcBorders>
          </w:tcPr>
          <w:p w:rsidR="00501B9D" w:rsidRPr="00CD773D" w:rsidRDefault="00501B9D" w:rsidP="001D66DE">
            <w:pPr>
              <w:keepNext/>
              <w:autoSpaceDE w:val="0"/>
              <w:autoSpaceDN w:val="0"/>
              <w:adjustRightInd w:val="0"/>
              <w:jc w:val="center"/>
              <w:rPr>
                <w:sz w:val="16"/>
                <w:szCs w:val="16"/>
              </w:rPr>
            </w:pPr>
            <w:r w:rsidRPr="00CD773D">
              <w:rPr>
                <w:rFonts w:ascii="Calibri" w:hAnsi="Calibri" w:cs="Calibri"/>
                <w:bCs/>
                <w:color w:val="000000"/>
                <w:sz w:val="16"/>
                <w:szCs w:val="16"/>
              </w:rPr>
              <w:t>29.68 (28.63, 30.72)</w:t>
            </w:r>
          </w:p>
        </w:tc>
        <w:tc>
          <w:tcPr>
            <w:tcW w:w="413" w:type="pct"/>
          </w:tcPr>
          <w:p w:rsidR="00501B9D" w:rsidRPr="00CD773D" w:rsidRDefault="00501B9D" w:rsidP="001D66DE">
            <w:pPr>
              <w:keepNext/>
              <w:autoSpaceDE w:val="0"/>
              <w:autoSpaceDN w:val="0"/>
              <w:adjustRightInd w:val="0"/>
              <w:jc w:val="center"/>
              <w:rPr>
                <w:sz w:val="16"/>
                <w:szCs w:val="16"/>
              </w:rPr>
            </w:pPr>
            <w:r>
              <w:rPr>
                <w:sz w:val="16"/>
                <w:szCs w:val="16"/>
              </w:rPr>
              <w:t>-0.11</w:t>
            </w:r>
          </w:p>
        </w:tc>
        <w:tc>
          <w:tcPr>
            <w:tcW w:w="862" w:type="pct"/>
          </w:tcPr>
          <w:p w:rsidR="00501B9D" w:rsidRPr="00CD773D" w:rsidRDefault="00501B9D" w:rsidP="001D66DE">
            <w:pPr>
              <w:keepNext/>
              <w:autoSpaceDE w:val="0"/>
              <w:autoSpaceDN w:val="0"/>
              <w:adjustRightInd w:val="0"/>
              <w:jc w:val="center"/>
              <w:rPr>
                <w:sz w:val="16"/>
                <w:szCs w:val="16"/>
              </w:rPr>
            </w:pPr>
            <w:r w:rsidRPr="00CD773D">
              <w:rPr>
                <w:sz w:val="16"/>
                <w:szCs w:val="16"/>
              </w:rPr>
              <w:t>30.2 (28.75, 31.65)</w:t>
            </w:r>
          </w:p>
        </w:tc>
        <w:tc>
          <w:tcPr>
            <w:tcW w:w="460" w:type="pct"/>
          </w:tcPr>
          <w:p w:rsidR="00501B9D" w:rsidRPr="00CD773D" w:rsidRDefault="00501B9D" w:rsidP="001D66DE">
            <w:pPr>
              <w:keepNext/>
              <w:autoSpaceDE w:val="0"/>
              <w:autoSpaceDN w:val="0"/>
              <w:adjustRightInd w:val="0"/>
              <w:jc w:val="center"/>
              <w:rPr>
                <w:sz w:val="16"/>
                <w:szCs w:val="16"/>
              </w:rPr>
            </w:pPr>
            <w:r>
              <w:rPr>
                <w:sz w:val="16"/>
                <w:szCs w:val="16"/>
              </w:rPr>
              <w:t>0.05</w:t>
            </w:r>
          </w:p>
        </w:tc>
        <w:tc>
          <w:tcPr>
            <w:tcW w:w="613" w:type="pct"/>
          </w:tcPr>
          <w:p w:rsidR="00501B9D" w:rsidRPr="00CD773D" w:rsidRDefault="00501B9D" w:rsidP="001D66DE">
            <w:pPr>
              <w:keepNext/>
              <w:autoSpaceDE w:val="0"/>
              <w:autoSpaceDN w:val="0"/>
              <w:adjustRightInd w:val="0"/>
              <w:jc w:val="center"/>
              <w:rPr>
                <w:sz w:val="16"/>
                <w:szCs w:val="16"/>
              </w:rPr>
            </w:pPr>
            <w:r>
              <w:rPr>
                <w:sz w:val="16"/>
                <w:szCs w:val="16"/>
              </w:rPr>
              <w:t>0.798</w:t>
            </w:r>
          </w:p>
        </w:tc>
      </w:tr>
    </w:tbl>
    <w:p w:rsidR="00501B9D" w:rsidRPr="004B4245" w:rsidRDefault="00501B9D" w:rsidP="00501B9D">
      <w:pPr>
        <w:spacing w:after="0" w:line="240" w:lineRule="auto"/>
        <w:rPr>
          <w:i/>
          <w:sz w:val="16"/>
          <w:szCs w:val="16"/>
        </w:rPr>
      </w:pPr>
      <w:r>
        <w:rPr>
          <w:rFonts w:cstheme="minorHAnsi"/>
          <w:i/>
          <w:sz w:val="16"/>
          <w:szCs w:val="16"/>
        </w:rPr>
        <w:t>ᵟ</w:t>
      </w:r>
      <w:r w:rsidRPr="00E27182">
        <w:rPr>
          <w:i/>
          <w:sz w:val="16"/>
          <w:szCs w:val="16"/>
        </w:rPr>
        <w:t xml:space="preserve">General Linear Modelling used to determine </w:t>
      </w:r>
      <w:r>
        <w:rPr>
          <w:i/>
          <w:sz w:val="16"/>
          <w:szCs w:val="16"/>
        </w:rPr>
        <w:t xml:space="preserve">estimated marginal means and </w:t>
      </w:r>
      <w:r w:rsidRPr="00E27182">
        <w:rPr>
          <w:i/>
          <w:sz w:val="16"/>
          <w:szCs w:val="16"/>
        </w:rPr>
        <w:t>the difference between Control, Stri</w:t>
      </w:r>
      <w:r>
        <w:rPr>
          <w:i/>
          <w:sz w:val="16"/>
          <w:szCs w:val="16"/>
        </w:rPr>
        <w:t>ct Paleolithic and Pseudo Paleo</w:t>
      </w:r>
      <w:r w:rsidRPr="00E27182">
        <w:rPr>
          <w:i/>
          <w:sz w:val="16"/>
          <w:szCs w:val="16"/>
        </w:rPr>
        <w:t>lithic groups after adjustment for age, gender, energy int</w:t>
      </w:r>
      <w:r>
        <w:rPr>
          <w:i/>
          <w:sz w:val="16"/>
          <w:szCs w:val="16"/>
        </w:rPr>
        <w:t>ake and body fat percentage.**P</w:t>
      </w:r>
      <w:r>
        <w:rPr>
          <w:rFonts w:ascii="Arial" w:hAnsi="Arial" w:cs="Arial"/>
          <w:i/>
          <w:sz w:val="16"/>
          <w:szCs w:val="16"/>
        </w:rPr>
        <w:t>≤</w:t>
      </w:r>
      <w:r w:rsidRPr="00E27182">
        <w:rPr>
          <w:i/>
          <w:sz w:val="16"/>
          <w:szCs w:val="16"/>
        </w:rPr>
        <w:t xml:space="preserve">0.01 Different </w:t>
      </w:r>
      <w:r w:rsidRPr="007318B5">
        <w:rPr>
          <w:i/>
          <w:noProof/>
          <w:sz w:val="16"/>
          <w:szCs w:val="16"/>
        </w:rPr>
        <w:t>from</w:t>
      </w:r>
      <w:r w:rsidRPr="00E27182">
        <w:rPr>
          <w:i/>
          <w:sz w:val="16"/>
          <w:szCs w:val="16"/>
        </w:rPr>
        <w:t xml:space="preserve"> Control Group, *P</w:t>
      </w:r>
      <w:r>
        <w:rPr>
          <w:rFonts w:ascii="Arial" w:hAnsi="Arial" w:cs="Arial"/>
          <w:i/>
          <w:sz w:val="16"/>
          <w:szCs w:val="16"/>
        </w:rPr>
        <w:t>≤</w:t>
      </w:r>
      <w:r w:rsidRPr="00E27182">
        <w:rPr>
          <w:i/>
          <w:sz w:val="16"/>
          <w:szCs w:val="16"/>
        </w:rPr>
        <w:t xml:space="preserve">0.05 Different </w:t>
      </w:r>
      <w:r>
        <w:rPr>
          <w:i/>
          <w:sz w:val="16"/>
          <w:szCs w:val="16"/>
        </w:rPr>
        <w:t>from</w:t>
      </w:r>
      <w:r w:rsidRPr="00E27182">
        <w:rPr>
          <w:i/>
          <w:sz w:val="16"/>
          <w:szCs w:val="16"/>
        </w:rPr>
        <w:t xml:space="preserve"> Control Group</w:t>
      </w:r>
      <w:r>
        <w:rPr>
          <w:i/>
          <w:sz w:val="16"/>
          <w:szCs w:val="16"/>
        </w:rPr>
        <w:t>..**P</w:t>
      </w:r>
      <w:r>
        <w:rPr>
          <w:rFonts w:ascii="Arial" w:hAnsi="Arial" w:cs="Arial"/>
          <w:i/>
          <w:sz w:val="16"/>
          <w:szCs w:val="16"/>
        </w:rPr>
        <w:t>≤</w:t>
      </w:r>
      <w:r w:rsidRPr="00E27182">
        <w:rPr>
          <w:i/>
          <w:sz w:val="16"/>
          <w:szCs w:val="16"/>
        </w:rPr>
        <w:t xml:space="preserve">0.01 Different </w:t>
      </w:r>
      <w:r w:rsidRPr="007318B5">
        <w:rPr>
          <w:i/>
          <w:noProof/>
          <w:sz w:val="16"/>
          <w:szCs w:val="16"/>
        </w:rPr>
        <w:t>from</w:t>
      </w:r>
      <w:r w:rsidRPr="00E27182">
        <w:rPr>
          <w:i/>
          <w:sz w:val="16"/>
          <w:szCs w:val="16"/>
        </w:rPr>
        <w:t xml:space="preserve"> Control Group, *P</w:t>
      </w:r>
      <w:r>
        <w:rPr>
          <w:rFonts w:ascii="Arial" w:hAnsi="Arial" w:cs="Arial"/>
          <w:i/>
          <w:sz w:val="16"/>
          <w:szCs w:val="16"/>
        </w:rPr>
        <w:t>≤</w:t>
      </w:r>
      <w:r w:rsidRPr="00E27182">
        <w:rPr>
          <w:i/>
          <w:sz w:val="16"/>
          <w:szCs w:val="16"/>
        </w:rPr>
        <w:t xml:space="preserve">0.05 Different </w:t>
      </w:r>
      <w:r>
        <w:rPr>
          <w:i/>
          <w:sz w:val="16"/>
          <w:szCs w:val="16"/>
        </w:rPr>
        <w:t>from</w:t>
      </w:r>
      <w:r w:rsidRPr="00E27182">
        <w:rPr>
          <w:i/>
          <w:sz w:val="16"/>
          <w:szCs w:val="16"/>
        </w:rPr>
        <w:t xml:space="preserve"> Control Group</w:t>
      </w:r>
      <w:r>
        <w:rPr>
          <w:i/>
          <w:sz w:val="16"/>
          <w:szCs w:val="16"/>
        </w:rPr>
        <w:t xml:space="preserve">. </w:t>
      </w:r>
      <w:proofErr w:type="spellStart"/>
      <w:proofErr w:type="gramStart"/>
      <w:r>
        <w:rPr>
          <w:rFonts w:cstheme="minorHAnsi"/>
          <w:i/>
          <w:sz w:val="16"/>
          <w:szCs w:val="16"/>
          <w:vertAlign w:val="superscript"/>
        </w:rPr>
        <w:t>ƚ</w:t>
      </w:r>
      <w:r>
        <w:rPr>
          <w:rFonts w:cstheme="minorHAnsi"/>
          <w:i/>
          <w:sz w:val="16"/>
          <w:szCs w:val="16"/>
        </w:rPr>
        <w:t>Significance</w:t>
      </w:r>
      <w:proofErr w:type="spellEnd"/>
      <w:r>
        <w:rPr>
          <w:rFonts w:cstheme="minorHAnsi"/>
          <w:i/>
          <w:sz w:val="16"/>
          <w:szCs w:val="16"/>
        </w:rPr>
        <w:t xml:space="preserve"> of the overall general linear model for the three group analysis.</w:t>
      </w:r>
      <w:proofErr w:type="gramEnd"/>
      <w:r>
        <w:rPr>
          <w:rFonts w:cstheme="minorHAnsi"/>
          <w:i/>
          <w:sz w:val="16"/>
          <w:szCs w:val="16"/>
        </w:rPr>
        <w:t xml:space="preserve"> </w:t>
      </w:r>
      <w:r>
        <w:rPr>
          <w:i/>
          <w:sz w:val="16"/>
          <w:szCs w:val="16"/>
        </w:rPr>
        <w:t xml:space="preserve">Effect sizes reported using Cohen’s d, with a value of 0.2 representing a small effect, 0.5 a medium effect and 0.8 </w:t>
      </w:r>
      <w:r w:rsidRPr="00843845">
        <w:rPr>
          <w:i/>
          <w:noProof/>
          <w:sz w:val="16"/>
          <w:szCs w:val="16"/>
        </w:rPr>
        <w:t>a large</w:t>
      </w:r>
      <w:r>
        <w:rPr>
          <w:i/>
          <w:sz w:val="16"/>
          <w:szCs w:val="16"/>
        </w:rPr>
        <w:t xml:space="preserve"> effect. </w:t>
      </w:r>
      <w:r>
        <w:rPr>
          <w:rFonts w:cstheme="minorHAnsi"/>
          <w:i/>
          <w:sz w:val="16"/>
          <w:szCs w:val="16"/>
          <w:vertAlign w:val="superscript"/>
        </w:rPr>
        <w:t>π</w:t>
      </w:r>
      <w:r w:rsidRPr="004D64D6">
        <w:rPr>
          <w:rFonts w:cstheme="minorHAnsi"/>
          <w:i/>
          <w:sz w:val="16"/>
          <w:szCs w:val="16"/>
        </w:rPr>
        <w:t>log transform</w:t>
      </w:r>
      <w:r>
        <w:rPr>
          <w:rFonts w:cstheme="minorHAnsi"/>
          <w:i/>
          <w:sz w:val="16"/>
          <w:szCs w:val="16"/>
        </w:rPr>
        <w:t>ation conducted</w:t>
      </w:r>
      <w:r w:rsidRPr="004D64D6">
        <w:rPr>
          <w:rFonts w:cstheme="minorHAnsi"/>
          <w:i/>
          <w:sz w:val="16"/>
          <w:szCs w:val="16"/>
        </w:rPr>
        <w:t xml:space="preserve"> </w:t>
      </w:r>
      <w:r>
        <w:rPr>
          <w:rFonts w:cstheme="minorHAnsi"/>
          <w:i/>
          <w:noProof/>
          <w:sz w:val="16"/>
          <w:szCs w:val="16"/>
        </w:rPr>
        <w:t>before</w:t>
      </w:r>
      <w:r w:rsidRPr="004B4245">
        <w:rPr>
          <w:rFonts w:cstheme="minorHAnsi"/>
          <w:i/>
          <w:sz w:val="16"/>
          <w:szCs w:val="16"/>
        </w:rPr>
        <w:t xml:space="preserve"> analysis.</w:t>
      </w:r>
      <w:r w:rsidRPr="004B4245">
        <w:rPr>
          <w:rFonts w:cstheme="minorHAnsi"/>
          <w:i/>
          <w:sz w:val="16"/>
          <w:szCs w:val="16"/>
          <w:vertAlign w:val="superscript"/>
        </w:rPr>
        <w:t xml:space="preserve">  </w:t>
      </w:r>
      <w:r>
        <w:rPr>
          <w:rFonts w:cstheme="minorHAnsi"/>
          <w:i/>
          <w:sz w:val="16"/>
          <w:szCs w:val="16"/>
        </w:rPr>
        <w:t>P-Values for stratified Paleolithic groups adjusted using post-hoc Bonferroni correction.</w:t>
      </w:r>
      <w:r w:rsidR="00635183">
        <w:rPr>
          <w:rFonts w:cstheme="minorHAnsi"/>
          <w:i/>
          <w:sz w:val="16"/>
          <w:szCs w:val="16"/>
        </w:rPr>
        <w:fldChar w:fldCharType="begin"/>
      </w:r>
      <w:r w:rsidR="00EC1F46">
        <w:rPr>
          <w:rFonts w:cstheme="minorHAnsi"/>
          <w:i/>
          <w:sz w:val="16"/>
          <w:szCs w:val="16"/>
        </w:rPr>
        <w:instrText xml:space="preserve"> ADDIN EN.CITE &lt;EndNote&gt;&lt;Cite&gt;&lt;Author&gt;Sedgwick&lt;/Author&gt;&lt;Year&gt;2012&lt;/Year&gt;&lt;RecNum&gt;909&lt;/RecNum&gt;&lt;DisplayText&gt;[75]&lt;/DisplayText&gt;&lt;record&gt;&lt;rec-number&gt;909&lt;/rec-number&gt;&lt;foreign-keys&gt;&lt;key app="EN" db-id="rw0f2ere6spfdte2x035x2tntafwpt29wet5" timestamp="0"&gt;909&lt;/key&gt;&lt;/foreign-keys&gt;&lt;ref-type name="Journal Article"&gt;17&lt;/ref-type&gt;&lt;contributors&gt;&lt;authors&gt;&lt;author&gt;Sedgwick, Philip&lt;/author&gt;&lt;/authors&gt;&lt;/contributors&gt;&lt;titles&gt;&lt;title&gt;Multiple significance tests: the Bonferroni correction&lt;/title&gt;&lt;secondary-title&gt;BMJ&lt;/secondary-title&gt;&lt;/titles&gt;&lt;pages&gt;e509&lt;/pages&gt;&lt;volume&gt;344&lt;/volume&gt;&lt;dates&gt;&lt;year&gt;2012&lt;/year&gt;&lt;/dates&gt;&lt;isbn&gt;1756-1833&lt;/isbn&gt;&lt;urls&gt;&lt;/urls&gt;&lt;/record&gt;&lt;/Cite&gt;&lt;/EndNote&gt;</w:instrText>
      </w:r>
      <w:r w:rsidR="00635183">
        <w:rPr>
          <w:rFonts w:cstheme="minorHAnsi"/>
          <w:i/>
          <w:sz w:val="16"/>
          <w:szCs w:val="16"/>
        </w:rPr>
        <w:fldChar w:fldCharType="separate"/>
      </w:r>
      <w:r w:rsidR="00EC1F46">
        <w:rPr>
          <w:rFonts w:cstheme="minorHAnsi"/>
          <w:i/>
          <w:noProof/>
          <w:sz w:val="16"/>
          <w:szCs w:val="16"/>
        </w:rPr>
        <w:t>[75]</w:t>
      </w:r>
      <w:r w:rsidR="00635183">
        <w:rPr>
          <w:rFonts w:cstheme="minorHAnsi"/>
          <w:i/>
          <w:sz w:val="16"/>
          <w:szCs w:val="16"/>
        </w:rPr>
        <w:fldChar w:fldCharType="end"/>
      </w:r>
      <w:r>
        <w:rPr>
          <w:rFonts w:cstheme="minorHAnsi"/>
          <w:i/>
          <w:sz w:val="16"/>
          <w:szCs w:val="16"/>
        </w:rPr>
        <w:t xml:space="preserve"> </w:t>
      </w:r>
    </w:p>
    <w:p w:rsidR="00710D30" w:rsidRDefault="00710D30" w:rsidP="00710D30">
      <w:pPr>
        <w:pStyle w:val="Heading3"/>
      </w:pPr>
    </w:p>
    <w:p w:rsidR="00710D30" w:rsidRPr="00EC740C" w:rsidRDefault="00710D30" w:rsidP="00710D30">
      <w:pPr>
        <w:spacing w:line="480" w:lineRule="auto"/>
      </w:pPr>
      <w:r>
        <w:rPr>
          <w:snapToGrid w:val="0"/>
        </w:rPr>
        <w:t xml:space="preserve"> </w:t>
      </w:r>
    </w:p>
    <w:sectPr w:rsidR="00710D30" w:rsidRPr="00EC740C" w:rsidSect="0053241E">
      <w:head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668" w:rsidRDefault="00C13668" w:rsidP="0052129A">
      <w:pPr>
        <w:spacing w:after="0" w:line="240" w:lineRule="auto"/>
      </w:pPr>
      <w:r>
        <w:separator/>
      </w:r>
    </w:p>
  </w:endnote>
  <w:endnote w:type="continuationSeparator" w:id="0">
    <w:p w:rsidR="00C13668" w:rsidRDefault="00C13668" w:rsidP="00521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668" w:rsidRDefault="00C13668" w:rsidP="0052129A">
      <w:pPr>
        <w:spacing w:after="0" w:line="240" w:lineRule="auto"/>
      </w:pPr>
      <w:r>
        <w:separator/>
      </w:r>
    </w:p>
  </w:footnote>
  <w:footnote w:type="continuationSeparator" w:id="0">
    <w:p w:rsidR="00C13668" w:rsidRDefault="00C13668" w:rsidP="005212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353252"/>
      <w:docPartObj>
        <w:docPartGallery w:val="Page Numbers (Top of Page)"/>
        <w:docPartUnique/>
      </w:docPartObj>
    </w:sdtPr>
    <w:sdtEndPr>
      <w:rPr>
        <w:noProof/>
      </w:rPr>
    </w:sdtEndPr>
    <w:sdtContent>
      <w:p w:rsidR="004A7EEC" w:rsidRDefault="00635183">
        <w:pPr>
          <w:pStyle w:val="Header"/>
          <w:jc w:val="right"/>
        </w:pPr>
        <w:r>
          <w:fldChar w:fldCharType="begin"/>
        </w:r>
        <w:r w:rsidR="004A7EEC">
          <w:instrText xml:space="preserve"> PAGE   \* MERGEFORMAT </w:instrText>
        </w:r>
        <w:r>
          <w:fldChar w:fldCharType="separate"/>
        </w:r>
        <w:r w:rsidR="00EB035F">
          <w:rPr>
            <w:noProof/>
          </w:rPr>
          <w:t>2</w:t>
        </w:r>
        <w:r>
          <w:rPr>
            <w:noProof/>
          </w:rPr>
          <w:fldChar w:fldCharType="end"/>
        </w:r>
      </w:p>
    </w:sdtContent>
  </w:sdt>
  <w:p w:rsidR="004A7EEC" w:rsidRDefault="004A7E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0D0"/>
    <w:multiLevelType w:val="hybridMultilevel"/>
    <w:tmpl w:val="8CBC8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5552D28"/>
    <w:multiLevelType w:val="hybridMultilevel"/>
    <w:tmpl w:val="63588DB8"/>
    <w:lvl w:ilvl="0" w:tplc="EE12C4E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EF62034"/>
    <w:multiLevelType w:val="hybridMultilevel"/>
    <w:tmpl w:val="B86A44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1A73D7"/>
    <w:multiLevelType w:val="hybridMultilevel"/>
    <w:tmpl w:val="D4F2CC82"/>
    <w:lvl w:ilvl="0" w:tplc="F974985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F0B75"/>
    <w:multiLevelType w:val="hybridMultilevel"/>
    <w:tmpl w:val="399A2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3F08A2"/>
    <w:multiLevelType w:val="hybridMultilevel"/>
    <w:tmpl w:val="D1E84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A54675"/>
    <w:multiLevelType w:val="hybridMultilevel"/>
    <w:tmpl w:val="14CC2E1A"/>
    <w:lvl w:ilvl="0" w:tplc="C414AE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8956DE"/>
    <w:multiLevelType w:val="hybridMultilevel"/>
    <w:tmpl w:val="FC200E0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042197"/>
    <w:multiLevelType w:val="multilevel"/>
    <w:tmpl w:val="AAF40876"/>
    <w:styleLink w:val="Style1"/>
    <w:lvl w:ilvl="0">
      <w:start w:val="1"/>
      <w:numFmt w:val="decimal"/>
      <w:lvlText w:val="%1.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30277DEB"/>
    <w:multiLevelType w:val="multilevel"/>
    <w:tmpl w:val="D1625ABA"/>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D15191F"/>
    <w:multiLevelType w:val="multilevel"/>
    <w:tmpl w:val="C65C4F6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2">
    <w:nsid w:val="4E2F299A"/>
    <w:multiLevelType w:val="hybridMultilevel"/>
    <w:tmpl w:val="12F0E960"/>
    <w:lvl w:ilvl="0" w:tplc="BE80CD2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5FD79EA"/>
    <w:multiLevelType w:val="hybridMultilevel"/>
    <w:tmpl w:val="B1964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A4B0557"/>
    <w:multiLevelType w:val="multilevel"/>
    <w:tmpl w:val="CAA221E2"/>
    <w:styleLink w:val="Style2"/>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none"/>
      <w:lvlRestart w:val="0"/>
      <w:lvlText w:val="1.1.1.1"/>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5">
    <w:nsid w:val="72A748C6"/>
    <w:multiLevelType w:val="hybridMultilevel"/>
    <w:tmpl w:val="CA7C79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8"/>
  </w:num>
  <w:num w:numId="5">
    <w:abstractNumId w:val="14"/>
  </w:num>
  <w:num w:numId="6">
    <w:abstractNumId w:val="5"/>
  </w:num>
  <w:num w:numId="7">
    <w:abstractNumId w:val="2"/>
  </w:num>
  <w:num w:numId="8">
    <w:abstractNumId w:val="4"/>
  </w:num>
  <w:num w:numId="9">
    <w:abstractNumId w:val="15"/>
  </w:num>
  <w:num w:numId="10">
    <w:abstractNumId w:val="0"/>
  </w:num>
  <w:num w:numId="11">
    <w:abstractNumId w:val="11"/>
  </w:num>
  <w:num w:numId="12">
    <w:abstractNumId w:val="13"/>
  </w:num>
  <w:num w:numId="13">
    <w:abstractNumId w:val="7"/>
  </w:num>
  <w:num w:numId="14">
    <w:abstractNumId w:val="12"/>
  </w:num>
  <w:num w:numId="15">
    <w:abstractNumId w:val="6"/>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t7AwNTM2NzM3MDS0MDRQ0lEKTi0uzszPAykwNqgFABrq0mMtAAAA"/>
    <w:docVar w:name="EN.InstantFormat" w:val="&lt;ENInstantFormat&gt;&lt;Enabled&gt;1&lt;/Enabled&gt;&lt;ScanUnformatted&gt;1&lt;/ScanUnformatted&gt;&lt;ScanChanges&gt;1&lt;/ScanChanges&gt;&lt;Suspended&gt;0&lt;/Suspended&gt;&lt;/ENInstantFormat&gt;"/>
    <w:docVar w:name="EN.Layout" w:val="&lt;ENLayout&gt;&lt;Style&gt;APA 6th 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0f2ere6spfdte2x035x2tntafwpt29wet5&quot;&gt;PhD MASTER&lt;record-ids&gt;&lt;item&gt;6&lt;/item&gt;&lt;item&gt;53&lt;/item&gt;&lt;item&gt;93&lt;/item&gt;&lt;item&gt;116&lt;/item&gt;&lt;item&gt;145&lt;/item&gt;&lt;item&gt;164&lt;/item&gt;&lt;item&gt;167&lt;/item&gt;&lt;item&gt;196&lt;/item&gt;&lt;item&gt;213&lt;/item&gt;&lt;item&gt;271&lt;/item&gt;&lt;item&gt;288&lt;/item&gt;&lt;item&gt;339&lt;/item&gt;&lt;item&gt;380&lt;/item&gt;&lt;item&gt;408&lt;/item&gt;&lt;item&gt;435&lt;/item&gt;&lt;item&gt;455&lt;/item&gt;&lt;item&gt;460&lt;/item&gt;&lt;item&gt;482&lt;/item&gt;&lt;item&gt;505&lt;/item&gt;&lt;item&gt;516&lt;/item&gt;&lt;item&gt;517&lt;/item&gt;&lt;item&gt;578&lt;/item&gt;&lt;item&gt;579&lt;/item&gt;&lt;item&gt;595&lt;/item&gt;&lt;item&gt;599&lt;/item&gt;&lt;item&gt;628&lt;/item&gt;&lt;item&gt;657&lt;/item&gt;&lt;item&gt;710&lt;/item&gt;&lt;item&gt;741&lt;/item&gt;&lt;item&gt;742&lt;/item&gt;&lt;item&gt;744&lt;/item&gt;&lt;item&gt;752&lt;/item&gt;&lt;item&gt;757&lt;/item&gt;&lt;item&gt;760&lt;/item&gt;&lt;item&gt;763&lt;/item&gt;&lt;item&gt;766&lt;/item&gt;&lt;item&gt;767&lt;/item&gt;&lt;item&gt;793&lt;/item&gt;&lt;item&gt;794&lt;/item&gt;&lt;item&gt;796&lt;/item&gt;&lt;item&gt;798&lt;/item&gt;&lt;item&gt;805&lt;/item&gt;&lt;item&gt;827&lt;/item&gt;&lt;item&gt;828&lt;/item&gt;&lt;item&gt;829&lt;/item&gt;&lt;item&gt;847&lt;/item&gt;&lt;item&gt;849&lt;/item&gt;&lt;item&gt;850&lt;/item&gt;&lt;item&gt;862&lt;/item&gt;&lt;item&gt;866&lt;/item&gt;&lt;item&gt;869&lt;/item&gt;&lt;item&gt;870&lt;/item&gt;&lt;item&gt;871&lt;/item&gt;&lt;item&gt;882&lt;/item&gt;&lt;item&gt;883&lt;/item&gt;&lt;item&gt;894&lt;/item&gt;&lt;item&gt;902&lt;/item&gt;&lt;item&gt;909&lt;/item&gt;&lt;item&gt;912&lt;/item&gt;&lt;item&gt;913&lt;/item&gt;&lt;item&gt;914&lt;/item&gt;&lt;item&gt;920&lt;/item&gt;&lt;item&gt;940&lt;/item&gt;&lt;item&gt;955&lt;/item&gt;&lt;item&gt;959&lt;/item&gt;&lt;item&gt;967&lt;/item&gt;&lt;item&gt;969&lt;/item&gt;&lt;item&gt;985&lt;/item&gt;&lt;item&gt;992&lt;/item&gt;&lt;item&gt;999&lt;/item&gt;&lt;item&gt;1000&lt;/item&gt;&lt;item&gt;1006&lt;/item&gt;&lt;item&gt;1007&lt;/item&gt;&lt;item&gt;1008&lt;/item&gt;&lt;/record-ids&gt;&lt;/item&gt;&lt;/Libraries&gt;"/>
  </w:docVars>
  <w:rsids>
    <w:rsidRoot w:val="000E521F"/>
    <w:rsid w:val="000006B2"/>
    <w:rsid w:val="00000DFE"/>
    <w:rsid w:val="0000764F"/>
    <w:rsid w:val="000119E3"/>
    <w:rsid w:val="000167BC"/>
    <w:rsid w:val="00025921"/>
    <w:rsid w:val="00027D44"/>
    <w:rsid w:val="00030DB6"/>
    <w:rsid w:val="00031AEA"/>
    <w:rsid w:val="00034688"/>
    <w:rsid w:val="000407AC"/>
    <w:rsid w:val="00044EA7"/>
    <w:rsid w:val="00047811"/>
    <w:rsid w:val="00050FE7"/>
    <w:rsid w:val="00051140"/>
    <w:rsid w:val="000560E0"/>
    <w:rsid w:val="0006164E"/>
    <w:rsid w:val="00062BFB"/>
    <w:rsid w:val="0006662A"/>
    <w:rsid w:val="00067274"/>
    <w:rsid w:val="00072613"/>
    <w:rsid w:val="00081D65"/>
    <w:rsid w:val="00085123"/>
    <w:rsid w:val="00094959"/>
    <w:rsid w:val="00095060"/>
    <w:rsid w:val="00096107"/>
    <w:rsid w:val="000A50B2"/>
    <w:rsid w:val="000A6A0C"/>
    <w:rsid w:val="000C025A"/>
    <w:rsid w:val="000C02B2"/>
    <w:rsid w:val="000C2649"/>
    <w:rsid w:val="000C3209"/>
    <w:rsid w:val="000C500F"/>
    <w:rsid w:val="000D0074"/>
    <w:rsid w:val="000D37D1"/>
    <w:rsid w:val="000D40DA"/>
    <w:rsid w:val="000D48CB"/>
    <w:rsid w:val="000D515B"/>
    <w:rsid w:val="000D5741"/>
    <w:rsid w:val="000E521F"/>
    <w:rsid w:val="000E63CC"/>
    <w:rsid w:val="000F1325"/>
    <w:rsid w:val="00100D23"/>
    <w:rsid w:val="001073DF"/>
    <w:rsid w:val="001115EA"/>
    <w:rsid w:val="0011370E"/>
    <w:rsid w:val="0011420A"/>
    <w:rsid w:val="001149E5"/>
    <w:rsid w:val="00116644"/>
    <w:rsid w:val="001225FD"/>
    <w:rsid w:val="001238D2"/>
    <w:rsid w:val="00124A24"/>
    <w:rsid w:val="00130E06"/>
    <w:rsid w:val="00141B28"/>
    <w:rsid w:val="001475AB"/>
    <w:rsid w:val="001504BD"/>
    <w:rsid w:val="00151C14"/>
    <w:rsid w:val="00156EE8"/>
    <w:rsid w:val="00160748"/>
    <w:rsid w:val="00165246"/>
    <w:rsid w:val="00174954"/>
    <w:rsid w:val="00175E43"/>
    <w:rsid w:val="00183762"/>
    <w:rsid w:val="001852D0"/>
    <w:rsid w:val="00186752"/>
    <w:rsid w:val="00187E40"/>
    <w:rsid w:val="00192EE6"/>
    <w:rsid w:val="001932E9"/>
    <w:rsid w:val="001977C7"/>
    <w:rsid w:val="001A1787"/>
    <w:rsid w:val="001A21A5"/>
    <w:rsid w:val="001A3A91"/>
    <w:rsid w:val="001A6FFD"/>
    <w:rsid w:val="001B5823"/>
    <w:rsid w:val="001B5CC7"/>
    <w:rsid w:val="001B6870"/>
    <w:rsid w:val="001C0A96"/>
    <w:rsid w:val="001C57C4"/>
    <w:rsid w:val="001C79AD"/>
    <w:rsid w:val="001C7E44"/>
    <w:rsid w:val="001D0B69"/>
    <w:rsid w:val="001D1761"/>
    <w:rsid w:val="001D2C91"/>
    <w:rsid w:val="001D34C3"/>
    <w:rsid w:val="001D3AE0"/>
    <w:rsid w:val="001D66DE"/>
    <w:rsid w:val="001D750D"/>
    <w:rsid w:val="001E04CA"/>
    <w:rsid w:val="001E0DAB"/>
    <w:rsid w:val="001F12F6"/>
    <w:rsid w:val="001F2799"/>
    <w:rsid w:val="001F2D40"/>
    <w:rsid w:val="001F43D5"/>
    <w:rsid w:val="001F70A5"/>
    <w:rsid w:val="00202253"/>
    <w:rsid w:val="00203B99"/>
    <w:rsid w:val="00203EED"/>
    <w:rsid w:val="002058F4"/>
    <w:rsid w:val="00205F5A"/>
    <w:rsid w:val="00211CDC"/>
    <w:rsid w:val="00212C93"/>
    <w:rsid w:val="00216948"/>
    <w:rsid w:val="00216CF9"/>
    <w:rsid w:val="00220782"/>
    <w:rsid w:val="00222119"/>
    <w:rsid w:val="00227702"/>
    <w:rsid w:val="00231058"/>
    <w:rsid w:val="002319EE"/>
    <w:rsid w:val="0023304E"/>
    <w:rsid w:val="00233CCE"/>
    <w:rsid w:val="002410D9"/>
    <w:rsid w:val="00243BA9"/>
    <w:rsid w:val="00247DA0"/>
    <w:rsid w:val="00251C28"/>
    <w:rsid w:val="002529C6"/>
    <w:rsid w:val="00256218"/>
    <w:rsid w:val="00261211"/>
    <w:rsid w:val="002618E4"/>
    <w:rsid w:val="002651D5"/>
    <w:rsid w:val="00267BDC"/>
    <w:rsid w:val="00272677"/>
    <w:rsid w:val="00282401"/>
    <w:rsid w:val="00286A17"/>
    <w:rsid w:val="002876CD"/>
    <w:rsid w:val="002A14F5"/>
    <w:rsid w:val="002A3763"/>
    <w:rsid w:val="002A66C3"/>
    <w:rsid w:val="002A685E"/>
    <w:rsid w:val="002B04AC"/>
    <w:rsid w:val="002B3BC1"/>
    <w:rsid w:val="002C6006"/>
    <w:rsid w:val="002C67A2"/>
    <w:rsid w:val="002D2306"/>
    <w:rsid w:val="002D3462"/>
    <w:rsid w:val="002D41F0"/>
    <w:rsid w:val="002D629A"/>
    <w:rsid w:val="002E0FCB"/>
    <w:rsid w:val="002E1FE7"/>
    <w:rsid w:val="002E2CDD"/>
    <w:rsid w:val="002E42F7"/>
    <w:rsid w:val="002E5FB4"/>
    <w:rsid w:val="002E7DFE"/>
    <w:rsid w:val="002F1C6A"/>
    <w:rsid w:val="002F4D13"/>
    <w:rsid w:val="002F6028"/>
    <w:rsid w:val="002F661E"/>
    <w:rsid w:val="00301D6D"/>
    <w:rsid w:val="00304182"/>
    <w:rsid w:val="00306A10"/>
    <w:rsid w:val="003075E7"/>
    <w:rsid w:val="0031152F"/>
    <w:rsid w:val="0031306B"/>
    <w:rsid w:val="00320761"/>
    <w:rsid w:val="00323E43"/>
    <w:rsid w:val="00323EEA"/>
    <w:rsid w:val="00326C73"/>
    <w:rsid w:val="00331C24"/>
    <w:rsid w:val="00332B49"/>
    <w:rsid w:val="00333E6C"/>
    <w:rsid w:val="00335D9B"/>
    <w:rsid w:val="0034129D"/>
    <w:rsid w:val="00342B3A"/>
    <w:rsid w:val="00342E96"/>
    <w:rsid w:val="00342F03"/>
    <w:rsid w:val="003479B5"/>
    <w:rsid w:val="00350C69"/>
    <w:rsid w:val="00353DD8"/>
    <w:rsid w:val="003546C3"/>
    <w:rsid w:val="003550AA"/>
    <w:rsid w:val="00362FF0"/>
    <w:rsid w:val="00363A47"/>
    <w:rsid w:val="00364565"/>
    <w:rsid w:val="00366E49"/>
    <w:rsid w:val="003748A0"/>
    <w:rsid w:val="00377525"/>
    <w:rsid w:val="003849D4"/>
    <w:rsid w:val="00387809"/>
    <w:rsid w:val="003927D3"/>
    <w:rsid w:val="00392CDE"/>
    <w:rsid w:val="00393E79"/>
    <w:rsid w:val="00396174"/>
    <w:rsid w:val="00396BCE"/>
    <w:rsid w:val="003A2D1F"/>
    <w:rsid w:val="003A52E2"/>
    <w:rsid w:val="003B1701"/>
    <w:rsid w:val="003B4C16"/>
    <w:rsid w:val="003B74F5"/>
    <w:rsid w:val="003C1822"/>
    <w:rsid w:val="003C328C"/>
    <w:rsid w:val="003C6322"/>
    <w:rsid w:val="003D0523"/>
    <w:rsid w:val="003D4482"/>
    <w:rsid w:val="003D4B49"/>
    <w:rsid w:val="003D5156"/>
    <w:rsid w:val="003F3748"/>
    <w:rsid w:val="004025C9"/>
    <w:rsid w:val="00407FFB"/>
    <w:rsid w:val="00413844"/>
    <w:rsid w:val="004151A2"/>
    <w:rsid w:val="00421384"/>
    <w:rsid w:val="0042162C"/>
    <w:rsid w:val="004256B0"/>
    <w:rsid w:val="00430C9F"/>
    <w:rsid w:val="00431039"/>
    <w:rsid w:val="00431855"/>
    <w:rsid w:val="00437A19"/>
    <w:rsid w:val="00440DFB"/>
    <w:rsid w:val="004422DC"/>
    <w:rsid w:val="0044262C"/>
    <w:rsid w:val="00445B6F"/>
    <w:rsid w:val="00450282"/>
    <w:rsid w:val="00451A72"/>
    <w:rsid w:val="00460FD9"/>
    <w:rsid w:val="004626BC"/>
    <w:rsid w:val="00462ACA"/>
    <w:rsid w:val="0046322E"/>
    <w:rsid w:val="00470BE0"/>
    <w:rsid w:val="00472A46"/>
    <w:rsid w:val="00474758"/>
    <w:rsid w:val="00476E45"/>
    <w:rsid w:val="004825B5"/>
    <w:rsid w:val="0048277C"/>
    <w:rsid w:val="00494505"/>
    <w:rsid w:val="004A304F"/>
    <w:rsid w:val="004A7EEC"/>
    <w:rsid w:val="004B6519"/>
    <w:rsid w:val="004C23E9"/>
    <w:rsid w:val="004C42E6"/>
    <w:rsid w:val="004C51CF"/>
    <w:rsid w:val="004D16EE"/>
    <w:rsid w:val="004D21AE"/>
    <w:rsid w:val="004D620F"/>
    <w:rsid w:val="004E2C7F"/>
    <w:rsid w:val="004E31F9"/>
    <w:rsid w:val="004E320D"/>
    <w:rsid w:val="004E3EA7"/>
    <w:rsid w:val="004E5708"/>
    <w:rsid w:val="004F0289"/>
    <w:rsid w:val="004F2C7B"/>
    <w:rsid w:val="00501B9D"/>
    <w:rsid w:val="005068E8"/>
    <w:rsid w:val="00507D97"/>
    <w:rsid w:val="00513AA0"/>
    <w:rsid w:val="00516380"/>
    <w:rsid w:val="00517242"/>
    <w:rsid w:val="0052129A"/>
    <w:rsid w:val="005253D5"/>
    <w:rsid w:val="00525780"/>
    <w:rsid w:val="00526D3D"/>
    <w:rsid w:val="00531EDE"/>
    <w:rsid w:val="0053241E"/>
    <w:rsid w:val="0053416A"/>
    <w:rsid w:val="00534C0A"/>
    <w:rsid w:val="0053500E"/>
    <w:rsid w:val="00536702"/>
    <w:rsid w:val="00537499"/>
    <w:rsid w:val="00544307"/>
    <w:rsid w:val="0054713D"/>
    <w:rsid w:val="00552CC3"/>
    <w:rsid w:val="00554A7C"/>
    <w:rsid w:val="00566604"/>
    <w:rsid w:val="005709F8"/>
    <w:rsid w:val="00570D74"/>
    <w:rsid w:val="00572BA1"/>
    <w:rsid w:val="0057369F"/>
    <w:rsid w:val="00573A4E"/>
    <w:rsid w:val="00575939"/>
    <w:rsid w:val="00576BF4"/>
    <w:rsid w:val="0058366A"/>
    <w:rsid w:val="00584877"/>
    <w:rsid w:val="00590C40"/>
    <w:rsid w:val="005926D7"/>
    <w:rsid w:val="005947AD"/>
    <w:rsid w:val="005966CD"/>
    <w:rsid w:val="0059707E"/>
    <w:rsid w:val="005A301B"/>
    <w:rsid w:val="005A4DED"/>
    <w:rsid w:val="005A6832"/>
    <w:rsid w:val="005B0C24"/>
    <w:rsid w:val="005B61AD"/>
    <w:rsid w:val="005B65DF"/>
    <w:rsid w:val="005C0790"/>
    <w:rsid w:val="005C627F"/>
    <w:rsid w:val="005C6480"/>
    <w:rsid w:val="005D4DC3"/>
    <w:rsid w:val="005E0CFA"/>
    <w:rsid w:val="005E4DED"/>
    <w:rsid w:val="005F4B4F"/>
    <w:rsid w:val="005F7DD6"/>
    <w:rsid w:val="006072D4"/>
    <w:rsid w:val="0061346F"/>
    <w:rsid w:val="00634718"/>
    <w:rsid w:val="00635183"/>
    <w:rsid w:val="006377A7"/>
    <w:rsid w:val="006450B4"/>
    <w:rsid w:val="0064785F"/>
    <w:rsid w:val="00651399"/>
    <w:rsid w:val="006515D3"/>
    <w:rsid w:val="0065308D"/>
    <w:rsid w:val="00657784"/>
    <w:rsid w:val="00661BBD"/>
    <w:rsid w:val="006673FE"/>
    <w:rsid w:val="00667C32"/>
    <w:rsid w:val="0067132C"/>
    <w:rsid w:val="00675A20"/>
    <w:rsid w:val="00684DFE"/>
    <w:rsid w:val="00686670"/>
    <w:rsid w:val="00690F65"/>
    <w:rsid w:val="00694308"/>
    <w:rsid w:val="00694B14"/>
    <w:rsid w:val="006A1747"/>
    <w:rsid w:val="006A193D"/>
    <w:rsid w:val="006A75CD"/>
    <w:rsid w:val="006B28A2"/>
    <w:rsid w:val="006B4B53"/>
    <w:rsid w:val="006B5C0F"/>
    <w:rsid w:val="006B5CA7"/>
    <w:rsid w:val="006B7B23"/>
    <w:rsid w:val="006C393C"/>
    <w:rsid w:val="006C423E"/>
    <w:rsid w:val="006C523B"/>
    <w:rsid w:val="006D4EE3"/>
    <w:rsid w:val="006E139D"/>
    <w:rsid w:val="006E1998"/>
    <w:rsid w:val="006E25AA"/>
    <w:rsid w:val="006E47BD"/>
    <w:rsid w:val="006E5B37"/>
    <w:rsid w:val="006F00DF"/>
    <w:rsid w:val="006F33EB"/>
    <w:rsid w:val="006F3A8F"/>
    <w:rsid w:val="006F455D"/>
    <w:rsid w:val="006F4F03"/>
    <w:rsid w:val="006F62D6"/>
    <w:rsid w:val="006F71F7"/>
    <w:rsid w:val="007009F0"/>
    <w:rsid w:val="00710D30"/>
    <w:rsid w:val="00711BC5"/>
    <w:rsid w:val="0071225D"/>
    <w:rsid w:val="00713314"/>
    <w:rsid w:val="007138D2"/>
    <w:rsid w:val="007147CE"/>
    <w:rsid w:val="00716BC2"/>
    <w:rsid w:val="00716F27"/>
    <w:rsid w:val="00717E5E"/>
    <w:rsid w:val="0072126B"/>
    <w:rsid w:val="00723D5C"/>
    <w:rsid w:val="0072477C"/>
    <w:rsid w:val="007339A0"/>
    <w:rsid w:val="00734792"/>
    <w:rsid w:val="00735E8D"/>
    <w:rsid w:val="00740B9B"/>
    <w:rsid w:val="00750BB6"/>
    <w:rsid w:val="00755326"/>
    <w:rsid w:val="0075635A"/>
    <w:rsid w:val="0075798A"/>
    <w:rsid w:val="007658B7"/>
    <w:rsid w:val="00765E69"/>
    <w:rsid w:val="00767F97"/>
    <w:rsid w:val="00770B29"/>
    <w:rsid w:val="00771EA4"/>
    <w:rsid w:val="00773EE3"/>
    <w:rsid w:val="00786E46"/>
    <w:rsid w:val="00787290"/>
    <w:rsid w:val="0078730B"/>
    <w:rsid w:val="00796DCA"/>
    <w:rsid w:val="00797006"/>
    <w:rsid w:val="007A05D7"/>
    <w:rsid w:val="007A18B9"/>
    <w:rsid w:val="007A3F2D"/>
    <w:rsid w:val="007B0A81"/>
    <w:rsid w:val="007B43CF"/>
    <w:rsid w:val="007B616B"/>
    <w:rsid w:val="007C095B"/>
    <w:rsid w:val="007C116A"/>
    <w:rsid w:val="007C176C"/>
    <w:rsid w:val="007C1A7C"/>
    <w:rsid w:val="007C3D00"/>
    <w:rsid w:val="007C47E2"/>
    <w:rsid w:val="007C7FD8"/>
    <w:rsid w:val="007D50CA"/>
    <w:rsid w:val="007E235D"/>
    <w:rsid w:val="007E3E71"/>
    <w:rsid w:val="007E6E30"/>
    <w:rsid w:val="007F12F2"/>
    <w:rsid w:val="00800BCA"/>
    <w:rsid w:val="00805EA2"/>
    <w:rsid w:val="00810E28"/>
    <w:rsid w:val="00813913"/>
    <w:rsid w:val="00816176"/>
    <w:rsid w:val="00833EDF"/>
    <w:rsid w:val="00836A2D"/>
    <w:rsid w:val="00841632"/>
    <w:rsid w:val="0084203B"/>
    <w:rsid w:val="00844A65"/>
    <w:rsid w:val="00847352"/>
    <w:rsid w:val="008476C5"/>
    <w:rsid w:val="00855804"/>
    <w:rsid w:val="008560ED"/>
    <w:rsid w:val="00861CBB"/>
    <w:rsid w:val="00862917"/>
    <w:rsid w:val="00866DEF"/>
    <w:rsid w:val="00870DAC"/>
    <w:rsid w:val="00872F5B"/>
    <w:rsid w:val="008741BF"/>
    <w:rsid w:val="00884313"/>
    <w:rsid w:val="0088526C"/>
    <w:rsid w:val="008934ED"/>
    <w:rsid w:val="008A49E3"/>
    <w:rsid w:val="008A5AC1"/>
    <w:rsid w:val="008B19F4"/>
    <w:rsid w:val="008B1D3E"/>
    <w:rsid w:val="008B2A9D"/>
    <w:rsid w:val="008B5527"/>
    <w:rsid w:val="008C0FBC"/>
    <w:rsid w:val="008C2DFF"/>
    <w:rsid w:val="008C447C"/>
    <w:rsid w:val="008C51C2"/>
    <w:rsid w:val="008C6AF1"/>
    <w:rsid w:val="008C7719"/>
    <w:rsid w:val="008D042C"/>
    <w:rsid w:val="008D0A12"/>
    <w:rsid w:val="008E6349"/>
    <w:rsid w:val="008E7DB3"/>
    <w:rsid w:val="008F1A6A"/>
    <w:rsid w:val="008F240E"/>
    <w:rsid w:val="008F7E3A"/>
    <w:rsid w:val="009061C2"/>
    <w:rsid w:val="009139E3"/>
    <w:rsid w:val="00917019"/>
    <w:rsid w:val="00921681"/>
    <w:rsid w:val="009222BC"/>
    <w:rsid w:val="009226A3"/>
    <w:rsid w:val="009266CA"/>
    <w:rsid w:val="0093575C"/>
    <w:rsid w:val="00936999"/>
    <w:rsid w:val="0093717B"/>
    <w:rsid w:val="0094031D"/>
    <w:rsid w:val="00940B5D"/>
    <w:rsid w:val="009411C3"/>
    <w:rsid w:val="00943CD8"/>
    <w:rsid w:val="009446FE"/>
    <w:rsid w:val="00944F8C"/>
    <w:rsid w:val="00947FFC"/>
    <w:rsid w:val="00961601"/>
    <w:rsid w:val="0096688E"/>
    <w:rsid w:val="00992177"/>
    <w:rsid w:val="00996C06"/>
    <w:rsid w:val="009A63EE"/>
    <w:rsid w:val="009A6FC2"/>
    <w:rsid w:val="009A719E"/>
    <w:rsid w:val="009B1B77"/>
    <w:rsid w:val="009B3140"/>
    <w:rsid w:val="009B3664"/>
    <w:rsid w:val="009C11BD"/>
    <w:rsid w:val="009C1979"/>
    <w:rsid w:val="009C365A"/>
    <w:rsid w:val="009C4112"/>
    <w:rsid w:val="009C6586"/>
    <w:rsid w:val="009D0530"/>
    <w:rsid w:val="009D1D99"/>
    <w:rsid w:val="009D385B"/>
    <w:rsid w:val="009E0BAB"/>
    <w:rsid w:val="009E37FA"/>
    <w:rsid w:val="009E4017"/>
    <w:rsid w:val="009F0794"/>
    <w:rsid w:val="009F3144"/>
    <w:rsid w:val="009F51D6"/>
    <w:rsid w:val="009F6E80"/>
    <w:rsid w:val="009F74BA"/>
    <w:rsid w:val="00A01880"/>
    <w:rsid w:val="00A021A8"/>
    <w:rsid w:val="00A02A75"/>
    <w:rsid w:val="00A06F5D"/>
    <w:rsid w:val="00A11C5F"/>
    <w:rsid w:val="00A15D32"/>
    <w:rsid w:val="00A270EB"/>
    <w:rsid w:val="00A30DD2"/>
    <w:rsid w:val="00A36F56"/>
    <w:rsid w:val="00A40558"/>
    <w:rsid w:val="00A41329"/>
    <w:rsid w:val="00A41B70"/>
    <w:rsid w:val="00A42359"/>
    <w:rsid w:val="00A442E5"/>
    <w:rsid w:val="00A46DEF"/>
    <w:rsid w:val="00A47D0D"/>
    <w:rsid w:val="00A5433E"/>
    <w:rsid w:val="00A60C43"/>
    <w:rsid w:val="00A6418C"/>
    <w:rsid w:val="00A727DF"/>
    <w:rsid w:val="00A73C50"/>
    <w:rsid w:val="00A7644F"/>
    <w:rsid w:val="00A85544"/>
    <w:rsid w:val="00A85AB3"/>
    <w:rsid w:val="00A87EA6"/>
    <w:rsid w:val="00A916DF"/>
    <w:rsid w:val="00A96965"/>
    <w:rsid w:val="00AA6D3B"/>
    <w:rsid w:val="00AA780C"/>
    <w:rsid w:val="00AB1D4D"/>
    <w:rsid w:val="00AB3E26"/>
    <w:rsid w:val="00AB7283"/>
    <w:rsid w:val="00AC4B1C"/>
    <w:rsid w:val="00AD3C45"/>
    <w:rsid w:val="00AD418D"/>
    <w:rsid w:val="00AD657E"/>
    <w:rsid w:val="00AE45BE"/>
    <w:rsid w:val="00AE698F"/>
    <w:rsid w:val="00AE74FD"/>
    <w:rsid w:val="00AF2D3D"/>
    <w:rsid w:val="00AF33A6"/>
    <w:rsid w:val="00AF36F2"/>
    <w:rsid w:val="00AF4653"/>
    <w:rsid w:val="00AF71A5"/>
    <w:rsid w:val="00B00F46"/>
    <w:rsid w:val="00B0102C"/>
    <w:rsid w:val="00B016D6"/>
    <w:rsid w:val="00B01FA3"/>
    <w:rsid w:val="00B04E42"/>
    <w:rsid w:val="00B12696"/>
    <w:rsid w:val="00B15C06"/>
    <w:rsid w:val="00B20E46"/>
    <w:rsid w:val="00B224BE"/>
    <w:rsid w:val="00B307DA"/>
    <w:rsid w:val="00B33E28"/>
    <w:rsid w:val="00B3528D"/>
    <w:rsid w:val="00B375ED"/>
    <w:rsid w:val="00B44980"/>
    <w:rsid w:val="00B44C1A"/>
    <w:rsid w:val="00B65F02"/>
    <w:rsid w:val="00B67A35"/>
    <w:rsid w:val="00B77548"/>
    <w:rsid w:val="00B8418B"/>
    <w:rsid w:val="00B849AA"/>
    <w:rsid w:val="00B90B60"/>
    <w:rsid w:val="00B93102"/>
    <w:rsid w:val="00B95AB8"/>
    <w:rsid w:val="00B95C6B"/>
    <w:rsid w:val="00BA5785"/>
    <w:rsid w:val="00BA7142"/>
    <w:rsid w:val="00BC3338"/>
    <w:rsid w:val="00BC415D"/>
    <w:rsid w:val="00BC573E"/>
    <w:rsid w:val="00BC7708"/>
    <w:rsid w:val="00BD1853"/>
    <w:rsid w:val="00BE6C3A"/>
    <w:rsid w:val="00BF1F51"/>
    <w:rsid w:val="00BF25B8"/>
    <w:rsid w:val="00C03056"/>
    <w:rsid w:val="00C11EAE"/>
    <w:rsid w:val="00C12368"/>
    <w:rsid w:val="00C13668"/>
    <w:rsid w:val="00C1686A"/>
    <w:rsid w:val="00C16876"/>
    <w:rsid w:val="00C2067E"/>
    <w:rsid w:val="00C20C6F"/>
    <w:rsid w:val="00C20FC0"/>
    <w:rsid w:val="00C27A73"/>
    <w:rsid w:val="00C326D9"/>
    <w:rsid w:val="00C40729"/>
    <w:rsid w:val="00C4196F"/>
    <w:rsid w:val="00C435A0"/>
    <w:rsid w:val="00C445CF"/>
    <w:rsid w:val="00C45305"/>
    <w:rsid w:val="00C453A9"/>
    <w:rsid w:val="00C46583"/>
    <w:rsid w:val="00C5251B"/>
    <w:rsid w:val="00C52CBB"/>
    <w:rsid w:val="00C56498"/>
    <w:rsid w:val="00C60B21"/>
    <w:rsid w:val="00C63319"/>
    <w:rsid w:val="00C63B45"/>
    <w:rsid w:val="00C65FD2"/>
    <w:rsid w:val="00C66FA5"/>
    <w:rsid w:val="00C709EC"/>
    <w:rsid w:val="00C74275"/>
    <w:rsid w:val="00C84734"/>
    <w:rsid w:val="00C9008A"/>
    <w:rsid w:val="00C9011F"/>
    <w:rsid w:val="00C9151A"/>
    <w:rsid w:val="00C919BD"/>
    <w:rsid w:val="00C92F41"/>
    <w:rsid w:val="00C933DB"/>
    <w:rsid w:val="00C97A90"/>
    <w:rsid w:val="00CA3EBE"/>
    <w:rsid w:val="00CA616E"/>
    <w:rsid w:val="00CA67D2"/>
    <w:rsid w:val="00CB3661"/>
    <w:rsid w:val="00CB68F4"/>
    <w:rsid w:val="00CC2AD2"/>
    <w:rsid w:val="00CD0E69"/>
    <w:rsid w:val="00CD425D"/>
    <w:rsid w:val="00CD4567"/>
    <w:rsid w:val="00CD5017"/>
    <w:rsid w:val="00CD5E15"/>
    <w:rsid w:val="00CE1666"/>
    <w:rsid w:val="00CE2F82"/>
    <w:rsid w:val="00CE358F"/>
    <w:rsid w:val="00CE7607"/>
    <w:rsid w:val="00CE7BA1"/>
    <w:rsid w:val="00CF086D"/>
    <w:rsid w:val="00CF090D"/>
    <w:rsid w:val="00CF291D"/>
    <w:rsid w:val="00CF3056"/>
    <w:rsid w:val="00CF3D0C"/>
    <w:rsid w:val="00CF5648"/>
    <w:rsid w:val="00D07B9A"/>
    <w:rsid w:val="00D1463D"/>
    <w:rsid w:val="00D26018"/>
    <w:rsid w:val="00D260CB"/>
    <w:rsid w:val="00D32371"/>
    <w:rsid w:val="00D3470A"/>
    <w:rsid w:val="00D37591"/>
    <w:rsid w:val="00D43927"/>
    <w:rsid w:val="00D44462"/>
    <w:rsid w:val="00D4524E"/>
    <w:rsid w:val="00D52AC8"/>
    <w:rsid w:val="00D538E9"/>
    <w:rsid w:val="00D55E20"/>
    <w:rsid w:val="00D62341"/>
    <w:rsid w:val="00D626A5"/>
    <w:rsid w:val="00D64F1E"/>
    <w:rsid w:val="00D67738"/>
    <w:rsid w:val="00D70AFE"/>
    <w:rsid w:val="00D74315"/>
    <w:rsid w:val="00D7736B"/>
    <w:rsid w:val="00D8030F"/>
    <w:rsid w:val="00D831A9"/>
    <w:rsid w:val="00D85D37"/>
    <w:rsid w:val="00D9604B"/>
    <w:rsid w:val="00DA308C"/>
    <w:rsid w:val="00DA3D8E"/>
    <w:rsid w:val="00DB12D1"/>
    <w:rsid w:val="00DB6E81"/>
    <w:rsid w:val="00DC0A22"/>
    <w:rsid w:val="00DC5592"/>
    <w:rsid w:val="00DD14DA"/>
    <w:rsid w:val="00DD16D5"/>
    <w:rsid w:val="00DD3789"/>
    <w:rsid w:val="00DD63D9"/>
    <w:rsid w:val="00DE0F7F"/>
    <w:rsid w:val="00DE2E2C"/>
    <w:rsid w:val="00DE41CD"/>
    <w:rsid w:val="00DE49B6"/>
    <w:rsid w:val="00DE54FD"/>
    <w:rsid w:val="00DF4706"/>
    <w:rsid w:val="00DF4EB1"/>
    <w:rsid w:val="00DF57F0"/>
    <w:rsid w:val="00E0358F"/>
    <w:rsid w:val="00E035C7"/>
    <w:rsid w:val="00E1347D"/>
    <w:rsid w:val="00E14646"/>
    <w:rsid w:val="00E24559"/>
    <w:rsid w:val="00E25F17"/>
    <w:rsid w:val="00E320FB"/>
    <w:rsid w:val="00E4178A"/>
    <w:rsid w:val="00E41E54"/>
    <w:rsid w:val="00E42725"/>
    <w:rsid w:val="00E44D6C"/>
    <w:rsid w:val="00E467ED"/>
    <w:rsid w:val="00E51E1C"/>
    <w:rsid w:val="00E522F2"/>
    <w:rsid w:val="00E53839"/>
    <w:rsid w:val="00E63066"/>
    <w:rsid w:val="00E67243"/>
    <w:rsid w:val="00E71F44"/>
    <w:rsid w:val="00E72873"/>
    <w:rsid w:val="00E72B66"/>
    <w:rsid w:val="00E73130"/>
    <w:rsid w:val="00E77F57"/>
    <w:rsid w:val="00E81078"/>
    <w:rsid w:val="00E829E9"/>
    <w:rsid w:val="00E834E0"/>
    <w:rsid w:val="00E87C2E"/>
    <w:rsid w:val="00E9023E"/>
    <w:rsid w:val="00EA0AE7"/>
    <w:rsid w:val="00EA13DB"/>
    <w:rsid w:val="00EA3F73"/>
    <w:rsid w:val="00EA4552"/>
    <w:rsid w:val="00EA5528"/>
    <w:rsid w:val="00EA6D9B"/>
    <w:rsid w:val="00EB035F"/>
    <w:rsid w:val="00EB04BE"/>
    <w:rsid w:val="00EB5B79"/>
    <w:rsid w:val="00EC1F46"/>
    <w:rsid w:val="00EC4894"/>
    <w:rsid w:val="00EC5BCF"/>
    <w:rsid w:val="00ED31A3"/>
    <w:rsid w:val="00ED376A"/>
    <w:rsid w:val="00ED4783"/>
    <w:rsid w:val="00ED58E9"/>
    <w:rsid w:val="00ED5F6B"/>
    <w:rsid w:val="00EE0268"/>
    <w:rsid w:val="00EE1B5F"/>
    <w:rsid w:val="00F035E1"/>
    <w:rsid w:val="00F044D0"/>
    <w:rsid w:val="00F1041B"/>
    <w:rsid w:val="00F148FB"/>
    <w:rsid w:val="00F161E3"/>
    <w:rsid w:val="00F176AE"/>
    <w:rsid w:val="00F20D2A"/>
    <w:rsid w:val="00F30BA7"/>
    <w:rsid w:val="00F3238A"/>
    <w:rsid w:val="00F340C1"/>
    <w:rsid w:val="00F34428"/>
    <w:rsid w:val="00F432B7"/>
    <w:rsid w:val="00F47A04"/>
    <w:rsid w:val="00F57C8E"/>
    <w:rsid w:val="00F61E17"/>
    <w:rsid w:val="00F63AB7"/>
    <w:rsid w:val="00F66458"/>
    <w:rsid w:val="00F71B33"/>
    <w:rsid w:val="00F7237D"/>
    <w:rsid w:val="00F80E37"/>
    <w:rsid w:val="00F830BA"/>
    <w:rsid w:val="00F835F4"/>
    <w:rsid w:val="00F84F34"/>
    <w:rsid w:val="00F9229F"/>
    <w:rsid w:val="00F93ED2"/>
    <w:rsid w:val="00F9736E"/>
    <w:rsid w:val="00FA702E"/>
    <w:rsid w:val="00FB1979"/>
    <w:rsid w:val="00FB733A"/>
    <w:rsid w:val="00FE4FE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2" w:qFormat="1"/>
    <w:lsdException w:name="List Bullet 2" w:uiPriority="2"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21F"/>
  </w:style>
  <w:style w:type="paragraph" w:styleId="Heading1">
    <w:name w:val="heading 1"/>
    <w:aliases w:val="Heading 1 Body Document"/>
    <w:basedOn w:val="Normal"/>
    <w:next w:val="Normal"/>
    <w:link w:val="Heading1Char"/>
    <w:uiPriority w:val="9"/>
    <w:qFormat/>
    <w:rsid w:val="000E52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3A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270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664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664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Body Document Char"/>
    <w:basedOn w:val="DefaultParagraphFont"/>
    <w:link w:val="Heading1"/>
    <w:uiPriority w:val="9"/>
    <w:rsid w:val="000E521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A3A91"/>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qFormat/>
    <w:rsid w:val="00EA6D9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A6D9B"/>
    <w:rPr>
      <w:rFonts w:ascii="Calibri" w:hAnsi="Calibri" w:cs="Calibri"/>
      <w:noProof/>
      <w:lang w:val="en-US"/>
    </w:rPr>
  </w:style>
  <w:style w:type="paragraph" w:customStyle="1" w:styleId="EndNoteBibliography">
    <w:name w:val="EndNote Bibliography"/>
    <w:basedOn w:val="Normal"/>
    <w:link w:val="EndNoteBibliographyChar"/>
    <w:rsid w:val="00EA6D9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A6D9B"/>
    <w:rPr>
      <w:rFonts w:ascii="Calibri" w:hAnsi="Calibri" w:cs="Calibri"/>
      <w:noProof/>
      <w:lang w:val="en-US"/>
    </w:rPr>
  </w:style>
  <w:style w:type="character" w:styleId="Hyperlink">
    <w:name w:val="Hyperlink"/>
    <w:basedOn w:val="DefaultParagraphFont"/>
    <w:uiPriority w:val="99"/>
    <w:unhideWhenUsed/>
    <w:rsid w:val="00EA6D9B"/>
    <w:rPr>
      <w:color w:val="0563C1" w:themeColor="hyperlink"/>
      <w:u w:val="single"/>
    </w:rPr>
  </w:style>
  <w:style w:type="character" w:customStyle="1" w:styleId="Heading3Char">
    <w:name w:val="Heading 3 Char"/>
    <w:basedOn w:val="DefaultParagraphFont"/>
    <w:link w:val="Heading3"/>
    <w:uiPriority w:val="9"/>
    <w:rsid w:val="00A270E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664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66458"/>
    <w:rPr>
      <w:rFonts w:asciiTheme="majorHAnsi" w:eastAsiaTheme="majorEastAsia" w:hAnsiTheme="majorHAnsi" w:cstheme="majorBidi"/>
      <w:color w:val="2F5496" w:themeColor="accent1" w:themeShade="BF"/>
    </w:rPr>
  </w:style>
  <w:style w:type="character" w:styleId="SubtleReference">
    <w:name w:val="Subtle Reference"/>
    <w:basedOn w:val="DefaultParagraphFont"/>
    <w:uiPriority w:val="31"/>
    <w:qFormat/>
    <w:rsid w:val="00F66458"/>
    <w:rPr>
      <w:rFonts w:asciiTheme="minorHAnsi" w:hAnsiTheme="minorHAnsi"/>
      <w:b w:val="0"/>
      <w:i/>
      <w:caps w:val="0"/>
      <w:smallCaps w:val="0"/>
      <w:vanish w:val="0"/>
      <w:color w:val="7F7F7F" w:themeColor="text1" w:themeTint="80"/>
    </w:rPr>
  </w:style>
  <w:style w:type="character" w:styleId="SubtleEmphasis">
    <w:name w:val="Subtle Emphasis"/>
    <w:basedOn w:val="DefaultParagraphFont"/>
    <w:uiPriority w:val="19"/>
    <w:qFormat/>
    <w:rsid w:val="00F66458"/>
    <w:rPr>
      <w:i/>
      <w:iCs/>
      <w:color w:val="404040" w:themeColor="text1" w:themeTint="BF"/>
    </w:rPr>
  </w:style>
  <w:style w:type="paragraph" w:styleId="Caption">
    <w:name w:val="caption"/>
    <w:basedOn w:val="Normal"/>
    <w:next w:val="Normal"/>
    <w:uiPriority w:val="35"/>
    <w:unhideWhenUsed/>
    <w:qFormat/>
    <w:rsid w:val="009061C2"/>
    <w:pPr>
      <w:spacing w:before="100" w:beforeAutospacing="1" w:after="0" w:line="240" w:lineRule="auto"/>
    </w:pPr>
    <w:rPr>
      <w:b/>
      <w:bCs/>
      <w:color w:val="385623" w:themeColor="accent6" w:themeShade="80"/>
      <w:sz w:val="18"/>
      <w:szCs w:val="18"/>
    </w:rPr>
  </w:style>
  <w:style w:type="table" w:customStyle="1" w:styleId="TableGrid2">
    <w:name w:val="Table Grid2"/>
    <w:basedOn w:val="TableNormal"/>
    <w:next w:val="TableGrid"/>
    <w:uiPriority w:val="59"/>
    <w:rsid w:val="009061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061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F835F4"/>
    <w:pPr>
      <w:spacing w:before="360" w:after="360" w:line="480" w:lineRule="auto"/>
      <w:contextualSpacing/>
      <w:jc w:val="center"/>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F835F4"/>
    <w:rPr>
      <w:rFonts w:asciiTheme="majorHAnsi" w:eastAsiaTheme="majorEastAsia" w:hAnsiTheme="majorHAnsi" w:cstheme="majorBidi"/>
      <w:b/>
      <w:spacing w:val="-10"/>
      <w:kern w:val="28"/>
      <w:sz w:val="32"/>
      <w:szCs w:val="56"/>
    </w:rPr>
  </w:style>
  <w:style w:type="paragraph" w:styleId="ListParagraph">
    <w:name w:val="List Paragraph"/>
    <w:basedOn w:val="Normal"/>
    <w:link w:val="ListParagraphChar"/>
    <w:uiPriority w:val="34"/>
    <w:qFormat/>
    <w:rsid w:val="00F835F4"/>
    <w:pPr>
      <w:spacing w:after="200" w:line="480" w:lineRule="auto"/>
      <w:ind w:left="720"/>
      <w:contextualSpacing/>
      <w:jc w:val="both"/>
    </w:pPr>
  </w:style>
  <w:style w:type="paragraph" w:styleId="Header">
    <w:name w:val="header"/>
    <w:basedOn w:val="Normal"/>
    <w:link w:val="HeaderChar"/>
    <w:uiPriority w:val="99"/>
    <w:unhideWhenUsed/>
    <w:rsid w:val="00F835F4"/>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F835F4"/>
  </w:style>
  <w:style w:type="paragraph" w:styleId="Footer">
    <w:name w:val="footer"/>
    <w:basedOn w:val="Normal"/>
    <w:link w:val="FooterChar"/>
    <w:uiPriority w:val="99"/>
    <w:unhideWhenUsed/>
    <w:rsid w:val="00F835F4"/>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F835F4"/>
  </w:style>
  <w:style w:type="paragraph" w:customStyle="1" w:styleId="Heading1FMBM">
    <w:name w:val="Heading 1 FMBM"/>
    <w:basedOn w:val="Heading1"/>
    <w:qFormat/>
    <w:rsid w:val="00F835F4"/>
    <w:pPr>
      <w:spacing w:before="0" w:after="240" w:line="480" w:lineRule="auto"/>
      <w:jc w:val="both"/>
    </w:pPr>
    <w:rPr>
      <w:b/>
      <w:color w:val="44546A" w:themeColor="text2"/>
      <w:sz w:val="36"/>
    </w:rPr>
  </w:style>
  <w:style w:type="paragraph" w:customStyle="1" w:styleId="Heading2NumberedBody">
    <w:name w:val="Heading 2 Numbered Body"/>
    <w:basedOn w:val="Heading2"/>
    <w:link w:val="Heading2NumberedBodyChar"/>
    <w:autoRedefine/>
    <w:qFormat/>
    <w:rsid w:val="00F835F4"/>
    <w:pPr>
      <w:tabs>
        <w:tab w:val="left" w:leader="dot" w:pos="1134"/>
      </w:tabs>
      <w:spacing w:before="120" w:after="120" w:line="480" w:lineRule="auto"/>
    </w:pPr>
    <w:rPr>
      <w:color w:val="C00000"/>
      <w:sz w:val="28"/>
    </w:rPr>
  </w:style>
  <w:style w:type="paragraph" w:styleId="TOCHeading">
    <w:name w:val="TOC Heading"/>
    <w:basedOn w:val="Heading1"/>
    <w:next w:val="Normal"/>
    <w:uiPriority w:val="39"/>
    <w:unhideWhenUsed/>
    <w:qFormat/>
    <w:rsid w:val="00F835F4"/>
    <w:pPr>
      <w:spacing w:before="0" w:after="240"/>
      <w:outlineLvl w:val="9"/>
    </w:pPr>
    <w:rPr>
      <w:color w:val="44546A" w:themeColor="text2"/>
      <w:lang w:val="en-US"/>
    </w:rPr>
  </w:style>
  <w:style w:type="paragraph" w:styleId="TOC1">
    <w:name w:val="toc 1"/>
    <w:basedOn w:val="Normal"/>
    <w:next w:val="Normal"/>
    <w:autoRedefine/>
    <w:uiPriority w:val="39"/>
    <w:unhideWhenUsed/>
    <w:rsid w:val="00F835F4"/>
    <w:pPr>
      <w:tabs>
        <w:tab w:val="right" w:leader="dot" w:pos="8471"/>
      </w:tabs>
      <w:spacing w:after="0" w:line="480" w:lineRule="auto"/>
      <w:jc w:val="both"/>
    </w:pPr>
  </w:style>
  <w:style w:type="paragraph" w:styleId="TOC2">
    <w:name w:val="toc 2"/>
    <w:basedOn w:val="Normal"/>
    <w:next w:val="Normal"/>
    <w:autoRedefine/>
    <w:uiPriority w:val="39"/>
    <w:unhideWhenUsed/>
    <w:rsid w:val="00F835F4"/>
    <w:pPr>
      <w:tabs>
        <w:tab w:val="right" w:leader="dot" w:pos="8471"/>
      </w:tabs>
      <w:spacing w:after="0" w:line="480" w:lineRule="auto"/>
      <w:ind w:left="221"/>
      <w:jc w:val="both"/>
    </w:pPr>
  </w:style>
  <w:style w:type="paragraph" w:styleId="TableofFigures">
    <w:name w:val="table of figures"/>
    <w:basedOn w:val="Normal"/>
    <w:next w:val="Normal"/>
    <w:uiPriority w:val="99"/>
    <w:unhideWhenUsed/>
    <w:rsid w:val="00F835F4"/>
    <w:pPr>
      <w:spacing w:after="0" w:line="480" w:lineRule="auto"/>
      <w:jc w:val="both"/>
    </w:pPr>
  </w:style>
  <w:style w:type="character" w:customStyle="1" w:styleId="ListParagraphChar">
    <w:name w:val="List Paragraph Char"/>
    <w:basedOn w:val="DefaultParagraphFont"/>
    <w:link w:val="ListParagraph"/>
    <w:uiPriority w:val="34"/>
    <w:locked/>
    <w:rsid w:val="00F835F4"/>
  </w:style>
  <w:style w:type="paragraph" w:customStyle="1" w:styleId="AMEndNoteBibliography">
    <w:name w:val="AMEndNote Bibliography"/>
    <w:basedOn w:val="Normal"/>
    <w:link w:val="AMEndNoteBibliographyChar"/>
    <w:qFormat/>
    <w:rsid w:val="00F835F4"/>
    <w:pPr>
      <w:spacing w:after="0" w:line="240" w:lineRule="auto"/>
      <w:ind w:left="720" w:hanging="720"/>
    </w:pPr>
    <w:rPr>
      <w:rFonts w:ascii="Calibri Light" w:hAnsi="Calibri Light" w:cs="Calibri"/>
      <w:noProof/>
      <w:sz w:val="20"/>
      <w:lang w:val="en-US"/>
    </w:rPr>
  </w:style>
  <w:style w:type="character" w:customStyle="1" w:styleId="AMEndNoteBibliographyChar">
    <w:name w:val="AMEndNote Bibliography Char"/>
    <w:basedOn w:val="ListParagraphChar"/>
    <w:link w:val="AMEndNoteBibliography"/>
    <w:rsid w:val="00F835F4"/>
    <w:rPr>
      <w:rFonts w:ascii="Calibri Light" w:hAnsi="Calibri Light" w:cs="Calibri"/>
      <w:noProof/>
      <w:sz w:val="20"/>
      <w:lang w:val="en-US"/>
    </w:rPr>
  </w:style>
  <w:style w:type="paragraph" w:styleId="BalloonText">
    <w:name w:val="Balloon Text"/>
    <w:basedOn w:val="Normal"/>
    <w:link w:val="BalloonTextChar"/>
    <w:uiPriority w:val="99"/>
    <w:semiHidden/>
    <w:unhideWhenUsed/>
    <w:rsid w:val="00F83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5F4"/>
    <w:rPr>
      <w:rFonts w:ascii="Tahoma" w:hAnsi="Tahoma" w:cs="Tahoma"/>
      <w:sz w:val="16"/>
      <w:szCs w:val="16"/>
    </w:rPr>
  </w:style>
  <w:style w:type="character" w:customStyle="1" w:styleId="CommentTextChar">
    <w:name w:val="Comment Text Char"/>
    <w:basedOn w:val="DefaultParagraphFont"/>
    <w:link w:val="CommentText"/>
    <w:uiPriority w:val="99"/>
    <w:semiHidden/>
    <w:rsid w:val="00F835F4"/>
    <w:rPr>
      <w:sz w:val="20"/>
      <w:szCs w:val="20"/>
    </w:rPr>
  </w:style>
  <w:style w:type="paragraph" w:styleId="CommentText">
    <w:name w:val="annotation text"/>
    <w:basedOn w:val="Normal"/>
    <w:link w:val="CommentTextChar"/>
    <w:uiPriority w:val="99"/>
    <w:semiHidden/>
    <w:unhideWhenUsed/>
    <w:rsid w:val="00F835F4"/>
    <w:pPr>
      <w:spacing w:after="200" w:line="240" w:lineRule="auto"/>
    </w:pPr>
    <w:rPr>
      <w:sz w:val="20"/>
      <w:szCs w:val="20"/>
    </w:rPr>
  </w:style>
  <w:style w:type="character" w:customStyle="1" w:styleId="CommentTextChar1">
    <w:name w:val="Comment Text Char1"/>
    <w:basedOn w:val="DefaultParagraphFont"/>
    <w:uiPriority w:val="99"/>
    <w:semiHidden/>
    <w:rsid w:val="00F835F4"/>
    <w:rPr>
      <w:sz w:val="20"/>
      <w:szCs w:val="20"/>
    </w:rPr>
  </w:style>
  <w:style w:type="character" w:customStyle="1" w:styleId="CommentSubjectChar">
    <w:name w:val="Comment Subject Char"/>
    <w:basedOn w:val="CommentTextChar"/>
    <w:link w:val="CommentSubject"/>
    <w:uiPriority w:val="99"/>
    <w:semiHidden/>
    <w:rsid w:val="00F835F4"/>
    <w:rPr>
      <w:b/>
      <w:bCs/>
      <w:sz w:val="20"/>
      <w:szCs w:val="20"/>
    </w:rPr>
  </w:style>
  <w:style w:type="paragraph" w:styleId="CommentSubject">
    <w:name w:val="annotation subject"/>
    <w:basedOn w:val="CommentText"/>
    <w:next w:val="CommentText"/>
    <w:link w:val="CommentSubjectChar"/>
    <w:uiPriority w:val="99"/>
    <w:semiHidden/>
    <w:unhideWhenUsed/>
    <w:rsid w:val="00F835F4"/>
    <w:rPr>
      <w:b/>
      <w:bCs/>
    </w:rPr>
  </w:style>
  <w:style w:type="character" w:customStyle="1" w:styleId="CommentSubjectChar1">
    <w:name w:val="Comment Subject Char1"/>
    <w:basedOn w:val="CommentTextChar1"/>
    <w:uiPriority w:val="99"/>
    <w:semiHidden/>
    <w:rsid w:val="00F835F4"/>
    <w:rPr>
      <w:b/>
      <w:bCs/>
      <w:sz w:val="20"/>
      <w:szCs w:val="20"/>
    </w:rPr>
  </w:style>
  <w:style w:type="paragraph" w:styleId="TOC3">
    <w:name w:val="toc 3"/>
    <w:basedOn w:val="Normal"/>
    <w:next w:val="Normal"/>
    <w:autoRedefine/>
    <w:uiPriority w:val="39"/>
    <w:unhideWhenUsed/>
    <w:rsid w:val="00F835F4"/>
    <w:pPr>
      <w:tabs>
        <w:tab w:val="right" w:leader="dot" w:pos="8471"/>
      </w:tabs>
      <w:spacing w:after="0" w:line="276" w:lineRule="auto"/>
      <w:ind w:left="442"/>
    </w:pPr>
  </w:style>
  <w:style w:type="numbering" w:customStyle="1" w:styleId="Style1">
    <w:name w:val="Style1"/>
    <w:uiPriority w:val="99"/>
    <w:rsid w:val="00F835F4"/>
    <w:pPr>
      <w:numPr>
        <w:numId w:val="4"/>
      </w:numPr>
    </w:pPr>
  </w:style>
  <w:style w:type="numbering" w:customStyle="1" w:styleId="Style2">
    <w:name w:val="Style2"/>
    <w:uiPriority w:val="99"/>
    <w:rsid w:val="00F835F4"/>
    <w:pPr>
      <w:numPr>
        <w:numId w:val="5"/>
      </w:numPr>
    </w:pPr>
  </w:style>
  <w:style w:type="character" w:styleId="CommentReference">
    <w:name w:val="annotation reference"/>
    <w:basedOn w:val="DefaultParagraphFont"/>
    <w:uiPriority w:val="99"/>
    <w:semiHidden/>
    <w:unhideWhenUsed/>
    <w:rsid w:val="00F835F4"/>
    <w:rPr>
      <w:sz w:val="16"/>
      <w:szCs w:val="16"/>
    </w:rPr>
  </w:style>
  <w:style w:type="character" w:customStyle="1" w:styleId="Heading2NumberedBodyChar">
    <w:name w:val="Heading 2 Numbered Body Char"/>
    <w:basedOn w:val="Heading2Char"/>
    <w:link w:val="Heading2NumberedBody"/>
    <w:rsid w:val="00F835F4"/>
    <w:rPr>
      <w:rFonts w:asciiTheme="majorHAnsi" w:eastAsiaTheme="majorEastAsia" w:hAnsiTheme="majorHAnsi" w:cstheme="majorBidi"/>
      <w:color w:val="C00000"/>
      <w:sz w:val="28"/>
      <w:szCs w:val="26"/>
    </w:rPr>
  </w:style>
  <w:style w:type="character" w:customStyle="1" w:styleId="UnresolvedMention1">
    <w:name w:val="Unresolved Mention1"/>
    <w:basedOn w:val="DefaultParagraphFont"/>
    <w:uiPriority w:val="99"/>
    <w:semiHidden/>
    <w:unhideWhenUsed/>
    <w:rsid w:val="00F835F4"/>
    <w:rPr>
      <w:color w:val="808080"/>
      <w:shd w:val="clear" w:color="auto" w:fill="E6E6E6"/>
    </w:rPr>
  </w:style>
  <w:style w:type="character" w:customStyle="1" w:styleId="UnresolvedMention2">
    <w:name w:val="Unresolved Mention2"/>
    <w:basedOn w:val="DefaultParagraphFont"/>
    <w:uiPriority w:val="99"/>
    <w:semiHidden/>
    <w:unhideWhenUsed/>
    <w:rsid w:val="00F835F4"/>
    <w:rPr>
      <w:color w:val="808080"/>
      <w:shd w:val="clear" w:color="auto" w:fill="E6E6E6"/>
    </w:rPr>
  </w:style>
  <w:style w:type="paragraph" w:styleId="Subtitle">
    <w:name w:val="Subtitle"/>
    <w:basedOn w:val="Normal"/>
    <w:next w:val="Normal"/>
    <w:link w:val="SubtitleChar"/>
    <w:uiPriority w:val="11"/>
    <w:qFormat/>
    <w:rsid w:val="00F835F4"/>
    <w:pPr>
      <w:numPr>
        <w:ilvl w:val="1"/>
      </w:numPr>
      <w:spacing w:line="480" w:lineRule="auto"/>
      <w:jc w:val="both"/>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835F4"/>
    <w:rPr>
      <w:rFonts w:eastAsiaTheme="minorEastAsia"/>
      <w:color w:val="5A5A5A" w:themeColor="text1" w:themeTint="A5"/>
      <w:spacing w:val="15"/>
    </w:rPr>
  </w:style>
  <w:style w:type="table" w:customStyle="1" w:styleId="TableGrid1">
    <w:name w:val="Table Grid1"/>
    <w:basedOn w:val="TableNormal"/>
    <w:next w:val="TableGrid"/>
    <w:uiPriority w:val="59"/>
    <w:rsid w:val="00F8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8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835F4"/>
    <w:pPr>
      <w:spacing w:after="100"/>
      <w:ind w:left="660"/>
    </w:pPr>
    <w:rPr>
      <w:rFonts w:eastAsiaTheme="minorEastAsia"/>
      <w:lang w:eastAsia="en-AU"/>
    </w:rPr>
  </w:style>
  <w:style w:type="paragraph" w:styleId="TOC5">
    <w:name w:val="toc 5"/>
    <w:basedOn w:val="Normal"/>
    <w:next w:val="Normal"/>
    <w:autoRedefine/>
    <w:uiPriority w:val="39"/>
    <w:unhideWhenUsed/>
    <w:rsid w:val="00F835F4"/>
    <w:pPr>
      <w:spacing w:after="100"/>
      <w:ind w:left="880"/>
    </w:pPr>
    <w:rPr>
      <w:rFonts w:eastAsiaTheme="minorEastAsia"/>
      <w:lang w:eastAsia="en-AU"/>
    </w:rPr>
  </w:style>
  <w:style w:type="paragraph" w:styleId="TOC6">
    <w:name w:val="toc 6"/>
    <w:basedOn w:val="Normal"/>
    <w:next w:val="Normal"/>
    <w:autoRedefine/>
    <w:uiPriority w:val="39"/>
    <w:unhideWhenUsed/>
    <w:rsid w:val="00F835F4"/>
    <w:pPr>
      <w:spacing w:after="100"/>
      <w:ind w:left="1100"/>
    </w:pPr>
    <w:rPr>
      <w:rFonts w:eastAsiaTheme="minorEastAsia"/>
      <w:lang w:eastAsia="en-AU"/>
    </w:rPr>
  </w:style>
  <w:style w:type="paragraph" w:styleId="TOC7">
    <w:name w:val="toc 7"/>
    <w:basedOn w:val="Normal"/>
    <w:next w:val="Normal"/>
    <w:autoRedefine/>
    <w:uiPriority w:val="39"/>
    <w:unhideWhenUsed/>
    <w:rsid w:val="00F835F4"/>
    <w:pPr>
      <w:spacing w:after="100"/>
      <w:ind w:left="1320"/>
    </w:pPr>
    <w:rPr>
      <w:rFonts w:eastAsiaTheme="minorEastAsia"/>
      <w:lang w:eastAsia="en-AU"/>
    </w:rPr>
  </w:style>
  <w:style w:type="paragraph" w:styleId="TOC8">
    <w:name w:val="toc 8"/>
    <w:basedOn w:val="Normal"/>
    <w:next w:val="Normal"/>
    <w:autoRedefine/>
    <w:uiPriority w:val="39"/>
    <w:unhideWhenUsed/>
    <w:rsid w:val="00F835F4"/>
    <w:pPr>
      <w:spacing w:after="100"/>
      <w:ind w:left="1540"/>
    </w:pPr>
    <w:rPr>
      <w:rFonts w:eastAsiaTheme="minorEastAsia"/>
      <w:lang w:eastAsia="en-AU"/>
    </w:rPr>
  </w:style>
  <w:style w:type="paragraph" w:styleId="TOC9">
    <w:name w:val="toc 9"/>
    <w:basedOn w:val="Normal"/>
    <w:next w:val="Normal"/>
    <w:autoRedefine/>
    <w:uiPriority w:val="39"/>
    <w:unhideWhenUsed/>
    <w:rsid w:val="00F835F4"/>
    <w:pPr>
      <w:spacing w:after="100"/>
      <w:ind w:left="1760"/>
    </w:pPr>
    <w:rPr>
      <w:rFonts w:eastAsiaTheme="minorEastAsia"/>
      <w:lang w:eastAsia="en-AU"/>
    </w:rPr>
  </w:style>
  <w:style w:type="numbering" w:customStyle="1" w:styleId="NoList1">
    <w:name w:val="No List1"/>
    <w:next w:val="NoList"/>
    <w:uiPriority w:val="99"/>
    <w:semiHidden/>
    <w:unhideWhenUsed/>
    <w:rsid w:val="00F835F4"/>
  </w:style>
  <w:style w:type="table" w:customStyle="1" w:styleId="TableGrid4">
    <w:name w:val="Table Grid4"/>
    <w:basedOn w:val="TableNormal"/>
    <w:next w:val="TableGrid"/>
    <w:uiPriority w:val="59"/>
    <w:rsid w:val="00F8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835F4"/>
    <w:pPr>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F835F4"/>
    <w:rPr>
      <w:rFonts w:ascii="Calibri" w:eastAsia="Calibri" w:hAnsi="Calibri"/>
      <w:sz w:val="16"/>
      <w:szCs w:val="16"/>
    </w:rPr>
  </w:style>
  <w:style w:type="paragraph" w:styleId="BodyText">
    <w:name w:val="Body Text"/>
    <w:basedOn w:val="Normal"/>
    <w:link w:val="BodyTextChar"/>
    <w:uiPriority w:val="1"/>
    <w:qFormat/>
    <w:rsid w:val="00F835F4"/>
    <w:pPr>
      <w:widowControl w:val="0"/>
      <w:spacing w:after="0" w:line="240" w:lineRule="auto"/>
      <w:ind w:left="220"/>
      <w:jc w:val="both"/>
    </w:pPr>
    <w:rPr>
      <w:rFonts w:ascii="Calibri" w:eastAsia="Calibri" w:hAnsi="Calibri"/>
      <w:sz w:val="16"/>
      <w:szCs w:val="16"/>
    </w:rPr>
  </w:style>
  <w:style w:type="character" w:customStyle="1" w:styleId="BodyTextChar1">
    <w:name w:val="Body Text Char1"/>
    <w:basedOn w:val="DefaultParagraphFont"/>
    <w:uiPriority w:val="99"/>
    <w:semiHidden/>
    <w:rsid w:val="00F835F4"/>
  </w:style>
  <w:style w:type="paragraph" w:customStyle="1" w:styleId="TableParagraph">
    <w:name w:val="Table Paragraph"/>
    <w:basedOn w:val="Normal"/>
    <w:uiPriority w:val="1"/>
    <w:qFormat/>
    <w:rsid w:val="00F835F4"/>
    <w:pPr>
      <w:widowControl w:val="0"/>
      <w:spacing w:after="0" w:line="240" w:lineRule="auto"/>
      <w:jc w:val="both"/>
    </w:pPr>
    <w:rPr>
      <w:lang w:val="en-US"/>
    </w:rPr>
  </w:style>
  <w:style w:type="character" w:styleId="LineNumber">
    <w:name w:val="line number"/>
    <w:basedOn w:val="DefaultParagraphFont"/>
    <w:uiPriority w:val="99"/>
    <w:semiHidden/>
    <w:unhideWhenUsed/>
    <w:rsid w:val="00F835F4"/>
  </w:style>
  <w:style w:type="character" w:styleId="PlaceholderText">
    <w:name w:val="Placeholder Text"/>
    <w:basedOn w:val="DefaultParagraphFont"/>
    <w:uiPriority w:val="99"/>
    <w:semiHidden/>
    <w:rsid w:val="00F835F4"/>
    <w:rPr>
      <w:color w:val="808080"/>
    </w:rPr>
  </w:style>
  <w:style w:type="paragraph" w:customStyle="1" w:styleId="Default">
    <w:name w:val="Default"/>
    <w:basedOn w:val="Normal"/>
    <w:rsid w:val="00F835F4"/>
    <w:pPr>
      <w:autoSpaceDE w:val="0"/>
      <w:autoSpaceDN w:val="0"/>
      <w:spacing w:after="0" w:line="240" w:lineRule="auto"/>
    </w:pPr>
    <w:rPr>
      <w:rFonts w:ascii="Calibri" w:hAnsi="Calibri" w:cs="Times New Roman"/>
      <w:color w:val="000000"/>
      <w:sz w:val="24"/>
      <w:szCs w:val="24"/>
    </w:rPr>
  </w:style>
  <w:style w:type="character" w:customStyle="1" w:styleId="UnresolvedMention3">
    <w:name w:val="Unresolved Mention3"/>
    <w:basedOn w:val="DefaultParagraphFont"/>
    <w:uiPriority w:val="99"/>
    <w:semiHidden/>
    <w:unhideWhenUsed/>
    <w:rsid w:val="00F835F4"/>
    <w:rPr>
      <w:color w:val="808080"/>
      <w:shd w:val="clear" w:color="auto" w:fill="E6E6E6"/>
    </w:rPr>
  </w:style>
  <w:style w:type="character" w:styleId="Emphasis">
    <w:name w:val="Emphasis"/>
    <w:basedOn w:val="DefaultParagraphFont"/>
    <w:uiPriority w:val="20"/>
    <w:qFormat/>
    <w:rsid w:val="00F835F4"/>
    <w:rPr>
      <w:i/>
      <w:iCs/>
    </w:rPr>
  </w:style>
  <w:style w:type="numbering" w:customStyle="1" w:styleId="Bullets">
    <w:name w:val="Bullets"/>
    <w:rsid w:val="00F835F4"/>
    <w:pPr>
      <w:numPr>
        <w:numId w:val="11"/>
      </w:numPr>
    </w:pPr>
  </w:style>
  <w:style w:type="paragraph" w:styleId="ListBullet">
    <w:name w:val="List Bullet"/>
    <w:basedOn w:val="Normal"/>
    <w:uiPriority w:val="2"/>
    <w:qFormat/>
    <w:rsid w:val="00F835F4"/>
    <w:pPr>
      <w:numPr>
        <w:numId w:val="11"/>
      </w:numPr>
      <w:tabs>
        <w:tab w:val="left" w:pos="397"/>
      </w:tabs>
      <w:spacing w:after="120" w:line="240" w:lineRule="auto"/>
      <w:contextualSpacing/>
    </w:pPr>
    <w:rPr>
      <w:rFonts w:ascii="Calibri" w:eastAsia="Calibri" w:hAnsi="Calibri" w:cs="Times New Roman"/>
      <w:color w:val="000000"/>
      <w:lang w:eastAsia="en-AU"/>
    </w:rPr>
  </w:style>
  <w:style w:type="paragraph" w:styleId="ListBullet2">
    <w:name w:val="List Bullet 2"/>
    <w:basedOn w:val="ListBullet"/>
    <w:uiPriority w:val="2"/>
    <w:qFormat/>
    <w:rsid w:val="00F835F4"/>
    <w:pPr>
      <w:numPr>
        <w:ilvl w:val="1"/>
      </w:numPr>
      <w:tabs>
        <w:tab w:val="clear" w:pos="397"/>
        <w:tab w:val="left" w:pos="794"/>
      </w:tabs>
    </w:pPr>
  </w:style>
  <w:style w:type="paragraph" w:styleId="ListBullet3">
    <w:name w:val="List Bullet 3"/>
    <w:basedOn w:val="ListBullet2"/>
    <w:uiPriority w:val="99"/>
    <w:rsid w:val="00F835F4"/>
    <w:pPr>
      <w:numPr>
        <w:ilvl w:val="2"/>
      </w:numPr>
      <w:tabs>
        <w:tab w:val="clear" w:pos="794"/>
        <w:tab w:val="left" w:pos="1191"/>
      </w:tabs>
    </w:pPr>
  </w:style>
  <w:style w:type="character" w:customStyle="1" w:styleId="UnresolvedMention4">
    <w:name w:val="Unresolved Mention4"/>
    <w:basedOn w:val="DefaultParagraphFont"/>
    <w:uiPriority w:val="99"/>
    <w:semiHidden/>
    <w:unhideWhenUsed/>
    <w:rsid w:val="00F835F4"/>
    <w:rPr>
      <w:color w:val="808080"/>
      <w:shd w:val="clear" w:color="auto" w:fill="E6E6E6"/>
    </w:rPr>
  </w:style>
  <w:style w:type="numbering" w:customStyle="1" w:styleId="NoList2">
    <w:name w:val="No List2"/>
    <w:next w:val="NoList"/>
    <w:uiPriority w:val="99"/>
    <w:semiHidden/>
    <w:unhideWhenUsed/>
    <w:rsid w:val="00F835F4"/>
  </w:style>
  <w:style w:type="character" w:customStyle="1" w:styleId="UnresolvedMention5">
    <w:name w:val="Unresolved Mention5"/>
    <w:basedOn w:val="DefaultParagraphFont"/>
    <w:uiPriority w:val="99"/>
    <w:semiHidden/>
    <w:unhideWhenUsed/>
    <w:rsid w:val="0039617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48654-B51C-4798-8EFE-F1351005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GENONI</dc:creator>
  <cp:keywords/>
  <dc:description/>
  <cp:lastModifiedBy>0009118</cp:lastModifiedBy>
  <cp:revision>5</cp:revision>
  <cp:lastPrinted>2019-06-04T04:26:00Z</cp:lastPrinted>
  <dcterms:created xsi:type="dcterms:W3CDTF">2019-06-26T01:25:00Z</dcterms:created>
  <dcterms:modified xsi:type="dcterms:W3CDTF">2019-06-27T08:55:00Z</dcterms:modified>
</cp:coreProperties>
</file>