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43A55" w14:textId="77777777" w:rsidR="009217DE" w:rsidRPr="009D4B8C" w:rsidRDefault="002E008D" w:rsidP="009217DE">
      <w:pPr>
        <w:spacing w:after="0"/>
        <w:rPr>
          <w:lang w:val="en-US"/>
        </w:rPr>
      </w:pPr>
      <w:r w:rsidRPr="009D4B8C">
        <w:rPr>
          <w:b/>
          <w:sz w:val="28"/>
          <w:lang w:val="en-US"/>
        </w:rPr>
        <w:t>Supplementary</w:t>
      </w:r>
      <w:r w:rsidR="009217DE" w:rsidRPr="009D4B8C">
        <w:rPr>
          <w:b/>
          <w:sz w:val="28"/>
          <w:lang w:val="en-US"/>
        </w:rPr>
        <w:t xml:space="preserve"> files</w:t>
      </w:r>
    </w:p>
    <w:p w14:paraId="280EA160" w14:textId="77777777" w:rsidR="009217DE" w:rsidRPr="009D4B8C" w:rsidRDefault="009217DE" w:rsidP="009217DE">
      <w:pPr>
        <w:rPr>
          <w:rFonts w:cs="Times New Roman"/>
          <w:b/>
          <w:lang w:val="en-US"/>
        </w:rPr>
      </w:pPr>
    </w:p>
    <w:p w14:paraId="5451B930" w14:textId="77777777" w:rsidR="009217DE" w:rsidRPr="009D4B8C" w:rsidRDefault="00113C8F" w:rsidP="009217DE">
      <w:pPr>
        <w:rPr>
          <w:rFonts w:cs="Times New Roman"/>
          <w:b/>
          <w:lang w:val="en-US"/>
        </w:rPr>
      </w:pPr>
      <w:r w:rsidRPr="009D4B8C">
        <w:rPr>
          <w:rFonts w:cs="Times New Roman"/>
          <w:b/>
          <w:lang w:val="en-US"/>
        </w:rPr>
        <w:t>Supplementary</w:t>
      </w:r>
      <w:r w:rsidR="004077FA" w:rsidRPr="009D4B8C">
        <w:rPr>
          <w:rFonts w:cs="Times New Roman"/>
          <w:b/>
          <w:lang w:val="en-US"/>
        </w:rPr>
        <w:t xml:space="preserve"> T</w:t>
      </w:r>
      <w:r w:rsidR="002E008D" w:rsidRPr="009D4B8C">
        <w:rPr>
          <w:rFonts w:cs="Times New Roman"/>
          <w:b/>
          <w:lang w:val="en-US"/>
        </w:rPr>
        <w:t xml:space="preserve">able </w:t>
      </w:r>
      <w:r w:rsidR="009217DE" w:rsidRPr="009D4B8C">
        <w:rPr>
          <w:rFonts w:cs="Times New Roman"/>
          <w:b/>
          <w:lang w:val="en-US"/>
        </w:rPr>
        <w:t>1 |</w:t>
      </w:r>
      <w:r w:rsidR="009217DE" w:rsidRPr="009D4B8C">
        <w:rPr>
          <w:rFonts w:cstheme="minorHAnsi"/>
          <w:lang w:val="en-US"/>
        </w:rPr>
        <w:t xml:space="preserve"> Boron analysis using inductively coupled plasma mass spectrometry (ICP-MS). 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4536"/>
      </w:tblGrid>
      <w:tr w:rsidR="009217DE" w:rsidRPr="009D4B8C" w14:paraId="639BA2C1" w14:textId="77777777" w:rsidTr="00C34BCB">
        <w:trPr>
          <w:trHeight w:val="20"/>
        </w:trPr>
        <w:tc>
          <w:tcPr>
            <w:tcW w:w="4253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3A540E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proofErr w:type="spellStart"/>
            <w:r w:rsidRPr="009D4B8C">
              <w:rPr>
                <w:rFonts w:cstheme="minorHAnsi"/>
                <w:b/>
                <w:bCs/>
              </w:rPr>
              <w:t>Experimental</w:t>
            </w:r>
            <w:proofErr w:type="spellEnd"/>
            <w:r w:rsidRPr="009D4B8C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9D4B8C">
              <w:rPr>
                <w:rFonts w:cstheme="minorHAnsi"/>
                <w:b/>
                <w:bCs/>
              </w:rPr>
              <w:t>conditions</w:t>
            </w:r>
            <w:proofErr w:type="spellEnd"/>
          </w:p>
        </w:tc>
        <w:tc>
          <w:tcPr>
            <w:tcW w:w="4536" w:type="dxa"/>
            <w:tcBorders>
              <w:top w:val="single" w:sz="8" w:space="0" w:color="808080" w:themeColor="background1" w:themeShade="80"/>
              <w:left w:val="nil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7EB79352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</w:p>
        </w:tc>
      </w:tr>
      <w:tr w:rsidR="009217DE" w:rsidRPr="009D4B8C" w14:paraId="2F7B03ED" w14:textId="77777777" w:rsidTr="00C34BCB">
        <w:trPr>
          <w:trHeight w:val="20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FAA97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proofErr w:type="spellStart"/>
            <w:r w:rsidRPr="009D4B8C">
              <w:rPr>
                <w:rFonts w:cstheme="minorHAnsi"/>
                <w:b/>
                <w:bCs/>
              </w:rPr>
              <w:t>Apparatus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052F3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color w:val="000000"/>
                <w:lang w:val="en-US" w:eastAsia="de-DE"/>
              </w:rPr>
            </w:pPr>
            <w:r w:rsidRPr="009D4B8C">
              <w:rPr>
                <w:rFonts w:cstheme="minorHAnsi"/>
                <w:bCs/>
                <w:lang w:val="en-US"/>
              </w:rPr>
              <w:t>ICAPQ (Thermo Fisher Scientific Waltham)</w:t>
            </w:r>
          </w:p>
        </w:tc>
      </w:tr>
      <w:tr w:rsidR="009217DE" w:rsidRPr="009D4B8C" w14:paraId="70B68380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527829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9D4B8C">
              <w:rPr>
                <w:rFonts w:cstheme="minorHAnsi"/>
                <w:b/>
                <w:bCs/>
              </w:rPr>
              <w:t>Method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D8874B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color w:val="000000"/>
                <w:lang w:val="en-US" w:eastAsia="de-DE"/>
              </w:rPr>
            </w:pPr>
            <w:r w:rsidRPr="009D4B8C">
              <w:rPr>
                <w:rFonts w:cstheme="minorHAnsi"/>
                <w:bCs/>
                <w:lang w:val="en-US"/>
              </w:rPr>
              <w:t>DIN EN ISO 17294-2: 2017-01</w:t>
            </w:r>
          </w:p>
          <w:p w14:paraId="30CB569C" w14:textId="77777777" w:rsidR="009217DE" w:rsidRPr="009D4B8C" w:rsidRDefault="009217DE" w:rsidP="00C34BCB">
            <w:pPr>
              <w:spacing w:line="240" w:lineRule="auto"/>
              <w:ind w:left="356"/>
              <w:rPr>
                <w:rFonts w:cstheme="minorHAnsi"/>
                <w:bCs/>
                <w:lang w:val="en-US"/>
              </w:rPr>
            </w:pPr>
            <w:r w:rsidRPr="009D4B8C">
              <w:rPr>
                <w:rFonts w:cstheme="minorHAnsi"/>
                <w:bCs/>
                <w:lang w:val="en-US"/>
              </w:rPr>
              <w:t xml:space="preserve">Conducted by SYNLAB Analytics &amp; Service, </w:t>
            </w:r>
          </w:p>
          <w:p w14:paraId="03C67D03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color w:val="000000"/>
                <w:lang w:val="en-US" w:eastAsia="de-DE"/>
              </w:rPr>
            </w:pPr>
            <w:r w:rsidRPr="009D4B8C">
              <w:rPr>
                <w:rFonts w:cstheme="minorHAnsi"/>
                <w:bCs/>
              </w:rPr>
              <w:t>Jena, Germany</w:t>
            </w:r>
          </w:p>
        </w:tc>
      </w:tr>
      <w:tr w:rsidR="009217DE" w:rsidRPr="009D4B8C" w14:paraId="376EC0A9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FB42C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proofErr w:type="spellStart"/>
            <w:r w:rsidRPr="009D4B8C">
              <w:rPr>
                <w:rFonts w:cstheme="minorHAnsi"/>
                <w:b/>
                <w:bCs/>
              </w:rPr>
              <w:t>Final</w:t>
            </w:r>
            <w:proofErr w:type="spellEnd"/>
            <w:r w:rsidRPr="009D4B8C">
              <w:rPr>
                <w:rFonts w:cstheme="minorHAnsi"/>
                <w:b/>
                <w:bCs/>
              </w:rPr>
              <w:t xml:space="preserve"> sample </w:t>
            </w:r>
            <w:proofErr w:type="spellStart"/>
            <w:r w:rsidRPr="009D4B8C">
              <w:rPr>
                <w:rFonts w:cstheme="minorHAnsi"/>
                <w:b/>
                <w:bCs/>
              </w:rPr>
              <w:t>dilution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FBA67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color w:val="000000"/>
                <w:lang w:val="en-US" w:eastAsia="de-DE"/>
              </w:rPr>
            </w:pPr>
            <w:r w:rsidRPr="009D4B8C">
              <w:rPr>
                <w:rFonts w:cstheme="minorHAnsi"/>
                <w:bCs/>
                <w:lang w:val="en-US"/>
              </w:rPr>
              <w:t>1 to 50 (2 % (v/v)) nitric acid</w:t>
            </w:r>
          </w:p>
        </w:tc>
      </w:tr>
      <w:tr w:rsidR="009217DE" w:rsidRPr="009D4B8C" w14:paraId="4335DBE8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1D28F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lang w:val="en-US" w:eastAsia="de-DE"/>
              </w:rPr>
            </w:pPr>
            <w:proofErr w:type="spellStart"/>
            <w:r w:rsidRPr="009D4B8C">
              <w:rPr>
                <w:rFonts w:cstheme="minorHAnsi"/>
                <w:b/>
                <w:bCs/>
              </w:rPr>
              <w:t>Internal</w:t>
            </w:r>
            <w:proofErr w:type="spellEnd"/>
            <w:r w:rsidRPr="009D4B8C">
              <w:rPr>
                <w:rFonts w:cstheme="minorHAnsi"/>
                <w:b/>
                <w:bCs/>
              </w:rPr>
              <w:t xml:space="preserve"> standard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79683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lang w:val="en-US" w:eastAsia="de-DE"/>
              </w:rPr>
            </w:pPr>
            <w:r w:rsidRPr="009D4B8C">
              <w:rPr>
                <w:rFonts w:cstheme="minorHAnsi"/>
                <w:bCs/>
              </w:rPr>
              <w:t>Rhodium (2 µg/L)</w:t>
            </w:r>
          </w:p>
        </w:tc>
      </w:tr>
      <w:tr w:rsidR="009217DE" w:rsidRPr="009D4B8C" w14:paraId="7B4F9ADB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423597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lang w:val="en-US" w:eastAsia="de-DE"/>
              </w:rPr>
            </w:pPr>
            <w:r w:rsidRPr="009D4B8C">
              <w:rPr>
                <w:rFonts w:cstheme="minorHAnsi"/>
                <w:b/>
                <w:bCs/>
              </w:rPr>
              <w:t xml:space="preserve">Limit of </w:t>
            </w:r>
            <w:proofErr w:type="spellStart"/>
            <w:r w:rsidRPr="009D4B8C">
              <w:rPr>
                <w:rFonts w:cstheme="minorHAnsi"/>
                <w:b/>
                <w:bCs/>
              </w:rPr>
              <w:t>detection</w:t>
            </w:r>
            <w:proofErr w:type="spellEnd"/>
            <w:r w:rsidRPr="009D4B8C">
              <w:rPr>
                <w:rFonts w:cstheme="minorHAnsi"/>
                <w:b/>
                <w:bCs/>
              </w:rPr>
              <w:t xml:space="preserve"> (LOD)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EA151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lang w:val="en-US" w:eastAsia="de-DE"/>
              </w:rPr>
            </w:pPr>
            <w:r w:rsidRPr="009D4B8C">
              <w:rPr>
                <w:rFonts w:cstheme="minorHAnsi"/>
                <w:bCs/>
              </w:rPr>
              <w:t>&lt; 1.3 µg/L</w:t>
            </w:r>
          </w:p>
        </w:tc>
      </w:tr>
      <w:tr w:rsidR="009217DE" w:rsidRPr="009D4B8C" w14:paraId="4387BAC9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4BC45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lang w:val="en-US" w:eastAsia="de-DE"/>
              </w:rPr>
            </w:pPr>
            <w:r w:rsidRPr="009D4B8C">
              <w:rPr>
                <w:rFonts w:cstheme="minorHAnsi"/>
                <w:b/>
                <w:bCs/>
              </w:rPr>
              <w:t xml:space="preserve">Limit of </w:t>
            </w:r>
            <w:proofErr w:type="spellStart"/>
            <w:r w:rsidRPr="009D4B8C">
              <w:rPr>
                <w:rFonts w:cstheme="minorHAnsi"/>
                <w:b/>
                <w:bCs/>
              </w:rPr>
              <w:t>quantification</w:t>
            </w:r>
            <w:proofErr w:type="spellEnd"/>
            <w:r w:rsidRPr="009D4B8C">
              <w:rPr>
                <w:rFonts w:cstheme="minorHAnsi"/>
                <w:b/>
                <w:bCs/>
              </w:rPr>
              <w:t xml:space="preserve"> (LOQ)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E76E85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lang w:val="en-US" w:eastAsia="de-DE"/>
              </w:rPr>
            </w:pPr>
            <w:r w:rsidRPr="009D4B8C">
              <w:rPr>
                <w:rFonts w:cstheme="minorHAnsi"/>
                <w:bCs/>
              </w:rPr>
              <w:t>5 µg/L</w:t>
            </w:r>
          </w:p>
        </w:tc>
      </w:tr>
      <w:tr w:rsidR="009217DE" w:rsidRPr="009D4B8C" w14:paraId="3AF11942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57C06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lang w:val="en-US" w:eastAsia="de-DE"/>
              </w:rPr>
            </w:pPr>
            <w:r w:rsidRPr="009D4B8C">
              <w:rPr>
                <w:rFonts w:cstheme="minorHAnsi"/>
                <w:b/>
                <w:bCs/>
              </w:rPr>
              <w:t>Recovery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3C533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lang w:val="en-US" w:eastAsia="de-DE"/>
              </w:rPr>
            </w:pPr>
            <w:r w:rsidRPr="009D4B8C">
              <w:rPr>
                <w:rFonts w:cstheme="minorHAnsi"/>
                <w:bCs/>
              </w:rPr>
              <w:t>101.8 % (n=6)</w:t>
            </w:r>
          </w:p>
        </w:tc>
      </w:tr>
      <w:tr w:rsidR="009217DE" w:rsidRPr="009D4B8C" w14:paraId="16B75334" w14:textId="77777777" w:rsidTr="00C34BCB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nil"/>
              <w:bottom w:val="single" w:sz="8" w:space="0" w:color="808080" w:themeColor="background1" w:themeShade="80"/>
              <w:right w:val="nil"/>
            </w:tcBorders>
            <w:noWrap/>
            <w:vAlign w:val="center"/>
            <w:hideMark/>
          </w:tcPr>
          <w:p w14:paraId="4E62C9C0" w14:textId="77777777" w:rsidR="009217DE" w:rsidRPr="009D4B8C" w:rsidRDefault="009217DE" w:rsidP="00C34BCB">
            <w:pPr>
              <w:spacing w:line="240" w:lineRule="auto"/>
              <w:ind w:left="69"/>
              <w:rPr>
                <w:rFonts w:eastAsia="Times New Roman" w:cstheme="minorHAnsi"/>
                <w:b/>
                <w:bCs/>
                <w:lang w:val="en-US" w:eastAsia="de-DE"/>
              </w:rPr>
            </w:pPr>
            <w:r w:rsidRPr="009D4B8C">
              <w:rPr>
                <w:rFonts w:cstheme="minorHAnsi"/>
                <w:b/>
                <w:bCs/>
                <w:lang w:val="en-US"/>
              </w:rPr>
              <w:t>Intra-day precision, coefficient of variation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808080" w:themeColor="background1" w:themeShade="80"/>
              <w:right w:val="nil"/>
            </w:tcBorders>
            <w:vAlign w:val="center"/>
            <w:hideMark/>
          </w:tcPr>
          <w:p w14:paraId="3EE29D3F" w14:textId="77777777" w:rsidR="009217DE" w:rsidRPr="009D4B8C" w:rsidRDefault="009217DE" w:rsidP="00C34BCB">
            <w:pPr>
              <w:spacing w:line="240" w:lineRule="auto"/>
              <w:ind w:left="356"/>
              <w:rPr>
                <w:rFonts w:eastAsia="Times New Roman" w:cstheme="minorHAnsi"/>
                <w:bCs/>
                <w:lang w:val="en-US" w:eastAsia="de-DE"/>
              </w:rPr>
            </w:pPr>
            <w:r w:rsidRPr="009D4B8C">
              <w:rPr>
                <w:rFonts w:cstheme="minorHAnsi"/>
                <w:bCs/>
                <w:lang w:val="en-US"/>
              </w:rPr>
              <w:t>2.35 % (n=6)</w:t>
            </w:r>
          </w:p>
        </w:tc>
      </w:tr>
    </w:tbl>
    <w:p w14:paraId="11FFB927" w14:textId="77777777" w:rsidR="009217DE" w:rsidRPr="009D4B8C" w:rsidRDefault="009217DE" w:rsidP="009217DE"/>
    <w:p w14:paraId="736FC03B" w14:textId="77777777" w:rsidR="00246E66" w:rsidRPr="009D4B8C" w:rsidRDefault="009217DE" w:rsidP="00246E6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0"/>
          <w:szCs w:val="20"/>
          <w:lang w:val="en-US"/>
        </w:rPr>
      </w:pPr>
      <w:r w:rsidRPr="009D4B8C">
        <w:rPr>
          <w:lang w:val="en-GB"/>
        </w:rPr>
        <w:br w:type="page"/>
      </w:r>
      <w:r w:rsidR="00246E66" w:rsidRPr="009D4B8C">
        <w:rPr>
          <w:rFonts w:cs="Times New Roman"/>
          <w:b/>
          <w:sz w:val="20"/>
          <w:szCs w:val="20"/>
          <w:lang w:val="en-US"/>
        </w:rPr>
        <w:lastRenderedPageBreak/>
        <w:t xml:space="preserve">Supplementary Table 2 | </w:t>
      </w:r>
      <w:r w:rsidR="00246E66" w:rsidRPr="009D4B8C">
        <w:rPr>
          <w:sz w:val="20"/>
          <w:szCs w:val="20"/>
          <w:lang w:val="en-US"/>
        </w:rPr>
        <w:t xml:space="preserve">Cox regression analysis of the 24h urinary boron excretion with all-cause mortality after exclusion of patients reporting current smoking (N = 612, 88.3% of total study population). </w:t>
      </w:r>
    </w:p>
    <w:tbl>
      <w:tblPr>
        <w:tblStyle w:val="Tabelraster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1559"/>
        <w:gridCol w:w="851"/>
        <w:gridCol w:w="1559"/>
        <w:gridCol w:w="850"/>
        <w:gridCol w:w="1560"/>
        <w:gridCol w:w="850"/>
      </w:tblGrid>
      <w:tr w:rsidR="00246E66" w:rsidRPr="009D4B8C" w14:paraId="0FEC109C" w14:textId="77777777" w:rsidTr="0063610E">
        <w:tc>
          <w:tcPr>
            <w:tcW w:w="2411" w:type="dxa"/>
            <w:vMerge w:val="restart"/>
            <w:tcBorders>
              <w:top w:val="single" w:sz="12" w:space="0" w:color="auto"/>
            </w:tcBorders>
            <w:hideMark/>
          </w:tcPr>
          <w:p w14:paraId="212E98C3" w14:textId="77777777" w:rsidR="00246E66" w:rsidRPr="009D4B8C" w:rsidRDefault="00246E66" w:rsidP="0063610E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386" w:type="dxa"/>
            <w:gridSpan w:val="5"/>
            <w:tcBorders>
              <w:top w:val="single" w:sz="12" w:space="0" w:color="auto"/>
              <w:left w:val="nil"/>
              <w:bottom w:val="single" w:sz="2" w:space="0" w:color="auto"/>
            </w:tcBorders>
          </w:tcPr>
          <w:p w14:paraId="13A7381A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Tertiles of 24h urinary boron excretion</w:t>
            </w:r>
            <w:r w:rsidRPr="009D4B8C">
              <w:rPr>
                <w:b/>
                <w:sz w:val="18"/>
                <w:szCs w:val="18"/>
                <w:vertAlign w:val="superscript"/>
                <w:lang w:val="en-US"/>
              </w:rPr>
              <w:t>#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nil"/>
              <w:bottom w:val="single" w:sz="2" w:space="0" w:color="auto"/>
            </w:tcBorders>
          </w:tcPr>
          <w:p w14:paraId="111FE6F5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 xml:space="preserve">Continuous analyses of </w:t>
            </w:r>
            <w:r w:rsidRPr="009D4B8C">
              <w:rPr>
                <w:b/>
                <w:sz w:val="18"/>
                <w:szCs w:val="18"/>
                <w:lang w:val="en-US"/>
              </w:rPr>
              <w:br/>
              <w:t>24h urinary boron excretion</w:t>
            </w:r>
          </w:p>
        </w:tc>
      </w:tr>
      <w:tr w:rsidR="00246E66" w:rsidRPr="009D4B8C" w14:paraId="15671A45" w14:textId="77777777" w:rsidTr="0063610E">
        <w:tc>
          <w:tcPr>
            <w:tcW w:w="2411" w:type="dxa"/>
            <w:vMerge/>
            <w:tcBorders>
              <w:bottom w:val="single" w:sz="6" w:space="0" w:color="auto"/>
            </w:tcBorders>
          </w:tcPr>
          <w:p w14:paraId="6E45EEB6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0BE3A53F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37470F5E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2</w:t>
            </w:r>
          </w:p>
          <w:p w14:paraId="3C256CCE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1040 to 1540 µg/day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02CBE4A5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3</w:t>
            </w:r>
          </w:p>
          <w:p w14:paraId="630F3E32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&gt;1540 µg/day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5AD1DD1B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14:paraId="401C3697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Per doubling</w:t>
            </w:r>
          </w:p>
        </w:tc>
      </w:tr>
      <w:tr w:rsidR="00246E66" w:rsidRPr="009D4B8C" w14:paraId="004CD994" w14:textId="77777777" w:rsidTr="0063610E">
        <w:tc>
          <w:tcPr>
            <w:tcW w:w="2411" w:type="dxa"/>
            <w:tcBorders>
              <w:top w:val="single" w:sz="12" w:space="0" w:color="auto"/>
              <w:bottom w:val="single" w:sz="6" w:space="0" w:color="auto"/>
            </w:tcBorders>
          </w:tcPr>
          <w:p w14:paraId="2F67939F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Model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33970A56" w14:textId="77777777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44745B56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3EE0C0C4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4F5006D4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4C22D4DF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</w:tcPr>
          <w:p w14:paraId="6F4D5164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04385621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P-value</w:t>
            </w:r>
          </w:p>
        </w:tc>
      </w:tr>
      <w:tr w:rsidR="00246E66" w:rsidRPr="009D4B8C" w14:paraId="1E3202F8" w14:textId="77777777" w:rsidTr="0063610E">
        <w:tc>
          <w:tcPr>
            <w:tcW w:w="2411" w:type="dxa"/>
            <w:tcBorders>
              <w:top w:val="single" w:sz="6" w:space="0" w:color="auto"/>
            </w:tcBorders>
            <w:hideMark/>
          </w:tcPr>
          <w:p w14:paraId="1F43AEF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Univariable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</w:tcBorders>
          </w:tcPr>
          <w:p w14:paraId="029C66BF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</w:tcBorders>
          </w:tcPr>
          <w:p w14:paraId="451E588C" w14:textId="7D03C585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</w:t>
            </w:r>
            <w:r w:rsidR="001B312C" w:rsidRPr="009D4B8C">
              <w:rPr>
                <w:sz w:val="18"/>
                <w:szCs w:val="18"/>
                <w:lang w:val="en-US"/>
              </w:rPr>
              <w:t>62</w:t>
            </w:r>
            <w:r w:rsidRPr="009D4B8C">
              <w:rPr>
                <w:sz w:val="18"/>
                <w:szCs w:val="18"/>
                <w:lang w:val="en-US"/>
              </w:rPr>
              <w:t xml:space="preserve"> (0.</w:t>
            </w:r>
            <w:r w:rsidR="001B312C" w:rsidRPr="009D4B8C">
              <w:rPr>
                <w:sz w:val="18"/>
                <w:szCs w:val="18"/>
                <w:lang w:val="en-US"/>
              </w:rPr>
              <w:t>42</w:t>
            </w:r>
            <w:r w:rsidRPr="009D4B8C">
              <w:rPr>
                <w:sz w:val="18"/>
                <w:szCs w:val="18"/>
                <w:lang w:val="en-US"/>
              </w:rPr>
              <w:t xml:space="preserve"> – 0.</w:t>
            </w:r>
            <w:r w:rsidR="001B312C" w:rsidRPr="009D4B8C">
              <w:rPr>
                <w:sz w:val="18"/>
                <w:szCs w:val="18"/>
                <w:lang w:val="en-US"/>
              </w:rPr>
              <w:t>91</w:t>
            </w:r>
            <w:r w:rsidRPr="009D4B8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3837BE51" w14:textId="7BF867C1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</w:t>
            </w:r>
            <w:r w:rsidR="001B312C" w:rsidRPr="009D4B8C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</w:tcBorders>
          </w:tcPr>
          <w:p w14:paraId="4D8CF088" w14:textId="41D1F9D1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0.3</w:t>
            </w:r>
            <w:r w:rsidR="001B312C" w:rsidRPr="009D4B8C">
              <w:rPr>
                <w:sz w:val="18"/>
                <w:szCs w:val="18"/>
                <w:lang w:val="en-US"/>
              </w:rPr>
              <w:t>8</w:t>
            </w:r>
            <w:r w:rsidRPr="009D4B8C">
              <w:rPr>
                <w:sz w:val="18"/>
                <w:szCs w:val="18"/>
                <w:lang w:val="en-US"/>
              </w:rPr>
              <w:t xml:space="preserve"> (0.24 – 0.60)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32F479B5" w14:textId="77777777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single" w:sz="6" w:space="0" w:color="auto"/>
            </w:tcBorders>
          </w:tcPr>
          <w:p w14:paraId="67EDE899" w14:textId="06DD4290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</w:t>
            </w:r>
            <w:r w:rsidR="001B312C" w:rsidRPr="009D4B8C">
              <w:rPr>
                <w:sz w:val="18"/>
                <w:szCs w:val="18"/>
                <w:lang w:val="en-US"/>
              </w:rPr>
              <w:t>5</w:t>
            </w:r>
            <w:r w:rsidRPr="009D4B8C">
              <w:rPr>
                <w:sz w:val="18"/>
                <w:szCs w:val="18"/>
                <w:lang w:val="en-US"/>
              </w:rPr>
              <w:t xml:space="preserve"> (0.</w:t>
            </w:r>
            <w:r w:rsidR="001B312C" w:rsidRPr="009D4B8C">
              <w:rPr>
                <w:sz w:val="18"/>
                <w:szCs w:val="18"/>
                <w:lang w:val="en-US"/>
              </w:rPr>
              <w:t>42</w:t>
            </w:r>
            <w:r w:rsidRPr="009D4B8C">
              <w:rPr>
                <w:sz w:val="18"/>
                <w:szCs w:val="18"/>
                <w:lang w:val="en-US"/>
              </w:rPr>
              <w:t xml:space="preserve"> – 0.</w:t>
            </w:r>
            <w:r w:rsidR="001B312C" w:rsidRPr="009D4B8C">
              <w:rPr>
                <w:sz w:val="18"/>
                <w:szCs w:val="18"/>
                <w:lang w:val="en-US"/>
              </w:rPr>
              <w:t>71</w:t>
            </w:r>
            <w:r w:rsidRPr="009D4B8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2D01193D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36F2FCEB" w14:textId="77777777" w:rsidTr="0063610E">
        <w:tc>
          <w:tcPr>
            <w:tcW w:w="2411" w:type="dxa"/>
            <w:tcBorders>
              <w:top w:val="single" w:sz="4" w:space="0" w:color="auto"/>
              <w:bottom w:val="single" w:sz="6" w:space="0" w:color="auto"/>
            </w:tcBorders>
          </w:tcPr>
          <w:p w14:paraId="7FA89458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+ age, sex, eGFR, CV history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014FF347" w14:textId="77777777" w:rsidR="00246E66" w:rsidRPr="009D4B8C" w:rsidRDefault="00246E66" w:rsidP="0063610E">
            <w:pPr>
              <w:jc w:val="center"/>
              <w:rPr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73348F48" w14:textId="554D70CE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</w:t>
            </w:r>
            <w:r w:rsidR="001B312C" w:rsidRPr="009D4B8C">
              <w:rPr>
                <w:sz w:val="18"/>
                <w:szCs w:val="18"/>
                <w:lang w:val="en-US"/>
              </w:rPr>
              <w:t>75</w:t>
            </w:r>
            <w:r w:rsidRPr="009D4B8C">
              <w:rPr>
                <w:sz w:val="18"/>
                <w:szCs w:val="18"/>
                <w:lang w:val="en-US"/>
              </w:rPr>
              <w:t xml:space="preserve"> (0.</w:t>
            </w:r>
            <w:r w:rsidR="001B312C" w:rsidRPr="009D4B8C">
              <w:rPr>
                <w:sz w:val="18"/>
                <w:szCs w:val="18"/>
                <w:lang w:val="en-US"/>
              </w:rPr>
              <w:t>5</w:t>
            </w:r>
            <w:r w:rsidRPr="009D4B8C">
              <w:rPr>
                <w:sz w:val="18"/>
                <w:szCs w:val="18"/>
                <w:lang w:val="en-US"/>
              </w:rPr>
              <w:t>0 – 1.</w:t>
            </w:r>
            <w:r w:rsidR="001B312C" w:rsidRPr="009D4B8C">
              <w:rPr>
                <w:sz w:val="18"/>
                <w:szCs w:val="18"/>
                <w:lang w:val="en-US"/>
              </w:rPr>
              <w:t>13</w:t>
            </w:r>
            <w:r w:rsidRPr="009D4B8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</w:tcPr>
          <w:p w14:paraId="4269A89B" w14:textId="2E429619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</w:t>
            </w:r>
            <w:r w:rsidR="001B312C" w:rsidRPr="009D4B8C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6A761374" w14:textId="266A998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0.3</w:t>
            </w:r>
            <w:r w:rsidR="001B312C" w:rsidRPr="009D4B8C">
              <w:rPr>
                <w:sz w:val="18"/>
                <w:szCs w:val="18"/>
                <w:lang w:val="en-US"/>
              </w:rPr>
              <w:t>8</w:t>
            </w:r>
            <w:r w:rsidRPr="009D4B8C">
              <w:rPr>
                <w:sz w:val="18"/>
                <w:szCs w:val="18"/>
                <w:lang w:val="en-US"/>
              </w:rPr>
              <w:t xml:space="preserve"> (0.2</w:t>
            </w:r>
            <w:r w:rsidR="001B312C" w:rsidRPr="009D4B8C">
              <w:rPr>
                <w:sz w:val="18"/>
                <w:szCs w:val="18"/>
                <w:lang w:val="en-US"/>
              </w:rPr>
              <w:t>4</w:t>
            </w:r>
            <w:r w:rsidRPr="009D4B8C">
              <w:rPr>
                <w:sz w:val="18"/>
                <w:szCs w:val="18"/>
                <w:lang w:val="en-US"/>
              </w:rPr>
              <w:t xml:space="preserve"> – 0.</w:t>
            </w:r>
            <w:r w:rsidR="001B312C" w:rsidRPr="009D4B8C">
              <w:rPr>
                <w:sz w:val="18"/>
                <w:szCs w:val="18"/>
                <w:lang w:val="en-US"/>
              </w:rPr>
              <w:t>61</w:t>
            </w:r>
            <w:r w:rsidRPr="009D4B8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4ED53E7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6" w:space="0" w:color="auto"/>
            </w:tcBorders>
          </w:tcPr>
          <w:p w14:paraId="65CAB964" w14:textId="06822031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</w:t>
            </w:r>
            <w:r w:rsidR="001B312C" w:rsidRPr="009D4B8C">
              <w:rPr>
                <w:sz w:val="18"/>
                <w:szCs w:val="18"/>
                <w:lang w:val="en-US"/>
              </w:rPr>
              <w:t>3</w:t>
            </w:r>
            <w:r w:rsidRPr="009D4B8C">
              <w:rPr>
                <w:sz w:val="18"/>
                <w:szCs w:val="18"/>
                <w:lang w:val="en-US"/>
              </w:rPr>
              <w:t xml:space="preserve"> (0.</w:t>
            </w:r>
            <w:r w:rsidR="001B312C" w:rsidRPr="009D4B8C">
              <w:rPr>
                <w:sz w:val="18"/>
                <w:szCs w:val="18"/>
                <w:lang w:val="en-US"/>
              </w:rPr>
              <w:t>40</w:t>
            </w:r>
            <w:r w:rsidRPr="009D4B8C">
              <w:rPr>
                <w:sz w:val="18"/>
                <w:szCs w:val="18"/>
                <w:lang w:val="en-US"/>
              </w:rPr>
              <w:t xml:space="preserve"> – 0.6</w:t>
            </w:r>
            <w:r w:rsidR="001B312C" w:rsidRPr="009D4B8C">
              <w:rPr>
                <w:sz w:val="18"/>
                <w:szCs w:val="18"/>
                <w:lang w:val="en-US"/>
              </w:rPr>
              <w:t>9</w:t>
            </w:r>
            <w:r w:rsidRPr="009D4B8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2D3720D3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47502B40" w14:textId="77777777" w:rsidTr="0063610E">
        <w:tc>
          <w:tcPr>
            <w:tcW w:w="2411" w:type="dxa"/>
            <w:tcBorders>
              <w:top w:val="single" w:sz="4" w:space="0" w:color="auto"/>
              <w:bottom w:val="single" w:sz="6" w:space="0" w:color="auto"/>
            </w:tcBorders>
          </w:tcPr>
          <w:p w14:paraId="22DD9B0A" w14:textId="4919BB50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+ diabetes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2A91960B" w14:textId="77777777" w:rsidR="00246E66" w:rsidRPr="009D4B8C" w:rsidRDefault="00246E66" w:rsidP="0063610E">
            <w:pPr>
              <w:jc w:val="center"/>
              <w:rPr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2E35DB72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0.66 (0.42 – 1.02)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</w:tcPr>
          <w:p w14:paraId="633067C6" w14:textId="603A12A5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0.06</w:t>
            </w:r>
            <w:r w:rsidR="001B312C" w:rsidRPr="009D4B8C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5309FC15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0.39 (0.24 – 0.64)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411893B6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6" w:space="0" w:color="auto"/>
            </w:tcBorders>
          </w:tcPr>
          <w:p w14:paraId="66E77E0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0.52 (0.38 – 0.70)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59DB2610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6F6FA5F2" w14:textId="77777777" w:rsidTr="0063610E">
        <w:tc>
          <w:tcPr>
            <w:tcW w:w="2411" w:type="dxa"/>
            <w:tcBorders>
              <w:top w:val="single" w:sz="4" w:space="0" w:color="auto"/>
              <w:bottom w:val="single" w:sz="6" w:space="0" w:color="auto"/>
            </w:tcBorders>
          </w:tcPr>
          <w:p w14:paraId="6997FE41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+ height, weight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0701F2D0" w14:textId="77777777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70CCB7F4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0.67 (0.43 – 1.05)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</w:tcPr>
          <w:p w14:paraId="78B9F3C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10CA78CF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0.42 (0.25 – 0.69)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42894A62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6" w:space="0" w:color="auto"/>
            </w:tcBorders>
          </w:tcPr>
          <w:p w14:paraId="27F75962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0.53 (0.39 – 0.72)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572CDEE4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45914CF6" w14:textId="77777777" w:rsidTr="0063610E">
        <w:tc>
          <w:tcPr>
            <w:tcW w:w="2411" w:type="dxa"/>
            <w:tcBorders>
              <w:top w:val="single" w:sz="4" w:space="0" w:color="auto"/>
              <w:bottom w:val="single" w:sz="6" w:space="0" w:color="auto"/>
            </w:tcBorders>
          </w:tcPr>
          <w:p w14:paraId="293E1BF1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+ LDL cholesterol, HDL cholesterol, triglycerides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4EC2BD19" w14:textId="77777777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1FDD4C0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0.70 (0.44 – 1.09)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</w:tcPr>
          <w:p w14:paraId="07BADAF3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266E626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0.44 (0.27 – 0.73)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73C23095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0.002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6" w:space="0" w:color="auto"/>
            </w:tcBorders>
          </w:tcPr>
          <w:p w14:paraId="7BCEA72E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0.55 (0.41 – 0.75)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41F09502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4AD3E3C4" w14:textId="77777777" w:rsidTr="0063610E">
        <w:tc>
          <w:tcPr>
            <w:tcW w:w="2411" w:type="dxa"/>
            <w:tcBorders>
              <w:top w:val="single" w:sz="6" w:space="0" w:color="auto"/>
              <w:bottom w:val="single" w:sz="12" w:space="0" w:color="auto"/>
            </w:tcBorders>
          </w:tcPr>
          <w:p w14:paraId="72424E09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+ dietary intake*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14:paraId="74B892D9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14:paraId="67E6781B" w14:textId="5F60D3D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0.76 (0.48 – 1.</w:t>
            </w:r>
            <w:r w:rsidR="001B312C" w:rsidRPr="009D4B8C">
              <w:rPr>
                <w:sz w:val="18"/>
                <w:szCs w:val="18"/>
                <w:lang w:val="en-US"/>
              </w:rPr>
              <w:t>19</w:t>
            </w:r>
            <w:r w:rsidRPr="009D4B8C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0F9A8598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0.2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14:paraId="3603CD45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0.54 (0.31 – 0.94)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</w:tcPr>
          <w:p w14:paraId="4AE69A9F" w14:textId="21066370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</w:t>
            </w:r>
            <w:r w:rsidR="001B312C" w:rsidRPr="009D4B8C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12" w:space="0" w:color="auto"/>
            </w:tcBorders>
          </w:tcPr>
          <w:p w14:paraId="0BC69557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0.61 (0.43 – 0.87)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</w:tcPr>
          <w:p w14:paraId="5C5BDA55" w14:textId="0A44F73A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0.00</w:t>
            </w:r>
            <w:r w:rsidR="001B312C" w:rsidRPr="009D4B8C">
              <w:rPr>
                <w:sz w:val="18"/>
                <w:szCs w:val="18"/>
                <w:lang w:val="en-US"/>
              </w:rPr>
              <w:t>7</w:t>
            </w:r>
          </w:p>
        </w:tc>
      </w:tr>
    </w:tbl>
    <w:p w14:paraId="3DD5BDD4" w14:textId="4F97EFE4" w:rsidR="00246E66" w:rsidRPr="009D4B8C" w:rsidRDefault="00246E66" w:rsidP="00246E66">
      <w:pPr>
        <w:rPr>
          <w:rFonts w:cs="Times New Roman"/>
          <w:b/>
          <w:lang w:val="en-US"/>
        </w:rPr>
      </w:pPr>
      <w:r w:rsidRPr="009D4B8C">
        <w:rPr>
          <w:sz w:val="16"/>
          <w:vertAlign w:val="superscript"/>
          <w:lang w:val="en-US"/>
        </w:rPr>
        <w:t>#</w:t>
      </w:r>
      <w:r w:rsidRPr="009D4B8C">
        <w:rPr>
          <w:sz w:val="16"/>
          <w:lang w:val="en-US"/>
        </w:rPr>
        <w:t xml:space="preserve"> For consistency, tertiles were defined based upon the entire study population, prior to exclusion of current smokers. *In this model, we adjusted for age, sex, eGFR, CV history, diabetes, and energy intake-indexed fruit, nuts, fish, wine, plant protein and animal protein intake. Parameters of dietary intake were transformed using a square root. </w:t>
      </w:r>
      <w:r w:rsidR="00210293" w:rsidRPr="009D4B8C">
        <w:rPr>
          <w:sz w:val="16"/>
          <w:lang w:val="en-US"/>
        </w:rPr>
        <w:t>117 patients (19%) died during a median follow-up time of 5.4y [4.9 – 6.1y].</w:t>
      </w:r>
      <w:r w:rsidRPr="009D4B8C">
        <w:rPr>
          <w:sz w:val="16"/>
          <w:lang w:val="en-US"/>
        </w:rPr>
        <w:t xml:space="preserve"> Addition of log</w:t>
      </w:r>
      <w:r w:rsidRPr="009D4B8C">
        <w:rPr>
          <w:sz w:val="16"/>
          <w:vertAlign w:val="subscript"/>
          <w:lang w:val="en-US"/>
        </w:rPr>
        <w:t>2</w:t>
      </w:r>
      <w:r w:rsidRPr="009D4B8C">
        <w:rPr>
          <w:sz w:val="16"/>
          <w:lang w:val="en-US"/>
        </w:rPr>
        <w:t xml:space="preserve"> </w:t>
      </w:r>
      <w:r w:rsidRPr="009D4B8C">
        <w:rPr>
          <w:sz w:val="16"/>
          <w:szCs w:val="20"/>
          <w:lang w:val="en-US"/>
        </w:rPr>
        <w:t>24h</w:t>
      </w:r>
      <w:r w:rsidRPr="009D4B8C">
        <w:rPr>
          <w:sz w:val="16"/>
          <w:lang w:val="en-US"/>
        </w:rPr>
        <w:t xml:space="preserve"> urinary boron excretion significantly augmented the model of sex, age, eGFR and history of cardiovascular disease (P</w:t>
      </w:r>
      <w:r w:rsidRPr="009D4B8C">
        <w:rPr>
          <w:sz w:val="16"/>
          <w:vertAlign w:val="subscript"/>
          <w:lang w:val="en-US"/>
        </w:rPr>
        <w:t xml:space="preserve">likelihood ratio </w:t>
      </w:r>
      <w:r w:rsidRPr="009D4B8C">
        <w:rPr>
          <w:sz w:val="16"/>
          <w:lang w:val="en-US"/>
        </w:rPr>
        <w:t>&lt; 0.001). Multiple imputation was used to account for 15 missing values (2.5%) of eGFR, 9 missing values (1.5%) of LDL and HDL cholesterol, 8 missing values (1.3%) of triglycerides, and 55 missing values (9.1%) for dietary intake parameters.</w:t>
      </w:r>
      <w:r w:rsidRPr="009D4B8C">
        <w:rPr>
          <w:sz w:val="16"/>
          <w:szCs w:val="16"/>
          <w:lang w:val="en-US"/>
        </w:rPr>
        <w:t xml:space="preserve"> </w:t>
      </w:r>
      <w:r w:rsidRPr="009D4B8C">
        <w:rPr>
          <w:sz w:val="16"/>
          <w:lang w:val="en-US"/>
        </w:rPr>
        <w:t>CI, confidence interval; eGFR, estimated glomerular filtration rate as calculated using creatinine and cystatin C-based CKD-EPI equation; HR, hazard ratio; SD, standard deviation.</w:t>
      </w:r>
      <w:r w:rsidRPr="009D4B8C">
        <w:rPr>
          <w:lang w:val="en-US"/>
        </w:rPr>
        <w:br w:type="page"/>
      </w:r>
    </w:p>
    <w:p w14:paraId="4BE04FDF" w14:textId="77777777" w:rsidR="00246E66" w:rsidRPr="009D4B8C" w:rsidRDefault="00246E66" w:rsidP="00246E6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0"/>
          <w:szCs w:val="20"/>
          <w:lang w:val="en-US"/>
        </w:rPr>
      </w:pPr>
      <w:r w:rsidRPr="009D4B8C">
        <w:rPr>
          <w:rFonts w:cs="Times New Roman"/>
          <w:b/>
          <w:sz w:val="20"/>
          <w:szCs w:val="20"/>
          <w:lang w:val="en-US"/>
        </w:rPr>
        <w:lastRenderedPageBreak/>
        <w:t xml:space="preserve">Supplementary Table 3 | </w:t>
      </w:r>
      <w:r w:rsidRPr="009D4B8C">
        <w:rPr>
          <w:sz w:val="20"/>
          <w:szCs w:val="20"/>
          <w:lang w:val="en-US"/>
        </w:rPr>
        <w:t xml:space="preserve">Causal path analyses of the association of boron excretion with all-cause mortality after exclusion of patients reporting current smoking (N = 612, 88.3% of total study population). Defined models are cumulative, and add variables to the model in each step. </w:t>
      </w:r>
    </w:p>
    <w:tbl>
      <w:tblPr>
        <w:tblStyle w:val="Tabelraster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501"/>
        <w:gridCol w:w="1556"/>
        <w:gridCol w:w="832"/>
        <w:gridCol w:w="1556"/>
        <w:gridCol w:w="993"/>
        <w:gridCol w:w="1559"/>
        <w:gridCol w:w="850"/>
      </w:tblGrid>
      <w:tr w:rsidR="00246E66" w:rsidRPr="009D4B8C" w14:paraId="05721A0D" w14:textId="77777777" w:rsidTr="0063610E">
        <w:tc>
          <w:tcPr>
            <w:tcW w:w="2359" w:type="dxa"/>
            <w:vMerge w:val="restart"/>
            <w:tcBorders>
              <w:top w:val="single" w:sz="12" w:space="0" w:color="auto"/>
            </w:tcBorders>
            <w:hideMark/>
          </w:tcPr>
          <w:p w14:paraId="77650064" w14:textId="77777777" w:rsidR="00246E66" w:rsidRPr="009D4B8C" w:rsidRDefault="00246E66" w:rsidP="0063610E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438" w:type="dxa"/>
            <w:gridSpan w:val="5"/>
            <w:tcBorders>
              <w:top w:val="single" w:sz="12" w:space="0" w:color="auto"/>
              <w:left w:val="nil"/>
              <w:bottom w:val="single" w:sz="2" w:space="0" w:color="auto"/>
            </w:tcBorders>
          </w:tcPr>
          <w:p w14:paraId="78CCE91F" w14:textId="43769B1E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Tertiles of 24h urinary boron excretion</w:t>
            </w:r>
            <w:r w:rsidR="00210293" w:rsidRPr="009D4B8C">
              <w:rPr>
                <w:b/>
                <w:sz w:val="18"/>
                <w:szCs w:val="18"/>
                <w:vertAlign w:val="superscript"/>
                <w:lang w:val="en-US"/>
              </w:rPr>
              <w:t>#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left w:val="nil"/>
              <w:bottom w:val="single" w:sz="2" w:space="0" w:color="auto"/>
            </w:tcBorders>
          </w:tcPr>
          <w:p w14:paraId="68184092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 xml:space="preserve">Continuous analyses of </w:t>
            </w:r>
            <w:r w:rsidRPr="009D4B8C">
              <w:rPr>
                <w:b/>
                <w:sz w:val="18"/>
                <w:szCs w:val="18"/>
                <w:lang w:val="en-US"/>
              </w:rPr>
              <w:br/>
              <w:t>24h urinary boron excretion</w:t>
            </w:r>
          </w:p>
        </w:tc>
      </w:tr>
      <w:tr w:rsidR="00246E66" w:rsidRPr="009D4B8C" w14:paraId="5252B262" w14:textId="77777777" w:rsidTr="0063610E">
        <w:tc>
          <w:tcPr>
            <w:tcW w:w="2359" w:type="dxa"/>
            <w:vMerge/>
            <w:tcBorders>
              <w:bottom w:val="single" w:sz="6" w:space="0" w:color="auto"/>
            </w:tcBorders>
          </w:tcPr>
          <w:p w14:paraId="055E259D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01" w:type="dxa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07D5B70E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2388" w:type="dxa"/>
            <w:gridSpan w:val="2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2CDC3E59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2</w:t>
            </w:r>
          </w:p>
          <w:p w14:paraId="1850A0E5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1040 to 1540 µg/day</w:t>
            </w:r>
          </w:p>
        </w:tc>
        <w:tc>
          <w:tcPr>
            <w:tcW w:w="2549" w:type="dxa"/>
            <w:gridSpan w:val="2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68392C62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3</w:t>
            </w:r>
          </w:p>
          <w:p w14:paraId="74689878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&gt;1540 µg/day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nil"/>
              <w:bottom w:val="single" w:sz="6" w:space="0" w:color="auto"/>
            </w:tcBorders>
          </w:tcPr>
          <w:p w14:paraId="6BAE30DF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14:paraId="1495CFD4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Per doubling</w:t>
            </w:r>
          </w:p>
        </w:tc>
      </w:tr>
      <w:tr w:rsidR="00246E66" w:rsidRPr="009D4B8C" w14:paraId="6E238495" w14:textId="77777777" w:rsidTr="0063610E">
        <w:tc>
          <w:tcPr>
            <w:tcW w:w="2359" w:type="dxa"/>
            <w:tcBorders>
              <w:top w:val="single" w:sz="12" w:space="0" w:color="auto"/>
              <w:bottom w:val="single" w:sz="6" w:space="0" w:color="auto"/>
            </w:tcBorders>
          </w:tcPr>
          <w:p w14:paraId="4992468C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Models</w:t>
            </w:r>
          </w:p>
        </w:tc>
        <w:tc>
          <w:tcPr>
            <w:tcW w:w="501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0BA946BF" w14:textId="77777777" w:rsidR="00246E66" w:rsidRPr="009D4B8C" w:rsidRDefault="00246E66" w:rsidP="0063610E">
            <w:pPr>
              <w:jc w:val="center"/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780BD7B6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HR (95%CI)</w:t>
            </w:r>
          </w:p>
        </w:tc>
        <w:tc>
          <w:tcPr>
            <w:tcW w:w="832" w:type="dxa"/>
            <w:tcBorders>
              <w:top w:val="single" w:sz="12" w:space="0" w:color="auto"/>
              <w:bottom w:val="single" w:sz="6" w:space="0" w:color="auto"/>
            </w:tcBorders>
          </w:tcPr>
          <w:p w14:paraId="795F6882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5C394C1F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1D2A15B5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14:paraId="728F8F6D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087E3E2A" w14:textId="77777777" w:rsidR="00246E66" w:rsidRPr="009D4B8C" w:rsidRDefault="00246E66" w:rsidP="0063610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D4B8C">
              <w:rPr>
                <w:b/>
                <w:sz w:val="18"/>
                <w:szCs w:val="18"/>
                <w:lang w:val="en-US"/>
              </w:rPr>
              <w:t>P-value</w:t>
            </w:r>
          </w:p>
        </w:tc>
      </w:tr>
      <w:tr w:rsidR="00246E66" w:rsidRPr="009D4B8C" w14:paraId="684302E4" w14:textId="77777777" w:rsidTr="001B312C">
        <w:tc>
          <w:tcPr>
            <w:tcW w:w="2359" w:type="dxa"/>
            <w:tcBorders>
              <w:top w:val="single" w:sz="4" w:space="0" w:color="auto"/>
              <w:bottom w:val="single" w:sz="6" w:space="0" w:color="auto"/>
            </w:tcBorders>
          </w:tcPr>
          <w:p w14:paraId="63A2323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Age, sex, eGFR, CV history, diabetes, height, weight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606DBCB3" w14:textId="77777777" w:rsidR="00246E66" w:rsidRPr="009D4B8C" w:rsidRDefault="00246E66" w:rsidP="0063610E">
            <w:pPr>
              <w:jc w:val="center"/>
              <w:rPr>
                <w:i/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6CED12DD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0.67 (0.43 – 1.05)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DF9A171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0.080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4CB36150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0.42 (0.25 – 0.69)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8A91E2B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2AF724E0" w14:textId="77777777" w:rsidR="00246E66" w:rsidRPr="009D4B8C" w:rsidRDefault="00246E66" w:rsidP="001B312C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0.53 (0.39 – 0.72)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4E6344" w14:textId="77777777" w:rsidR="00246E66" w:rsidRPr="009D4B8C" w:rsidRDefault="00246E66" w:rsidP="001B312C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0C82BE69" w14:textId="77777777" w:rsidTr="0063610E">
        <w:tc>
          <w:tcPr>
            <w:tcW w:w="2359" w:type="dxa"/>
            <w:tcBorders>
              <w:top w:val="single" w:sz="4" w:space="0" w:color="auto"/>
              <w:bottom w:val="single" w:sz="6" w:space="0" w:color="auto"/>
            </w:tcBorders>
          </w:tcPr>
          <w:p w14:paraId="6DD2C0D6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vertAlign w:val="superscript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 xml:space="preserve">+ hs-CRP </w:t>
            </w:r>
            <w:r w:rsidRPr="009D4B8C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493CD40B" w14:textId="77777777" w:rsidR="00246E66" w:rsidRPr="009D4B8C" w:rsidRDefault="00246E66" w:rsidP="0063610E">
            <w:pPr>
              <w:jc w:val="center"/>
              <w:rPr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3D9F7F0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0.69 (0.44 – 1.08)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AD982B1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757794E4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0.42 (0.26 – 0.70)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797F1CE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6B2432CA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0.54 (0.40 – 0.73)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66BD701C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2670795B" w14:textId="77777777" w:rsidTr="0063610E">
        <w:tc>
          <w:tcPr>
            <w:tcW w:w="2359" w:type="dxa"/>
            <w:tcBorders>
              <w:top w:val="single" w:sz="4" w:space="0" w:color="auto"/>
              <w:bottom w:val="single" w:sz="6" w:space="0" w:color="auto"/>
            </w:tcBorders>
          </w:tcPr>
          <w:p w14:paraId="0ECF8CA0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 xml:space="preserve">+ homocysteine </w:t>
            </w:r>
            <w:r w:rsidRPr="009D4B8C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4B529EBB" w14:textId="77777777" w:rsidR="00246E66" w:rsidRPr="009D4B8C" w:rsidRDefault="00246E66" w:rsidP="0063610E">
            <w:pPr>
              <w:jc w:val="center"/>
              <w:rPr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3BA04626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0.70 (0.45 – 1.09)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EAFEDF5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0E4894CB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0.43 (0.26 – 0.72)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180D97C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17242432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0.55 (0.40 – 0.75)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608D43D7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246E66" w:rsidRPr="009D4B8C" w14:paraId="783F2EF4" w14:textId="77777777" w:rsidTr="0063610E">
        <w:tc>
          <w:tcPr>
            <w:tcW w:w="2359" w:type="dxa"/>
            <w:tcBorders>
              <w:top w:val="single" w:sz="4" w:space="0" w:color="auto"/>
              <w:bottom w:val="single" w:sz="6" w:space="0" w:color="auto"/>
            </w:tcBorders>
          </w:tcPr>
          <w:p w14:paraId="43EC6143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 xml:space="preserve">+ vitamin B6, B12, folic acid </w:t>
            </w:r>
            <w:r w:rsidRPr="009D4B8C">
              <w:rPr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5E5C32EF" w14:textId="77777777" w:rsidR="00246E66" w:rsidRPr="009D4B8C" w:rsidRDefault="00246E66" w:rsidP="0063610E">
            <w:pPr>
              <w:jc w:val="center"/>
              <w:rPr>
                <w:lang w:val="en-US"/>
              </w:rPr>
            </w:pPr>
            <w:r w:rsidRPr="009D4B8C">
              <w:rPr>
                <w:i/>
                <w:sz w:val="18"/>
                <w:szCs w:val="18"/>
                <w:lang w:val="en-US"/>
              </w:rPr>
              <w:t>Ref.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121AF4BC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0.70 (0.45 – 1.10)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F2B9814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3676118E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0.44 (0.27 – 0.73)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A8C49B4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0.002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22F4656B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0.56 (0.41 – 0.76)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</w:tcPr>
          <w:p w14:paraId="14E38A59" w14:textId="77777777" w:rsidR="00246E66" w:rsidRPr="009D4B8C" w:rsidRDefault="00246E66" w:rsidP="0063610E">
            <w:pPr>
              <w:jc w:val="center"/>
              <w:rPr>
                <w:sz w:val="18"/>
                <w:szCs w:val="18"/>
                <w:lang w:val="en-US"/>
              </w:rPr>
            </w:pPr>
            <w:r w:rsidRPr="009D4B8C">
              <w:rPr>
                <w:sz w:val="18"/>
                <w:szCs w:val="18"/>
                <w:lang w:val="en-US"/>
              </w:rPr>
              <w:t>&lt;0.001</w:t>
            </w:r>
          </w:p>
        </w:tc>
      </w:tr>
    </w:tbl>
    <w:p w14:paraId="2AF93071" w14:textId="7A0DB7B5" w:rsidR="00246E66" w:rsidRPr="009D4B8C" w:rsidRDefault="00210293" w:rsidP="00246E66">
      <w:pPr>
        <w:rPr>
          <w:sz w:val="20"/>
          <w:szCs w:val="20"/>
          <w:lang w:val="en-US"/>
        </w:rPr>
      </w:pPr>
      <w:r w:rsidRPr="009D4B8C">
        <w:rPr>
          <w:sz w:val="16"/>
          <w:vertAlign w:val="superscript"/>
          <w:lang w:val="en-US"/>
        </w:rPr>
        <w:t>#</w:t>
      </w:r>
      <w:r w:rsidRPr="009D4B8C">
        <w:rPr>
          <w:sz w:val="16"/>
          <w:lang w:val="en-US"/>
        </w:rPr>
        <w:t xml:space="preserve"> For consistency, tertiles were defined based upon the entire study population, prior to exclusion of current smokers. 117</w:t>
      </w:r>
      <w:r w:rsidR="00246E66" w:rsidRPr="009D4B8C">
        <w:rPr>
          <w:sz w:val="16"/>
          <w:lang w:val="en-US"/>
        </w:rPr>
        <w:t xml:space="preserve"> patients (</w:t>
      </w:r>
      <w:r w:rsidRPr="009D4B8C">
        <w:rPr>
          <w:sz w:val="16"/>
          <w:lang w:val="en-US"/>
        </w:rPr>
        <w:t>19</w:t>
      </w:r>
      <w:r w:rsidR="00246E66" w:rsidRPr="009D4B8C">
        <w:rPr>
          <w:sz w:val="16"/>
          <w:lang w:val="en-US"/>
        </w:rPr>
        <w:t>%) died during a median follow-up time of 5.4y [4.</w:t>
      </w:r>
      <w:r w:rsidRPr="009D4B8C">
        <w:rPr>
          <w:sz w:val="16"/>
          <w:lang w:val="en-US"/>
        </w:rPr>
        <w:t>9</w:t>
      </w:r>
      <w:r w:rsidR="00246E66" w:rsidRPr="009D4B8C">
        <w:rPr>
          <w:sz w:val="16"/>
          <w:lang w:val="en-US"/>
        </w:rPr>
        <w:t xml:space="preserve"> – 6.1y]. Multiple imputation was used to account for 15 missing values (2.5%) of eGFR, 7 missing values (1.2%) for vitamin B12 and folic acid, 11 missing values (1.8%) for vitamin B6 and 35 missing values (5.8%) of hs-CRP. </w:t>
      </w:r>
      <w:proofErr w:type="spellStart"/>
      <w:r w:rsidR="00246E66" w:rsidRPr="009D4B8C">
        <w:rPr>
          <w:sz w:val="16"/>
          <w:szCs w:val="16"/>
          <w:vertAlign w:val="superscript"/>
          <w:lang w:val="en-US"/>
        </w:rPr>
        <w:t>a</w:t>
      </w:r>
      <w:r w:rsidR="00246E66" w:rsidRPr="009D4B8C">
        <w:rPr>
          <w:sz w:val="16"/>
          <w:szCs w:val="16"/>
          <w:lang w:val="en-US"/>
        </w:rPr>
        <w:t>variables</w:t>
      </w:r>
      <w:proofErr w:type="spellEnd"/>
      <w:r w:rsidR="00246E66" w:rsidRPr="009D4B8C">
        <w:rPr>
          <w:sz w:val="16"/>
          <w:szCs w:val="16"/>
          <w:lang w:val="en-US"/>
        </w:rPr>
        <w:t xml:space="preserve"> were log</w:t>
      </w:r>
      <w:r w:rsidR="00246E66" w:rsidRPr="009D4B8C">
        <w:rPr>
          <w:sz w:val="16"/>
          <w:szCs w:val="16"/>
          <w:vertAlign w:val="subscript"/>
          <w:lang w:val="en-US"/>
        </w:rPr>
        <w:t>2</w:t>
      </w:r>
      <w:r w:rsidR="00246E66" w:rsidRPr="009D4B8C">
        <w:rPr>
          <w:sz w:val="16"/>
          <w:szCs w:val="16"/>
          <w:lang w:val="en-US"/>
        </w:rPr>
        <w:t xml:space="preserve"> transformed. </w:t>
      </w:r>
      <w:r w:rsidR="00246E66" w:rsidRPr="009D4B8C">
        <w:rPr>
          <w:sz w:val="16"/>
          <w:lang w:val="en-US"/>
        </w:rPr>
        <w:t>CI, confidence interval; eGFR, estimated glomerular filtration rate as calculated using creatinine and cystatin C-based CKD-EPI equation; HR, hazard ratio; SD, standard deviation.</w:t>
      </w:r>
    </w:p>
    <w:p w14:paraId="1A6EB6AE" w14:textId="0E93CCF3" w:rsidR="00246E66" w:rsidRPr="009D4B8C" w:rsidRDefault="00246E66">
      <w:pPr>
        <w:rPr>
          <w:lang w:val="en-GB"/>
        </w:rPr>
      </w:pPr>
      <w:r w:rsidRPr="009D4B8C">
        <w:rPr>
          <w:lang w:val="en-GB"/>
        </w:rPr>
        <w:br w:type="page"/>
      </w:r>
    </w:p>
    <w:p w14:paraId="2462FCD1" w14:textId="77777777" w:rsidR="009217DE" w:rsidRPr="009D4B8C" w:rsidRDefault="009217DE" w:rsidP="009217DE">
      <w:pPr>
        <w:rPr>
          <w:lang w:val="en-US"/>
        </w:rPr>
      </w:pPr>
      <w:r w:rsidRPr="009D4B8C">
        <w:rPr>
          <w:noProof/>
          <w:lang w:val="en-GB" w:eastAsia="en-GB"/>
        </w:rPr>
        <w:lastRenderedPageBreak/>
        <w:drawing>
          <wp:inline distT="0" distB="0" distL="0" distR="0" wp14:anchorId="31D21454" wp14:editId="6362B733">
            <wp:extent cx="2995802" cy="4110824"/>
            <wp:effectExtent l="0" t="0" r="0" b="4445"/>
            <wp:docPr id="4" name="Afbeelding 4" descr="\\zkh\dfs\Gebruikers13\KremerD\Data\Projecten\Lithium\Consort flow di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kh\dfs\Gebruikers13\KremerD\Data\Projecten\Lithium\Consort flow diag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839" cy="411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99BF8" w14:textId="77777777" w:rsidR="009217DE" w:rsidRPr="000E6DC3" w:rsidRDefault="00113C8F" w:rsidP="009217DE">
      <w:pPr>
        <w:rPr>
          <w:lang w:val="en-US"/>
        </w:rPr>
      </w:pPr>
      <w:r w:rsidRPr="009D4B8C">
        <w:rPr>
          <w:rFonts w:cs="Times New Roman"/>
          <w:b/>
          <w:lang w:val="en-US"/>
        </w:rPr>
        <w:t>Supplementary</w:t>
      </w:r>
      <w:r w:rsidR="004077FA" w:rsidRPr="009D4B8C">
        <w:rPr>
          <w:b/>
          <w:lang w:val="en-US"/>
        </w:rPr>
        <w:t xml:space="preserve"> Figure </w:t>
      </w:r>
      <w:r w:rsidR="002E008D" w:rsidRPr="009D4B8C">
        <w:rPr>
          <w:b/>
          <w:lang w:val="en-US"/>
        </w:rPr>
        <w:t>1</w:t>
      </w:r>
      <w:r w:rsidR="009217DE" w:rsidRPr="009D4B8C">
        <w:rPr>
          <w:b/>
          <w:lang w:val="en-US"/>
        </w:rPr>
        <w:t xml:space="preserve"> | </w:t>
      </w:r>
      <w:r w:rsidR="009217DE" w:rsidRPr="009D4B8C">
        <w:rPr>
          <w:lang w:val="en-US"/>
        </w:rPr>
        <w:t>F</w:t>
      </w:r>
      <w:r w:rsidR="009217DE" w:rsidRPr="009D4B8C">
        <w:rPr>
          <w:noProof/>
          <w:lang w:val="en-US" w:eastAsia="nl-NL"/>
        </w:rPr>
        <w:t>low of participants through the study.</w:t>
      </w:r>
      <w:bookmarkStart w:id="0" w:name="_GoBack"/>
      <w:bookmarkEnd w:id="0"/>
    </w:p>
    <w:p w14:paraId="2E313BDB" w14:textId="77777777" w:rsidR="00F97557" w:rsidRPr="009217DE" w:rsidRDefault="00F97557" w:rsidP="009217DE">
      <w:pPr>
        <w:rPr>
          <w:lang w:val="en-US"/>
        </w:rPr>
      </w:pPr>
    </w:p>
    <w:sectPr w:rsidR="00F97557" w:rsidRPr="00921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83"/>
    <w:rsid w:val="00026451"/>
    <w:rsid w:val="000863FE"/>
    <w:rsid w:val="00113C8F"/>
    <w:rsid w:val="00197485"/>
    <w:rsid w:val="001B312C"/>
    <w:rsid w:val="001F5AEB"/>
    <w:rsid w:val="00210293"/>
    <w:rsid w:val="00246E66"/>
    <w:rsid w:val="00266254"/>
    <w:rsid w:val="00286AA8"/>
    <w:rsid w:val="002B467E"/>
    <w:rsid w:val="002E008D"/>
    <w:rsid w:val="004077FA"/>
    <w:rsid w:val="0045424D"/>
    <w:rsid w:val="00482ADA"/>
    <w:rsid w:val="005B52B6"/>
    <w:rsid w:val="006F12C7"/>
    <w:rsid w:val="007D67B9"/>
    <w:rsid w:val="00883767"/>
    <w:rsid w:val="009103C0"/>
    <w:rsid w:val="009217DE"/>
    <w:rsid w:val="009633AA"/>
    <w:rsid w:val="009D06AB"/>
    <w:rsid w:val="009D4B8C"/>
    <w:rsid w:val="00A865CB"/>
    <w:rsid w:val="00AB1883"/>
    <w:rsid w:val="00B67256"/>
    <w:rsid w:val="00BE77B3"/>
    <w:rsid w:val="00C748DD"/>
    <w:rsid w:val="00D17BF0"/>
    <w:rsid w:val="00D35E2C"/>
    <w:rsid w:val="00D65699"/>
    <w:rsid w:val="00F97557"/>
    <w:rsid w:val="00FB6051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40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217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B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188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4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217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B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188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4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Kremer, D (thorax)</dc:creator>
  <cp:lastModifiedBy>Daan Kremer</cp:lastModifiedBy>
  <cp:revision>2</cp:revision>
  <cp:lastPrinted>2021-01-21T11:56:00Z</cp:lastPrinted>
  <dcterms:created xsi:type="dcterms:W3CDTF">2021-09-30T08:22:00Z</dcterms:created>
  <dcterms:modified xsi:type="dcterms:W3CDTF">2021-09-30T08:22:00Z</dcterms:modified>
</cp:coreProperties>
</file>