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92D55" w14:textId="77777777" w:rsidR="00461E82" w:rsidRPr="008C7D0E" w:rsidRDefault="00461E82" w:rsidP="00461E82">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SUPPLEMENTARY</w:t>
      </w:r>
      <w:r w:rsidRPr="008C7D0E">
        <w:rPr>
          <w:rFonts w:ascii="Times New Roman" w:hAnsi="Times New Roman" w:cs="Times New Roman"/>
          <w:b/>
          <w:bCs/>
          <w:sz w:val="24"/>
          <w:szCs w:val="24"/>
        </w:rPr>
        <w:t xml:space="preserve"> FIGURE</w:t>
      </w:r>
    </w:p>
    <w:p w14:paraId="39AF9C68" w14:textId="77777777" w:rsidR="0023714B" w:rsidRPr="008C7D0E" w:rsidRDefault="0023714B" w:rsidP="00C25321">
      <w:pPr>
        <w:spacing w:after="0" w:line="480" w:lineRule="auto"/>
        <w:rPr>
          <w:rFonts w:ascii="Times New Roman" w:eastAsiaTheme="majorEastAsia" w:hAnsi="Times New Roman" w:cs="Times New Roman"/>
          <w:b/>
          <w:bCs/>
          <w:color w:val="2F5496" w:themeColor="accent1" w:themeShade="BF"/>
          <w:sz w:val="28"/>
          <w:szCs w:val="28"/>
          <w:lang w:val="en-US"/>
        </w:rPr>
      </w:pPr>
      <w:r w:rsidRPr="008C7D0E">
        <w:rPr>
          <w:rFonts w:ascii="Times New Roman" w:eastAsiaTheme="majorEastAsia" w:hAnsi="Times New Roman" w:cs="Times New Roman"/>
          <w:b/>
          <w:bCs/>
          <w:color w:val="2F5496" w:themeColor="accent1" w:themeShade="BF"/>
          <w:sz w:val="28"/>
          <w:szCs w:val="28"/>
          <w:lang w:val="en-US"/>
        </w:rPr>
        <w:t>Serum metabolites associated with wholegrain consumption using nontargeted metabolic profiling: a discovery and reproducibility study</w:t>
      </w:r>
    </w:p>
    <w:p w14:paraId="63C9A580" w14:textId="14A5DA2D" w:rsidR="00D42C4A" w:rsidRPr="005648C5" w:rsidRDefault="00D42C4A" w:rsidP="00C25321">
      <w:pPr>
        <w:spacing w:after="0" w:line="480" w:lineRule="auto"/>
        <w:rPr>
          <w:rFonts w:ascii="Times New Roman" w:hAnsi="Times New Roman" w:cs="Times New Roman"/>
          <w:sz w:val="24"/>
          <w:szCs w:val="24"/>
          <w:lang w:val="sv-SE"/>
        </w:rPr>
      </w:pPr>
      <w:r w:rsidRPr="005648C5">
        <w:rPr>
          <w:rFonts w:ascii="Times New Roman" w:hAnsi="Times New Roman" w:cs="Times New Roman"/>
          <w:sz w:val="24"/>
          <w:szCs w:val="24"/>
          <w:lang w:val="sv-SE"/>
        </w:rPr>
        <w:t xml:space="preserve">Stefania Noerman, Jyrki K Virtanen, Marko Lehtonen, Carl Brunius, and Kati Hanhineva </w:t>
      </w:r>
    </w:p>
    <w:p w14:paraId="600C1766" w14:textId="2FEC08E4" w:rsidR="00D42C4A" w:rsidRPr="005648C5" w:rsidRDefault="00D42C4A" w:rsidP="00C25321">
      <w:pPr>
        <w:spacing w:after="0" w:line="480" w:lineRule="auto"/>
        <w:rPr>
          <w:rFonts w:ascii="Times New Roman" w:hAnsi="Times New Roman" w:cs="Times New Roman"/>
          <w:sz w:val="24"/>
          <w:szCs w:val="24"/>
          <w:lang w:val="sv-SE"/>
        </w:rPr>
      </w:pPr>
    </w:p>
    <w:p w14:paraId="0378747B" w14:textId="77777777" w:rsidR="00A4301A" w:rsidRPr="005648C5" w:rsidRDefault="00A4301A" w:rsidP="00C25321">
      <w:pPr>
        <w:spacing w:after="0" w:line="480" w:lineRule="auto"/>
        <w:rPr>
          <w:rFonts w:ascii="Times New Roman" w:hAnsi="Times New Roman" w:cs="Times New Roman"/>
          <w:sz w:val="24"/>
          <w:szCs w:val="24"/>
          <w:lang w:val="sv-SE"/>
        </w:rPr>
      </w:pPr>
    </w:p>
    <w:p w14:paraId="6121AD4E" w14:textId="598D80F6" w:rsidR="00A4301A" w:rsidRPr="008C7D0E" w:rsidRDefault="00A4301A" w:rsidP="00C25321">
      <w:pPr>
        <w:spacing w:after="0" w:line="480" w:lineRule="auto"/>
        <w:rPr>
          <w:rFonts w:ascii="Times New Roman" w:hAnsi="Times New Roman" w:cs="Times New Roman"/>
          <w:sz w:val="24"/>
          <w:szCs w:val="24"/>
          <w:lang w:val="en-US"/>
        </w:rPr>
      </w:pPr>
      <w:r w:rsidRPr="008C7D0E">
        <w:rPr>
          <w:rFonts w:ascii="Times New Roman" w:hAnsi="Times New Roman" w:cs="Times New Roman"/>
          <w:noProof/>
          <w:sz w:val="24"/>
          <w:szCs w:val="24"/>
          <w:lang w:val="en-US"/>
        </w:rPr>
        <w:drawing>
          <wp:inline distT="0" distB="0" distL="0" distR="0" wp14:anchorId="24994CA3" wp14:editId="275F0878">
            <wp:extent cx="5731510" cy="3223895"/>
            <wp:effectExtent l="0" t="0" r="2540" b="0"/>
            <wp:docPr id="1" name="Picture 1"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radar char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64027335" w14:textId="0EE9E1D5" w:rsidR="00A4301A" w:rsidRPr="008C7D0E" w:rsidRDefault="005648C5" w:rsidP="00C25321">
      <w:pPr>
        <w:spacing w:after="0" w:line="480" w:lineRule="auto"/>
        <w:rPr>
          <w:rFonts w:ascii="Times New Roman" w:hAnsi="Times New Roman" w:cs="Times New Roman"/>
          <w:sz w:val="24"/>
          <w:szCs w:val="24"/>
          <w:lang w:val="en-US"/>
        </w:rPr>
      </w:pPr>
      <w:r>
        <w:rPr>
          <w:rFonts w:ascii="Times New Roman" w:hAnsi="Times New Roman" w:cs="Times New Roman"/>
          <w:b/>
          <w:bCs/>
          <w:sz w:val="24"/>
          <w:szCs w:val="24"/>
          <w:lang w:val="en-US"/>
        </w:rPr>
        <w:t>Supplementary</w:t>
      </w:r>
      <w:r w:rsidR="00A4301A" w:rsidRPr="008C7D0E">
        <w:rPr>
          <w:rFonts w:ascii="Times New Roman" w:hAnsi="Times New Roman" w:cs="Times New Roman"/>
          <w:b/>
          <w:bCs/>
          <w:sz w:val="24"/>
          <w:szCs w:val="24"/>
          <w:lang w:val="en-US"/>
        </w:rPr>
        <w:t xml:space="preserve"> Figure 1</w:t>
      </w:r>
      <w:r w:rsidR="00A4301A" w:rsidRPr="008C7D0E">
        <w:rPr>
          <w:rFonts w:ascii="Times New Roman" w:hAnsi="Times New Roman" w:cs="Times New Roman"/>
          <w:sz w:val="24"/>
          <w:szCs w:val="24"/>
          <w:lang w:val="en-US"/>
        </w:rPr>
        <w:t xml:space="preserve">. The relationship among the components was drawn using presumed directed acyclic graph </w:t>
      </w:r>
      <w:r w:rsidR="00A4301A" w:rsidRPr="008C7D0E">
        <w:rPr>
          <w:rFonts w:ascii="Times New Roman" w:hAnsi="Times New Roman" w:cs="Times New Roman"/>
          <w:sz w:val="24"/>
          <w:szCs w:val="24"/>
          <w:lang w:val="en-US"/>
        </w:rPr>
        <w:fldChar w:fldCharType="begin" w:fldLock="1"/>
      </w:r>
      <w:r w:rsidR="001A7E01" w:rsidRPr="008C7D0E">
        <w:rPr>
          <w:rFonts w:ascii="Times New Roman" w:hAnsi="Times New Roman" w:cs="Times New Roman"/>
          <w:sz w:val="24"/>
          <w:szCs w:val="24"/>
          <w:lang w:val="en-US"/>
        </w:rPr>
        <w:instrText>ADDIN CSL_CITATION {"citationItems":[{"id":"ITEM-1","itemData":{"DOI":"10.1093/ije/dyw341","ISSN":"0300-5771","abstract":"Directed acyclic graphs (DAGs), which offer systematic representations of causal relationships, have become an established framework for the analysis of causal inference in epidemiology, often being used to determine covariate adjustment sets for minimizing confounding bias. DAGitty is a popular web application for drawing and analysing DAGs. Here we introduce the R package ‘dagitty’, which provides access to all of the capabilities of the DAGitty web application within the R platform for statistical computing, and also offers several new functions. We describe how the R package ‘dagitty’ can be used to: evaluate whether a DAG is consistent with the dataset it is intended to represent; enumerate ‘statistically equivalent’ but causally different DAGs; and identify exposure-outcome adjustment sets that are valid for causally different but statistically equivalent DAGs. This functionality enables epidemiologists to detect causal misspecifications in DAGs and make robust inferences that remain valid for a range of different DAGs. The R package ‘dagitty’ is available through the comprehensive R archive network (CRAN) at [https://cran.r-project.org/web/packages/dagitty/]. The source code is available on github at [https://github.com/jtextor/dagitty]. The web application ‘DAGitty’ is free software, licensed under the GNU general public licence (GPL) version 2 and is available at [http://dagitty.net/].","author":[{"dropping-particle":"","family":"Textor","given":"Johannes","non-dropping-particle":"","parse-names":false,"suffix":""},{"dropping-particle":"","family":"Zander","given":"Benito","non-dropping-particle":"van der","parse-names":false,"suffix":""},{"dropping-particle":"","family":"Gilthorpe","given":"Mark S","non-dropping-particle":"","parse-names":false,"suffix":""},{"dropping-particle":"","family":"Liśkiewicz","given":"Maciej","non-dropping-particle":"","parse-names":false,"suffix":""},{"dropping-particle":"","family":"Ellison","given":"George T H","non-dropping-particle":"","parse-names":false,"suffix":""}],"container-title":"International Journal of Epidemiology","id":"ITEM-1","issue":"6","issued":{"date-parts":[["2016","12","1"]]},"page":"1887-1894","title":"Robust causal inference using directed acyclic graphs: the R package ‘dagitty’","type":"article-journal","volume":"45"},"uris":["http://www.mendeley.com/documents/?uuid=e646f681-e35a-4109-8ce7-a6fe4a5dd1ee"]}],"mendeley":{"formattedCitation":"(1)","plainTextFormattedCitation":"(1)","previouslyFormattedCitation":"(31)"},"properties":{"noteIndex":0},"schema":"https://github.com/citation-style-language/schema/raw/master/csl-citation.json"}</w:instrText>
      </w:r>
      <w:r w:rsidR="00A4301A" w:rsidRPr="008C7D0E">
        <w:rPr>
          <w:rFonts w:ascii="Times New Roman" w:hAnsi="Times New Roman" w:cs="Times New Roman"/>
          <w:sz w:val="24"/>
          <w:szCs w:val="24"/>
          <w:lang w:val="en-US"/>
        </w:rPr>
        <w:fldChar w:fldCharType="separate"/>
      </w:r>
      <w:r w:rsidR="001A7E01" w:rsidRPr="008C7D0E">
        <w:rPr>
          <w:rFonts w:ascii="Times New Roman" w:hAnsi="Times New Roman" w:cs="Times New Roman"/>
          <w:noProof/>
          <w:sz w:val="24"/>
          <w:szCs w:val="24"/>
          <w:lang w:val="en-US"/>
        </w:rPr>
        <w:t>(1)</w:t>
      </w:r>
      <w:r w:rsidR="00A4301A" w:rsidRPr="008C7D0E">
        <w:rPr>
          <w:rFonts w:ascii="Times New Roman" w:hAnsi="Times New Roman" w:cs="Times New Roman"/>
          <w:sz w:val="24"/>
          <w:szCs w:val="24"/>
          <w:lang w:val="en-US"/>
        </w:rPr>
        <w:fldChar w:fldCharType="end"/>
      </w:r>
      <w:r w:rsidR="00A4301A" w:rsidRPr="008C7D0E">
        <w:rPr>
          <w:rFonts w:ascii="Times New Roman" w:hAnsi="Times New Roman" w:cs="Times New Roman"/>
          <w:sz w:val="24"/>
          <w:szCs w:val="24"/>
          <w:lang w:val="en-US"/>
        </w:rPr>
        <w:t xml:space="preserve">. WG intake: wholegrain intake, as the exposure; blood metabolome as the outcome. BMI: body mass index; as other blue oval which were considered as ancestors of outcome. Healthy lifestyle was considered unobserved, though it may affect other observed variables such as physical activity, alcohol consumption, smoking, and energy intake. Green arrows indicate known causal path, while pink arrows indicate biasing path. </w:t>
      </w:r>
    </w:p>
    <w:p w14:paraId="5B3C0875" w14:textId="011024F5" w:rsidR="005030BE" w:rsidRPr="002044B9" w:rsidRDefault="005030BE" w:rsidP="00F60492">
      <w:pPr>
        <w:rPr>
          <w:rFonts w:ascii="Times New Roman" w:hAnsi="Times New Roman" w:cs="Times New Roman"/>
          <w:sz w:val="24"/>
          <w:szCs w:val="24"/>
        </w:rPr>
      </w:pPr>
    </w:p>
    <w:p w14:paraId="13F5FBFB" w14:textId="77777777" w:rsidR="00D42C4A" w:rsidRPr="00D42C4A" w:rsidRDefault="00D42C4A" w:rsidP="00C25321">
      <w:pPr>
        <w:rPr>
          <w:lang w:val="en-US"/>
        </w:rPr>
      </w:pPr>
    </w:p>
    <w:sectPr w:rsidR="00D42C4A" w:rsidRPr="00D42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84865"/>
    <w:multiLevelType w:val="hybridMultilevel"/>
    <w:tmpl w:val="67A479B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C4A"/>
    <w:rsid w:val="0005466F"/>
    <w:rsid w:val="00054F17"/>
    <w:rsid w:val="000579CF"/>
    <w:rsid w:val="00077E69"/>
    <w:rsid w:val="000F1FB6"/>
    <w:rsid w:val="00191DA2"/>
    <w:rsid w:val="001A7E01"/>
    <w:rsid w:val="001B361A"/>
    <w:rsid w:val="001E61F5"/>
    <w:rsid w:val="0023714B"/>
    <w:rsid w:val="0027628C"/>
    <w:rsid w:val="00385709"/>
    <w:rsid w:val="003B6C41"/>
    <w:rsid w:val="004522F0"/>
    <w:rsid w:val="00461E82"/>
    <w:rsid w:val="00475655"/>
    <w:rsid w:val="00483A2D"/>
    <w:rsid w:val="004849AF"/>
    <w:rsid w:val="004A6B40"/>
    <w:rsid w:val="004B4BE7"/>
    <w:rsid w:val="004E3172"/>
    <w:rsid w:val="005030BE"/>
    <w:rsid w:val="00557935"/>
    <w:rsid w:val="005648C5"/>
    <w:rsid w:val="006560EA"/>
    <w:rsid w:val="007E0ED5"/>
    <w:rsid w:val="00865D75"/>
    <w:rsid w:val="008C7D0E"/>
    <w:rsid w:val="009246B2"/>
    <w:rsid w:val="00976349"/>
    <w:rsid w:val="00A05D70"/>
    <w:rsid w:val="00A11635"/>
    <w:rsid w:val="00A17E62"/>
    <w:rsid w:val="00A4301A"/>
    <w:rsid w:val="00AB5CAE"/>
    <w:rsid w:val="00AD131D"/>
    <w:rsid w:val="00B05A6A"/>
    <w:rsid w:val="00BA4211"/>
    <w:rsid w:val="00BB4523"/>
    <w:rsid w:val="00BB5A6F"/>
    <w:rsid w:val="00BB6347"/>
    <w:rsid w:val="00BE1921"/>
    <w:rsid w:val="00C25321"/>
    <w:rsid w:val="00C91ECE"/>
    <w:rsid w:val="00C9596C"/>
    <w:rsid w:val="00CB7A15"/>
    <w:rsid w:val="00D42C4A"/>
    <w:rsid w:val="00D516A3"/>
    <w:rsid w:val="00D90038"/>
    <w:rsid w:val="00E51AD4"/>
    <w:rsid w:val="00EF3CD5"/>
    <w:rsid w:val="00F57BBD"/>
    <w:rsid w:val="00F60492"/>
    <w:rsid w:val="00F84F0B"/>
    <w:rsid w:val="00FB2149"/>
    <w:rsid w:val="00FD7F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B9C30"/>
  <w15:chartTrackingRefBased/>
  <w15:docId w15:val="{FA16469C-DEBD-4845-9429-B3B798720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B4523"/>
    <w:rPr>
      <w:sz w:val="16"/>
      <w:szCs w:val="16"/>
    </w:rPr>
  </w:style>
  <w:style w:type="paragraph" w:styleId="CommentText">
    <w:name w:val="annotation text"/>
    <w:basedOn w:val="Normal"/>
    <w:link w:val="CommentTextChar"/>
    <w:uiPriority w:val="99"/>
    <w:semiHidden/>
    <w:unhideWhenUsed/>
    <w:rsid w:val="00BB4523"/>
    <w:pPr>
      <w:spacing w:after="200" w:line="240" w:lineRule="auto"/>
    </w:pPr>
    <w:rPr>
      <w:sz w:val="20"/>
      <w:szCs w:val="20"/>
      <w:lang w:val="fi-FI"/>
    </w:rPr>
  </w:style>
  <w:style w:type="character" w:customStyle="1" w:styleId="CommentTextChar">
    <w:name w:val="Comment Text Char"/>
    <w:basedOn w:val="DefaultParagraphFont"/>
    <w:link w:val="CommentText"/>
    <w:uiPriority w:val="99"/>
    <w:semiHidden/>
    <w:rsid w:val="00BB4523"/>
    <w:rPr>
      <w:sz w:val="20"/>
      <w:szCs w:val="20"/>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23F95-B165-422E-A522-58622524F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563</Words>
  <Characters>2984</Characters>
  <Application>Microsoft Office Word</Application>
  <DocSecurity>0</DocSecurity>
  <Lines>24</Lines>
  <Paragraphs>7</Paragraphs>
  <ScaleCrop>false</ScaleCrop>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Noerman</dc:creator>
  <cp:keywords/>
  <dc:description/>
  <cp:lastModifiedBy>Stefania Noerman</cp:lastModifiedBy>
  <cp:revision>7</cp:revision>
  <dcterms:created xsi:type="dcterms:W3CDTF">2022-03-21T09:58:00Z</dcterms:created>
  <dcterms:modified xsi:type="dcterms:W3CDTF">2022-03-21T10:23:00Z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http://www.zotero.org/styles/frontiers-for-young-minds</vt:lpwstr>
  </property>
  <property fmtid="{D5CDD505-2E9C-101B-9397-08002B2CF9AE}" pid="13" name="Mendeley Recent Style Name 5_1">
    <vt:lpwstr>Frontiers for Young Minds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http://www.zotero.org/styles/the-american-journal-of-clinical-nutrition</vt:lpwstr>
  </property>
  <property fmtid="{D5CDD505-2E9C-101B-9397-08002B2CF9AE}" pid="21" name="Mendeley Recent Style Name 9_1">
    <vt:lpwstr>The American Journal of Clinical Nutrition</vt:lpwstr>
  </property>
  <property fmtid="{D5CDD505-2E9C-101B-9397-08002B2CF9AE}" pid="22" name="Mendeley Document_1">
    <vt:lpwstr>True</vt:lpwstr>
  </property>
  <property fmtid="{D5CDD505-2E9C-101B-9397-08002B2CF9AE}" pid="23" name="Mendeley Unique User Id_1">
    <vt:lpwstr>15d68198-ab85-38ca-9a10-a8b24da388e7</vt:lpwstr>
  </property>
  <property fmtid="{D5CDD505-2E9C-101B-9397-08002B2CF9AE}" pid="24" name="Mendeley Citation Style_1">
    <vt:lpwstr>http://www.zotero.org/styles/the-american-journal-of-clinical-nutrition</vt:lpwstr>
  </property>
</Properties>
</file>