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FA04B1" w14:textId="77777777" w:rsidR="005D1FB7" w:rsidRDefault="005D1FB7" w:rsidP="005D1FB7">
      <w:pPr>
        <w:pStyle w:val="Heading2"/>
        <w:rPr>
          <w:rFonts w:cs="Arial"/>
          <w:szCs w:val="24"/>
        </w:rPr>
      </w:pPr>
      <w:r w:rsidRPr="00C91075">
        <w:rPr>
          <w:rFonts w:cs="Arial"/>
          <w:szCs w:val="24"/>
        </w:rPr>
        <w:t xml:space="preserve">Supplementary </w:t>
      </w:r>
      <w:r>
        <w:rPr>
          <w:rFonts w:cs="Arial"/>
          <w:szCs w:val="24"/>
        </w:rPr>
        <w:t>M</w:t>
      </w:r>
      <w:r w:rsidRPr="00C91075">
        <w:rPr>
          <w:rFonts w:cs="Arial"/>
          <w:szCs w:val="24"/>
        </w:rPr>
        <w:t>aterial</w:t>
      </w:r>
    </w:p>
    <w:p w14:paraId="7B92E811" w14:textId="77777777" w:rsidR="005D1FB7" w:rsidRPr="00C91075" w:rsidRDefault="005D1FB7" w:rsidP="005D1FB7">
      <w:pPr>
        <w:rPr>
          <w:rFonts w:cs="Arial"/>
        </w:rPr>
      </w:pPr>
    </w:p>
    <w:p w14:paraId="4DDDD86C" w14:textId="77777777" w:rsidR="005D1FB7" w:rsidRPr="00C91075" w:rsidRDefault="005D1FB7" w:rsidP="005D1FB7">
      <w:pPr>
        <w:rPr>
          <w:rFonts w:cs="Arial"/>
        </w:rPr>
      </w:pPr>
      <w:r w:rsidRPr="0038519E">
        <w:rPr>
          <w:rFonts w:cs="Arial"/>
          <w:b/>
          <w:bCs/>
        </w:rPr>
        <w:t xml:space="preserve">Supplementary </w:t>
      </w:r>
      <w:r>
        <w:rPr>
          <w:rFonts w:cs="Arial"/>
          <w:b/>
          <w:bCs/>
        </w:rPr>
        <w:t>T</w:t>
      </w:r>
      <w:r w:rsidRPr="0038519E">
        <w:rPr>
          <w:rFonts w:cs="Arial"/>
          <w:b/>
          <w:bCs/>
        </w:rPr>
        <w:t>able 1</w:t>
      </w:r>
      <w:r>
        <w:rPr>
          <w:rFonts w:cs="Arial"/>
        </w:rPr>
        <w:t xml:space="preserve"> </w:t>
      </w:r>
      <w:r w:rsidRPr="00C91075">
        <w:rPr>
          <w:rFonts w:cs="Arial"/>
        </w:rPr>
        <w:t xml:space="preserve">Relative </w:t>
      </w:r>
      <w:r>
        <w:rPr>
          <w:rFonts w:cs="Arial"/>
        </w:rPr>
        <w:t xml:space="preserve">amino acid contribution from supplemental protein </w:t>
      </w:r>
    </w:p>
    <w:p w14:paraId="52C49800" w14:textId="77777777" w:rsidR="005D1FB7" w:rsidRDefault="005D1FB7" w:rsidP="005D1FB7">
      <w:pPr>
        <w:rPr>
          <w:rFonts w:cs="Arial"/>
        </w:rPr>
      </w:pPr>
    </w:p>
    <w:p w14:paraId="5B082000" w14:textId="77777777" w:rsidR="005D1FB7" w:rsidRDefault="005D1FB7" w:rsidP="005D1FB7">
      <w:pPr>
        <w:rPr>
          <w:rFonts w:cs="Arial"/>
        </w:rPr>
      </w:pPr>
    </w:p>
    <w:tbl>
      <w:tblPr>
        <w:tblW w:w="9360" w:type="dxa"/>
        <w:tblLook w:val="04A0" w:firstRow="1" w:lastRow="0" w:firstColumn="1" w:lastColumn="0" w:noHBand="0" w:noVBand="1"/>
      </w:tblPr>
      <w:tblGrid>
        <w:gridCol w:w="2694"/>
        <w:gridCol w:w="2268"/>
        <w:gridCol w:w="2126"/>
        <w:gridCol w:w="2272"/>
      </w:tblGrid>
      <w:tr w:rsidR="005D1FB7" w:rsidRPr="003F111A" w14:paraId="15205370" w14:textId="77777777" w:rsidTr="009D2E4E">
        <w:trPr>
          <w:trHeight w:val="407"/>
        </w:trPr>
        <w:tc>
          <w:tcPr>
            <w:tcW w:w="2694" w:type="dxa"/>
            <w:tcBorders>
              <w:top w:val="double" w:sz="4" w:space="0" w:color="auto"/>
              <w:left w:val="nil"/>
              <w:bottom w:val="double" w:sz="4" w:space="0" w:color="auto"/>
              <w:right w:val="nil"/>
            </w:tcBorders>
            <w:shd w:val="clear" w:color="auto" w:fill="auto"/>
            <w:noWrap/>
            <w:vAlign w:val="center"/>
            <w:hideMark/>
          </w:tcPr>
          <w:p w14:paraId="61C07E55" w14:textId="77777777" w:rsidR="005D1FB7" w:rsidRPr="003F111A" w:rsidRDefault="005D1FB7" w:rsidP="009D2E4E">
            <w:pPr>
              <w:jc w:val="center"/>
              <w:rPr>
                <w:rFonts w:eastAsia="Times New Roman" w:cs="Arial"/>
                <w:color w:val="000000"/>
                <w:lang w:eastAsia="en-GB"/>
              </w:rPr>
            </w:pPr>
            <w:r w:rsidRPr="003F111A">
              <w:rPr>
                <w:rFonts w:eastAsia="Times New Roman" w:cs="Arial"/>
                <w:color w:val="000000"/>
                <w:lang w:eastAsia="en-GB"/>
              </w:rPr>
              <w:t>Relative protein</w:t>
            </w:r>
          </w:p>
          <w:p w14:paraId="30BB7705" w14:textId="77777777" w:rsidR="005D1FB7" w:rsidRPr="003F111A" w:rsidRDefault="005D1FB7" w:rsidP="009D2E4E">
            <w:pPr>
              <w:jc w:val="center"/>
              <w:rPr>
                <w:rFonts w:eastAsia="Times New Roman" w:cs="Arial"/>
                <w:color w:val="000000"/>
                <w:lang w:eastAsia="en-GB"/>
              </w:rPr>
            </w:pPr>
            <w:r w:rsidRPr="003F111A">
              <w:rPr>
                <w:rFonts w:eastAsia="Times New Roman" w:cs="Arial"/>
                <w:color w:val="000000"/>
                <w:lang w:eastAsia="en-GB"/>
              </w:rPr>
              <w:t xml:space="preserve">(0.13 </w:t>
            </w:r>
            <w:proofErr w:type="spellStart"/>
            <w:r w:rsidRPr="003F111A">
              <w:rPr>
                <w:rFonts w:cs="Arial"/>
              </w:rPr>
              <w:t>g</w:t>
            </w:r>
            <w:r w:rsidRPr="003F111A">
              <w:rPr>
                <w:rFonts w:ascii="Symbol" w:eastAsia="Symbol" w:hAnsi="Symbol" w:cs="Symbol"/>
              </w:rPr>
              <w:t>×</w:t>
            </w:r>
            <w:r w:rsidRPr="003F111A">
              <w:rPr>
                <w:rFonts w:cs="Arial"/>
              </w:rPr>
              <w:t>kg</w:t>
            </w:r>
            <w:proofErr w:type="spellEnd"/>
            <w:r>
              <w:rPr>
                <w:rFonts w:cs="Arial"/>
              </w:rPr>
              <w:t xml:space="preserve"> </w:t>
            </w:r>
            <w:r w:rsidRPr="003F111A">
              <w:rPr>
                <w:rFonts w:cs="Arial"/>
              </w:rPr>
              <w:t>BM</w:t>
            </w:r>
            <w:r w:rsidRPr="003F111A">
              <w:rPr>
                <w:rFonts w:cs="Arial"/>
                <w:vertAlign w:val="superscript"/>
              </w:rPr>
              <w:t>-1</w:t>
            </w:r>
            <w:r w:rsidRPr="003F111A">
              <w:rPr>
                <w:rFonts w:cs="Arial"/>
              </w:rPr>
              <w:t>)</w:t>
            </w:r>
          </w:p>
        </w:tc>
        <w:tc>
          <w:tcPr>
            <w:tcW w:w="2268" w:type="dxa"/>
            <w:tcBorders>
              <w:top w:val="double" w:sz="4" w:space="0" w:color="auto"/>
              <w:left w:val="nil"/>
              <w:bottom w:val="double" w:sz="4" w:space="0" w:color="auto"/>
              <w:right w:val="nil"/>
            </w:tcBorders>
            <w:shd w:val="clear" w:color="auto" w:fill="auto"/>
            <w:noWrap/>
            <w:vAlign w:val="center"/>
            <w:hideMark/>
          </w:tcPr>
          <w:p w14:paraId="22D1C320" w14:textId="77777777" w:rsidR="005D1FB7" w:rsidRPr="003F111A" w:rsidRDefault="005D1FB7" w:rsidP="009D2E4E">
            <w:pPr>
              <w:jc w:val="center"/>
              <w:rPr>
                <w:rFonts w:eastAsia="Times New Roman" w:cs="Arial"/>
                <w:color w:val="000000"/>
                <w:lang w:eastAsia="en-GB"/>
              </w:rPr>
            </w:pPr>
            <w:r w:rsidRPr="003F111A">
              <w:rPr>
                <w:rFonts w:eastAsia="Times New Roman" w:cs="Arial"/>
                <w:color w:val="000000"/>
                <w:lang w:eastAsia="en-GB"/>
              </w:rPr>
              <w:t>Whey Protein Concentrate</w:t>
            </w:r>
          </w:p>
        </w:tc>
        <w:tc>
          <w:tcPr>
            <w:tcW w:w="2126" w:type="dxa"/>
            <w:tcBorders>
              <w:top w:val="double" w:sz="4" w:space="0" w:color="auto"/>
              <w:left w:val="nil"/>
              <w:bottom w:val="double" w:sz="4" w:space="0" w:color="auto"/>
              <w:right w:val="nil"/>
            </w:tcBorders>
            <w:shd w:val="clear" w:color="auto" w:fill="auto"/>
            <w:noWrap/>
            <w:vAlign w:val="center"/>
            <w:hideMark/>
          </w:tcPr>
          <w:p w14:paraId="643760F7" w14:textId="77777777" w:rsidR="005D1FB7" w:rsidRPr="003F111A" w:rsidRDefault="005D1FB7" w:rsidP="009D2E4E">
            <w:pPr>
              <w:jc w:val="center"/>
              <w:rPr>
                <w:rFonts w:eastAsia="Times New Roman" w:cs="Arial"/>
                <w:color w:val="000000"/>
                <w:lang w:eastAsia="en-GB"/>
              </w:rPr>
            </w:pPr>
            <w:r w:rsidRPr="003F111A">
              <w:rPr>
                <w:rFonts w:eastAsia="Times New Roman" w:cs="Arial"/>
                <w:color w:val="000000"/>
                <w:lang w:eastAsia="en-GB"/>
              </w:rPr>
              <w:t>Pea Protein Isolate</w:t>
            </w:r>
          </w:p>
        </w:tc>
        <w:tc>
          <w:tcPr>
            <w:tcW w:w="2272" w:type="dxa"/>
            <w:tcBorders>
              <w:top w:val="double" w:sz="4" w:space="0" w:color="auto"/>
              <w:left w:val="nil"/>
              <w:bottom w:val="double" w:sz="4" w:space="0" w:color="auto"/>
              <w:right w:val="nil"/>
            </w:tcBorders>
            <w:shd w:val="clear" w:color="auto" w:fill="auto"/>
            <w:noWrap/>
            <w:vAlign w:val="center"/>
            <w:hideMark/>
          </w:tcPr>
          <w:p w14:paraId="3B8FC25E" w14:textId="77777777" w:rsidR="005D1FB7" w:rsidRPr="003F111A" w:rsidRDefault="005D1FB7" w:rsidP="009D2E4E">
            <w:pPr>
              <w:jc w:val="center"/>
              <w:rPr>
                <w:rFonts w:eastAsia="Times New Roman" w:cs="Arial"/>
                <w:color w:val="000000"/>
                <w:lang w:eastAsia="en-GB"/>
              </w:rPr>
            </w:pPr>
            <w:r w:rsidRPr="003F111A">
              <w:rPr>
                <w:rFonts w:eastAsia="Times New Roman" w:cs="Arial"/>
                <w:i/>
                <w:iCs/>
                <w:color w:val="000000"/>
                <w:lang w:eastAsia="en-GB"/>
              </w:rPr>
              <w:t>P</w:t>
            </w:r>
            <w:r w:rsidRPr="003F111A">
              <w:rPr>
                <w:rFonts w:eastAsia="Times New Roman" w:cs="Arial"/>
                <w:color w:val="000000"/>
                <w:lang w:eastAsia="en-GB"/>
              </w:rPr>
              <w:t xml:space="preserve"> value </w:t>
            </w:r>
          </w:p>
        </w:tc>
      </w:tr>
      <w:tr w:rsidR="005D1FB7" w:rsidRPr="003F111A" w14:paraId="60ED3563" w14:textId="77777777" w:rsidTr="009D2E4E">
        <w:trPr>
          <w:trHeight w:val="300"/>
        </w:trPr>
        <w:tc>
          <w:tcPr>
            <w:tcW w:w="2694" w:type="dxa"/>
            <w:tcBorders>
              <w:top w:val="double" w:sz="4" w:space="0" w:color="auto"/>
              <w:left w:val="nil"/>
              <w:bottom w:val="nil"/>
              <w:right w:val="nil"/>
            </w:tcBorders>
            <w:shd w:val="clear" w:color="auto" w:fill="auto"/>
            <w:noWrap/>
            <w:vAlign w:val="bottom"/>
            <w:hideMark/>
          </w:tcPr>
          <w:p w14:paraId="142DA783" w14:textId="77777777" w:rsidR="005D1FB7" w:rsidRPr="003F111A" w:rsidRDefault="005D1FB7" w:rsidP="009D2E4E">
            <w:pPr>
              <w:jc w:val="center"/>
              <w:rPr>
                <w:rFonts w:eastAsia="Times New Roman" w:cs="Arial"/>
                <w:color w:val="000000"/>
                <w:lang w:eastAsia="en-GB"/>
              </w:rPr>
            </w:pPr>
            <w:r w:rsidRPr="003F111A">
              <w:rPr>
                <w:rFonts w:eastAsia="Times New Roman" w:cs="Arial"/>
                <w:color w:val="000000"/>
                <w:lang w:eastAsia="en-GB"/>
              </w:rPr>
              <w:t>Aspartic Acid</w:t>
            </w:r>
          </w:p>
        </w:tc>
        <w:tc>
          <w:tcPr>
            <w:tcW w:w="2268" w:type="dxa"/>
            <w:tcBorders>
              <w:top w:val="double" w:sz="4" w:space="0" w:color="auto"/>
              <w:left w:val="nil"/>
              <w:bottom w:val="nil"/>
              <w:right w:val="nil"/>
            </w:tcBorders>
            <w:shd w:val="clear" w:color="auto" w:fill="auto"/>
            <w:noWrap/>
            <w:vAlign w:val="bottom"/>
            <w:hideMark/>
          </w:tcPr>
          <w:p w14:paraId="36800C6E" w14:textId="77777777" w:rsidR="005D1FB7" w:rsidRPr="003F111A" w:rsidRDefault="005D1FB7" w:rsidP="009D2E4E">
            <w:pPr>
              <w:jc w:val="center"/>
              <w:rPr>
                <w:rFonts w:eastAsia="Times New Roman" w:cs="Arial"/>
                <w:color w:val="000000"/>
                <w:lang w:eastAsia="en-GB"/>
              </w:rPr>
            </w:pPr>
            <w:r w:rsidRPr="003F111A">
              <w:rPr>
                <w:rFonts w:eastAsia="Times New Roman" w:cs="Arial"/>
                <w:color w:val="000000"/>
                <w:lang w:eastAsia="en-GB"/>
              </w:rPr>
              <w:t>0.85 ± 0.12</w:t>
            </w:r>
          </w:p>
        </w:tc>
        <w:tc>
          <w:tcPr>
            <w:tcW w:w="2126" w:type="dxa"/>
            <w:tcBorders>
              <w:top w:val="double" w:sz="4" w:space="0" w:color="auto"/>
              <w:left w:val="nil"/>
              <w:bottom w:val="nil"/>
              <w:right w:val="nil"/>
            </w:tcBorders>
            <w:shd w:val="clear" w:color="auto" w:fill="auto"/>
            <w:noWrap/>
            <w:vAlign w:val="bottom"/>
            <w:hideMark/>
          </w:tcPr>
          <w:p w14:paraId="6969A882" w14:textId="77777777" w:rsidR="005D1FB7" w:rsidRPr="003F111A" w:rsidRDefault="005D1FB7" w:rsidP="009D2E4E">
            <w:pPr>
              <w:jc w:val="center"/>
              <w:rPr>
                <w:rFonts w:eastAsia="Times New Roman" w:cs="Arial"/>
                <w:color w:val="000000"/>
                <w:lang w:eastAsia="en-GB"/>
              </w:rPr>
            </w:pPr>
            <w:r w:rsidRPr="003F111A">
              <w:rPr>
                <w:rFonts w:eastAsia="Times New Roman" w:cs="Arial"/>
                <w:color w:val="000000"/>
                <w:lang w:eastAsia="en-GB"/>
              </w:rPr>
              <w:t>0.87 ± 0.24</w:t>
            </w:r>
          </w:p>
        </w:tc>
        <w:tc>
          <w:tcPr>
            <w:tcW w:w="2272" w:type="dxa"/>
            <w:tcBorders>
              <w:top w:val="double" w:sz="4" w:space="0" w:color="auto"/>
              <w:left w:val="nil"/>
              <w:bottom w:val="nil"/>
              <w:right w:val="nil"/>
            </w:tcBorders>
            <w:shd w:val="clear" w:color="auto" w:fill="auto"/>
            <w:noWrap/>
            <w:vAlign w:val="bottom"/>
            <w:hideMark/>
          </w:tcPr>
          <w:p w14:paraId="1572672F" w14:textId="77777777" w:rsidR="005D1FB7" w:rsidRPr="003F111A" w:rsidRDefault="005D1FB7" w:rsidP="009D2E4E">
            <w:pPr>
              <w:jc w:val="center"/>
              <w:rPr>
                <w:rFonts w:eastAsia="Times New Roman" w:cs="Arial"/>
                <w:color w:val="000000"/>
                <w:lang w:eastAsia="en-GB"/>
              </w:rPr>
            </w:pPr>
            <w:r w:rsidRPr="003F111A">
              <w:rPr>
                <w:rFonts w:eastAsia="Times New Roman" w:cs="Arial"/>
                <w:color w:val="000000"/>
                <w:lang w:eastAsia="en-GB"/>
              </w:rPr>
              <w:t>0.814</w:t>
            </w:r>
          </w:p>
        </w:tc>
      </w:tr>
      <w:tr w:rsidR="005D1FB7" w:rsidRPr="003F111A" w14:paraId="7D6243C1" w14:textId="77777777" w:rsidTr="009D2E4E">
        <w:trPr>
          <w:trHeight w:val="300"/>
        </w:trPr>
        <w:tc>
          <w:tcPr>
            <w:tcW w:w="2694" w:type="dxa"/>
            <w:tcBorders>
              <w:top w:val="nil"/>
              <w:left w:val="nil"/>
              <w:bottom w:val="nil"/>
              <w:right w:val="nil"/>
            </w:tcBorders>
            <w:shd w:val="clear" w:color="auto" w:fill="auto"/>
            <w:noWrap/>
            <w:vAlign w:val="bottom"/>
            <w:hideMark/>
          </w:tcPr>
          <w:p w14:paraId="07260377" w14:textId="77777777" w:rsidR="005D1FB7" w:rsidRPr="003F111A" w:rsidRDefault="005D1FB7" w:rsidP="009D2E4E">
            <w:pPr>
              <w:jc w:val="center"/>
              <w:rPr>
                <w:rFonts w:eastAsia="Times New Roman" w:cs="Arial"/>
                <w:color w:val="000000"/>
                <w:lang w:eastAsia="en-GB"/>
              </w:rPr>
            </w:pPr>
            <w:r w:rsidRPr="003F111A">
              <w:rPr>
                <w:rFonts w:eastAsia="Times New Roman" w:cs="Arial"/>
                <w:color w:val="000000"/>
                <w:lang w:eastAsia="en-GB"/>
              </w:rPr>
              <w:t>Serine</w:t>
            </w:r>
          </w:p>
        </w:tc>
        <w:tc>
          <w:tcPr>
            <w:tcW w:w="2268" w:type="dxa"/>
            <w:tcBorders>
              <w:top w:val="nil"/>
              <w:left w:val="nil"/>
              <w:bottom w:val="nil"/>
              <w:right w:val="nil"/>
            </w:tcBorders>
            <w:shd w:val="clear" w:color="auto" w:fill="auto"/>
            <w:noWrap/>
            <w:vAlign w:val="bottom"/>
            <w:hideMark/>
          </w:tcPr>
          <w:p w14:paraId="585FA04E" w14:textId="77777777" w:rsidR="005D1FB7" w:rsidRPr="003F111A" w:rsidRDefault="005D1FB7" w:rsidP="009D2E4E">
            <w:pPr>
              <w:jc w:val="center"/>
              <w:rPr>
                <w:rFonts w:eastAsia="Times New Roman" w:cs="Arial"/>
                <w:color w:val="000000"/>
                <w:lang w:eastAsia="en-GB"/>
              </w:rPr>
            </w:pPr>
            <w:r w:rsidRPr="003F111A">
              <w:rPr>
                <w:rFonts w:eastAsia="Times New Roman" w:cs="Arial"/>
                <w:color w:val="000000"/>
                <w:lang w:eastAsia="en-GB"/>
              </w:rPr>
              <w:t>0.42 ± 0.06</w:t>
            </w:r>
          </w:p>
        </w:tc>
        <w:tc>
          <w:tcPr>
            <w:tcW w:w="2126" w:type="dxa"/>
            <w:tcBorders>
              <w:top w:val="nil"/>
              <w:left w:val="nil"/>
              <w:bottom w:val="nil"/>
              <w:right w:val="nil"/>
            </w:tcBorders>
            <w:shd w:val="clear" w:color="auto" w:fill="auto"/>
            <w:noWrap/>
            <w:vAlign w:val="bottom"/>
            <w:hideMark/>
          </w:tcPr>
          <w:p w14:paraId="6795B364" w14:textId="77777777" w:rsidR="005D1FB7" w:rsidRPr="003F111A" w:rsidRDefault="005D1FB7" w:rsidP="009D2E4E">
            <w:pPr>
              <w:jc w:val="center"/>
              <w:rPr>
                <w:rFonts w:eastAsia="Times New Roman" w:cs="Arial"/>
                <w:color w:val="000000"/>
                <w:lang w:eastAsia="en-GB"/>
              </w:rPr>
            </w:pPr>
            <w:r w:rsidRPr="003F111A">
              <w:rPr>
                <w:rFonts w:eastAsia="Times New Roman" w:cs="Arial"/>
                <w:color w:val="000000"/>
                <w:lang w:eastAsia="en-GB"/>
              </w:rPr>
              <w:t>0.40 ±0.11</w:t>
            </w:r>
          </w:p>
        </w:tc>
        <w:tc>
          <w:tcPr>
            <w:tcW w:w="2272" w:type="dxa"/>
            <w:tcBorders>
              <w:top w:val="nil"/>
              <w:left w:val="nil"/>
              <w:bottom w:val="nil"/>
              <w:right w:val="nil"/>
            </w:tcBorders>
            <w:shd w:val="clear" w:color="auto" w:fill="auto"/>
            <w:noWrap/>
            <w:vAlign w:val="bottom"/>
            <w:hideMark/>
          </w:tcPr>
          <w:p w14:paraId="750FE21C" w14:textId="77777777" w:rsidR="005D1FB7" w:rsidRPr="003F111A" w:rsidRDefault="005D1FB7" w:rsidP="009D2E4E">
            <w:pPr>
              <w:jc w:val="center"/>
              <w:rPr>
                <w:rFonts w:eastAsia="Times New Roman" w:cs="Arial"/>
                <w:color w:val="000000"/>
                <w:lang w:eastAsia="en-GB"/>
              </w:rPr>
            </w:pPr>
            <w:r w:rsidRPr="003F111A">
              <w:rPr>
                <w:rFonts w:eastAsia="Times New Roman" w:cs="Arial"/>
                <w:color w:val="000000"/>
                <w:lang w:eastAsia="en-GB"/>
              </w:rPr>
              <w:t>0.692</w:t>
            </w:r>
          </w:p>
        </w:tc>
      </w:tr>
      <w:tr w:rsidR="005D1FB7" w:rsidRPr="003F111A" w14:paraId="680F6BD7" w14:textId="77777777" w:rsidTr="009D2E4E">
        <w:trPr>
          <w:trHeight w:val="300"/>
        </w:trPr>
        <w:tc>
          <w:tcPr>
            <w:tcW w:w="2694" w:type="dxa"/>
            <w:tcBorders>
              <w:top w:val="nil"/>
              <w:left w:val="nil"/>
              <w:bottom w:val="nil"/>
              <w:right w:val="nil"/>
            </w:tcBorders>
            <w:shd w:val="clear" w:color="auto" w:fill="auto"/>
            <w:noWrap/>
            <w:vAlign w:val="bottom"/>
            <w:hideMark/>
          </w:tcPr>
          <w:p w14:paraId="3DCE3F6B" w14:textId="77777777" w:rsidR="005D1FB7" w:rsidRPr="003F111A" w:rsidRDefault="005D1FB7" w:rsidP="009D2E4E">
            <w:pPr>
              <w:jc w:val="center"/>
              <w:rPr>
                <w:rFonts w:eastAsia="Times New Roman" w:cs="Arial"/>
                <w:color w:val="000000"/>
                <w:lang w:eastAsia="en-GB"/>
              </w:rPr>
            </w:pPr>
            <w:r w:rsidRPr="003F111A">
              <w:rPr>
                <w:rFonts w:eastAsia="Times New Roman" w:cs="Arial"/>
                <w:color w:val="000000"/>
                <w:lang w:eastAsia="en-GB"/>
              </w:rPr>
              <w:t xml:space="preserve">Glutamic acid </w:t>
            </w:r>
          </w:p>
        </w:tc>
        <w:tc>
          <w:tcPr>
            <w:tcW w:w="2268" w:type="dxa"/>
            <w:tcBorders>
              <w:top w:val="nil"/>
              <w:left w:val="nil"/>
              <w:bottom w:val="nil"/>
              <w:right w:val="nil"/>
            </w:tcBorders>
            <w:shd w:val="clear" w:color="auto" w:fill="auto"/>
            <w:noWrap/>
            <w:vAlign w:val="bottom"/>
            <w:hideMark/>
          </w:tcPr>
          <w:p w14:paraId="2C63D2E6" w14:textId="77777777" w:rsidR="005D1FB7" w:rsidRPr="003F111A" w:rsidRDefault="005D1FB7" w:rsidP="009D2E4E">
            <w:pPr>
              <w:jc w:val="center"/>
              <w:rPr>
                <w:rFonts w:eastAsia="Times New Roman" w:cs="Arial"/>
                <w:color w:val="000000"/>
                <w:lang w:eastAsia="en-GB"/>
              </w:rPr>
            </w:pPr>
            <w:r w:rsidRPr="003F111A">
              <w:rPr>
                <w:rFonts w:eastAsia="Times New Roman" w:cs="Arial"/>
                <w:color w:val="000000"/>
                <w:lang w:eastAsia="en-GB"/>
              </w:rPr>
              <w:t>1.33 ± 0.19</w:t>
            </w:r>
          </w:p>
        </w:tc>
        <w:tc>
          <w:tcPr>
            <w:tcW w:w="2126" w:type="dxa"/>
            <w:tcBorders>
              <w:top w:val="nil"/>
              <w:left w:val="nil"/>
              <w:bottom w:val="nil"/>
              <w:right w:val="nil"/>
            </w:tcBorders>
            <w:shd w:val="clear" w:color="auto" w:fill="auto"/>
            <w:noWrap/>
            <w:vAlign w:val="bottom"/>
            <w:hideMark/>
          </w:tcPr>
          <w:p w14:paraId="0C9E9208" w14:textId="77777777" w:rsidR="005D1FB7" w:rsidRPr="003F111A" w:rsidRDefault="005D1FB7" w:rsidP="009D2E4E">
            <w:pPr>
              <w:jc w:val="center"/>
              <w:rPr>
                <w:rFonts w:eastAsia="Times New Roman" w:cs="Arial"/>
                <w:color w:val="000000"/>
                <w:lang w:eastAsia="en-GB"/>
              </w:rPr>
            </w:pPr>
            <w:r w:rsidRPr="003F111A">
              <w:rPr>
                <w:rFonts w:eastAsia="Times New Roman" w:cs="Arial"/>
                <w:color w:val="000000"/>
                <w:lang w:eastAsia="en-GB"/>
              </w:rPr>
              <w:t>1.21 ± 0.33</w:t>
            </w:r>
          </w:p>
        </w:tc>
        <w:tc>
          <w:tcPr>
            <w:tcW w:w="2272" w:type="dxa"/>
            <w:tcBorders>
              <w:top w:val="nil"/>
              <w:left w:val="nil"/>
              <w:bottom w:val="nil"/>
              <w:right w:val="nil"/>
            </w:tcBorders>
            <w:shd w:val="clear" w:color="auto" w:fill="auto"/>
            <w:noWrap/>
            <w:vAlign w:val="bottom"/>
            <w:hideMark/>
          </w:tcPr>
          <w:p w14:paraId="3A54F388" w14:textId="77777777" w:rsidR="005D1FB7" w:rsidRPr="003F111A" w:rsidRDefault="005D1FB7" w:rsidP="009D2E4E">
            <w:pPr>
              <w:jc w:val="center"/>
              <w:rPr>
                <w:rFonts w:eastAsia="Times New Roman" w:cs="Arial"/>
                <w:color w:val="000000"/>
                <w:lang w:eastAsia="en-GB"/>
              </w:rPr>
            </w:pPr>
            <w:r w:rsidRPr="003F111A">
              <w:rPr>
                <w:rFonts w:eastAsia="Times New Roman" w:cs="Arial"/>
                <w:color w:val="000000"/>
                <w:lang w:eastAsia="en-GB"/>
              </w:rPr>
              <w:t>0.217</w:t>
            </w:r>
          </w:p>
        </w:tc>
      </w:tr>
      <w:tr w:rsidR="005D1FB7" w:rsidRPr="003F111A" w14:paraId="0DBFA84E" w14:textId="77777777" w:rsidTr="009D2E4E">
        <w:trPr>
          <w:trHeight w:val="300"/>
        </w:trPr>
        <w:tc>
          <w:tcPr>
            <w:tcW w:w="2694" w:type="dxa"/>
            <w:tcBorders>
              <w:top w:val="nil"/>
              <w:left w:val="nil"/>
              <w:bottom w:val="nil"/>
              <w:right w:val="nil"/>
            </w:tcBorders>
            <w:shd w:val="clear" w:color="auto" w:fill="auto"/>
            <w:noWrap/>
            <w:vAlign w:val="bottom"/>
            <w:hideMark/>
          </w:tcPr>
          <w:p w14:paraId="32A9033A" w14:textId="77777777" w:rsidR="005D1FB7" w:rsidRPr="003F111A" w:rsidRDefault="005D1FB7" w:rsidP="009D2E4E">
            <w:pPr>
              <w:jc w:val="center"/>
              <w:rPr>
                <w:rFonts w:eastAsia="Times New Roman" w:cs="Arial"/>
                <w:color w:val="000000"/>
                <w:lang w:eastAsia="en-GB"/>
              </w:rPr>
            </w:pPr>
            <w:r w:rsidRPr="003F111A">
              <w:rPr>
                <w:rFonts w:eastAsia="Times New Roman" w:cs="Arial"/>
                <w:color w:val="000000"/>
                <w:lang w:eastAsia="en-GB"/>
              </w:rPr>
              <w:t xml:space="preserve">Glycine </w:t>
            </w:r>
          </w:p>
        </w:tc>
        <w:tc>
          <w:tcPr>
            <w:tcW w:w="2268" w:type="dxa"/>
            <w:tcBorders>
              <w:top w:val="nil"/>
              <w:left w:val="nil"/>
              <w:bottom w:val="nil"/>
              <w:right w:val="nil"/>
            </w:tcBorders>
            <w:shd w:val="clear" w:color="auto" w:fill="auto"/>
            <w:noWrap/>
            <w:vAlign w:val="bottom"/>
            <w:hideMark/>
          </w:tcPr>
          <w:p w14:paraId="18EDA608" w14:textId="77777777" w:rsidR="005D1FB7" w:rsidRPr="003F111A" w:rsidRDefault="005D1FB7" w:rsidP="009D2E4E">
            <w:pPr>
              <w:jc w:val="center"/>
              <w:rPr>
                <w:rFonts w:eastAsia="Times New Roman" w:cs="Arial"/>
                <w:color w:val="000000"/>
                <w:lang w:eastAsia="en-GB"/>
              </w:rPr>
            </w:pPr>
            <w:r w:rsidRPr="003F111A">
              <w:rPr>
                <w:rFonts w:eastAsia="Times New Roman" w:cs="Arial"/>
                <w:color w:val="000000"/>
                <w:lang w:eastAsia="en-GB"/>
              </w:rPr>
              <w:t>0.15 ± 0.02</w:t>
            </w:r>
          </w:p>
        </w:tc>
        <w:tc>
          <w:tcPr>
            <w:tcW w:w="2126" w:type="dxa"/>
            <w:tcBorders>
              <w:top w:val="nil"/>
              <w:left w:val="nil"/>
              <w:bottom w:val="nil"/>
              <w:right w:val="nil"/>
            </w:tcBorders>
            <w:shd w:val="clear" w:color="auto" w:fill="auto"/>
            <w:noWrap/>
            <w:vAlign w:val="bottom"/>
            <w:hideMark/>
          </w:tcPr>
          <w:p w14:paraId="70075233" w14:textId="77777777" w:rsidR="005D1FB7" w:rsidRPr="003F111A" w:rsidRDefault="005D1FB7" w:rsidP="009D2E4E">
            <w:pPr>
              <w:jc w:val="center"/>
              <w:rPr>
                <w:rFonts w:eastAsia="Times New Roman" w:cs="Arial"/>
                <w:color w:val="000000"/>
                <w:lang w:eastAsia="en-GB"/>
              </w:rPr>
            </w:pPr>
            <w:r w:rsidRPr="003F111A">
              <w:rPr>
                <w:rFonts w:eastAsia="Times New Roman" w:cs="Arial"/>
                <w:color w:val="000000"/>
                <w:lang w:eastAsia="en-GB"/>
              </w:rPr>
              <w:t>0.30 ± 0.08</w:t>
            </w:r>
          </w:p>
        </w:tc>
        <w:tc>
          <w:tcPr>
            <w:tcW w:w="2272" w:type="dxa"/>
            <w:tcBorders>
              <w:top w:val="nil"/>
              <w:left w:val="nil"/>
              <w:bottom w:val="nil"/>
              <w:right w:val="nil"/>
            </w:tcBorders>
            <w:shd w:val="clear" w:color="auto" w:fill="auto"/>
            <w:noWrap/>
            <w:vAlign w:val="bottom"/>
            <w:hideMark/>
          </w:tcPr>
          <w:p w14:paraId="63E971CD" w14:textId="77777777" w:rsidR="005D1FB7" w:rsidRPr="003F111A" w:rsidRDefault="005D1FB7" w:rsidP="009D2E4E">
            <w:pPr>
              <w:jc w:val="center"/>
              <w:rPr>
                <w:rFonts w:eastAsia="Times New Roman" w:cs="Arial"/>
                <w:b/>
                <w:bCs/>
                <w:color w:val="000000"/>
                <w:lang w:eastAsia="en-GB"/>
              </w:rPr>
            </w:pPr>
            <w:r w:rsidRPr="003F111A">
              <w:rPr>
                <w:rFonts w:eastAsia="Times New Roman" w:cs="Arial"/>
                <w:b/>
                <w:bCs/>
                <w:color w:val="000000"/>
                <w:lang w:eastAsia="en-GB"/>
              </w:rPr>
              <w:t>&lt;0.001*</w:t>
            </w:r>
          </w:p>
        </w:tc>
      </w:tr>
      <w:tr w:rsidR="005D1FB7" w:rsidRPr="003F111A" w14:paraId="59108ED7" w14:textId="77777777" w:rsidTr="009D2E4E">
        <w:trPr>
          <w:trHeight w:val="300"/>
        </w:trPr>
        <w:tc>
          <w:tcPr>
            <w:tcW w:w="2694" w:type="dxa"/>
            <w:tcBorders>
              <w:top w:val="nil"/>
              <w:left w:val="nil"/>
              <w:bottom w:val="nil"/>
              <w:right w:val="nil"/>
            </w:tcBorders>
            <w:shd w:val="clear" w:color="auto" w:fill="auto"/>
            <w:noWrap/>
            <w:vAlign w:val="bottom"/>
            <w:hideMark/>
          </w:tcPr>
          <w:p w14:paraId="0CA88238" w14:textId="77777777" w:rsidR="005D1FB7" w:rsidRPr="003F111A" w:rsidRDefault="005D1FB7" w:rsidP="009D2E4E">
            <w:pPr>
              <w:jc w:val="center"/>
              <w:rPr>
                <w:rFonts w:eastAsia="Times New Roman" w:cs="Arial"/>
                <w:color w:val="000000"/>
                <w:lang w:eastAsia="en-GB"/>
              </w:rPr>
            </w:pPr>
            <w:r w:rsidRPr="003F111A">
              <w:rPr>
                <w:rFonts w:eastAsia="Times New Roman" w:cs="Arial"/>
                <w:color w:val="000000"/>
                <w:lang w:eastAsia="en-GB"/>
              </w:rPr>
              <w:t>Histidine</w:t>
            </w:r>
          </w:p>
        </w:tc>
        <w:tc>
          <w:tcPr>
            <w:tcW w:w="2268" w:type="dxa"/>
            <w:tcBorders>
              <w:top w:val="nil"/>
              <w:left w:val="nil"/>
              <w:bottom w:val="nil"/>
              <w:right w:val="nil"/>
            </w:tcBorders>
            <w:shd w:val="clear" w:color="auto" w:fill="auto"/>
            <w:noWrap/>
            <w:vAlign w:val="bottom"/>
            <w:hideMark/>
          </w:tcPr>
          <w:p w14:paraId="37985591" w14:textId="77777777" w:rsidR="005D1FB7" w:rsidRPr="003F111A" w:rsidRDefault="005D1FB7" w:rsidP="009D2E4E">
            <w:pPr>
              <w:jc w:val="center"/>
              <w:rPr>
                <w:rFonts w:eastAsia="Times New Roman" w:cs="Arial"/>
                <w:color w:val="000000"/>
                <w:lang w:eastAsia="en-GB"/>
              </w:rPr>
            </w:pPr>
            <w:r w:rsidRPr="003F111A">
              <w:rPr>
                <w:rFonts w:eastAsia="Times New Roman" w:cs="Arial"/>
                <w:color w:val="000000"/>
                <w:lang w:eastAsia="en-GB"/>
              </w:rPr>
              <w:t>0.13 ± 0.02</w:t>
            </w:r>
          </w:p>
        </w:tc>
        <w:tc>
          <w:tcPr>
            <w:tcW w:w="2126" w:type="dxa"/>
            <w:tcBorders>
              <w:top w:val="nil"/>
              <w:left w:val="nil"/>
              <w:bottom w:val="nil"/>
              <w:right w:val="nil"/>
            </w:tcBorders>
            <w:shd w:val="clear" w:color="auto" w:fill="auto"/>
            <w:noWrap/>
            <w:vAlign w:val="bottom"/>
            <w:hideMark/>
          </w:tcPr>
          <w:p w14:paraId="6A17707E" w14:textId="77777777" w:rsidR="005D1FB7" w:rsidRPr="003F111A" w:rsidRDefault="005D1FB7" w:rsidP="009D2E4E">
            <w:pPr>
              <w:jc w:val="center"/>
              <w:rPr>
                <w:rFonts w:eastAsia="Times New Roman" w:cs="Arial"/>
                <w:color w:val="000000"/>
                <w:lang w:eastAsia="en-GB"/>
              </w:rPr>
            </w:pPr>
            <w:r w:rsidRPr="003F111A">
              <w:rPr>
                <w:rFonts w:eastAsia="Times New Roman" w:cs="Arial"/>
                <w:color w:val="000000"/>
                <w:lang w:eastAsia="en-GB"/>
              </w:rPr>
              <w:t>0.17 ± 0.05</w:t>
            </w:r>
          </w:p>
        </w:tc>
        <w:tc>
          <w:tcPr>
            <w:tcW w:w="2272" w:type="dxa"/>
            <w:tcBorders>
              <w:top w:val="nil"/>
              <w:left w:val="nil"/>
              <w:bottom w:val="nil"/>
              <w:right w:val="nil"/>
            </w:tcBorders>
            <w:shd w:val="clear" w:color="auto" w:fill="auto"/>
            <w:noWrap/>
            <w:vAlign w:val="bottom"/>
            <w:hideMark/>
          </w:tcPr>
          <w:p w14:paraId="2043834B" w14:textId="77777777" w:rsidR="005D1FB7" w:rsidRPr="003F111A" w:rsidRDefault="005D1FB7" w:rsidP="009D2E4E">
            <w:pPr>
              <w:jc w:val="center"/>
              <w:rPr>
                <w:rFonts w:eastAsia="Times New Roman" w:cs="Arial"/>
                <w:b/>
                <w:bCs/>
                <w:color w:val="000000"/>
                <w:lang w:eastAsia="en-GB"/>
              </w:rPr>
            </w:pPr>
            <w:r w:rsidRPr="003F111A">
              <w:rPr>
                <w:rFonts w:eastAsia="Times New Roman" w:cs="Arial"/>
                <w:b/>
                <w:bCs/>
                <w:color w:val="000000"/>
                <w:lang w:eastAsia="en-GB"/>
              </w:rPr>
              <w:t>0.017*</w:t>
            </w:r>
          </w:p>
        </w:tc>
      </w:tr>
      <w:tr w:rsidR="005D1FB7" w:rsidRPr="003F111A" w14:paraId="0C064B64" w14:textId="77777777" w:rsidTr="009D2E4E">
        <w:trPr>
          <w:trHeight w:val="300"/>
        </w:trPr>
        <w:tc>
          <w:tcPr>
            <w:tcW w:w="2694" w:type="dxa"/>
            <w:tcBorders>
              <w:top w:val="nil"/>
              <w:left w:val="nil"/>
              <w:bottom w:val="nil"/>
              <w:right w:val="nil"/>
            </w:tcBorders>
            <w:shd w:val="clear" w:color="auto" w:fill="auto"/>
            <w:noWrap/>
            <w:vAlign w:val="bottom"/>
            <w:hideMark/>
          </w:tcPr>
          <w:p w14:paraId="6B44A997" w14:textId="77777777" w:rsidR="005D1FB7" w:rsidRPr="003F111A" w:rsidRDefault="005D1FB7" w:rsidP="009D2E4E">
            <w:pPr>
              <w:jc w:val="center"/>
              <w:rPr>
                <w:rFonts w:eastAsia="Times New Roman" w:cs="Arial"/>
                <w:color w:val="000000"/>
                <w:lang w:eastAsia="en-GB"/>
              </w:rPr>
            </w:pPr>
            <w:r w:rsidRPr="003F111A">
              <w:rPr>
                <w:rFonts w:eastAsia="Times New Roman" w:cs="Arial"/>
                <w:color w:val="000000"/>
                <w:lang w:eastAsia="en-GB"/>
              </w:rPr>
              <w:t xml:space="preserve">Arginine </w:t>
            </w:r>
          </w:p>
        </w:tc>
        <w:tc>
          <w:tcPr>
            <w:tcW w:w="2268" w:type="dxa"/>
            <w:tcBorders>
              <w:top w:val="nil"/>
              <w:left w:val="nil"/>
              <w:bottom w:val="nil"/>
              <w:right w:val="nil"/>
            </w:tcBorders>
            <w:shd w:val="clear" w:color="auto" w:fill="auto"/>
            <w:noWrap/>
            <w:vAlign w:val="bottom"/>
            <w:hideMark/>
          </w:tcPr>
          <w:p w14:paraId="442AFDBE" w14:textId="77777777" w:rsidR="005D1FB7" w:rsidRPr="003F111A" w:rsidRDefault="005D1FB7" w:rsidP="009D2E4E">
            <w:pPr>
              <w:jc w:val="center"/>
              <w:rPr>
                <w:rFonts w:eastAsia="Times New Roman" w:cs="Arial"/>
                <w:color w:val="000000"/>
                <w:lang w:eastAsia="en-GB"/>
              </w:rPr>
            </w:pPr>
            <w:r w:rsidRPr="003F111A">
              <w:rPr>
                <w:rFonts w:eastAsia="Times New Roman" w:cs="Arial"/>
                <w:color w:val="000000"/>
                <w:lang w:eastAsia="en-GB"/>
              </w:rPr>
              <w:t>0.18 ± 0.03</w:t>
            </w:r>
          </w:p>
        </w:tc>
        <w:tc>
          <w:tcPr>
            <w:tcW w:w="2126" w:type="dxa"/>
            <w:tcBorders>
              <w:top w:val="nil"/>
              <w:left w:val="nil"/>
              <w:bottom w:val="nil"/>
              <w:right w:val="nil"/>
            </w:tcBorders>
            <w:shd w:val="clear" w:color="auto" w:fill="auto"/>
            <w:noWrap/>
            <w:vAlign w:val="bottom"/>
            <w:hideMark/>
          </w:tcPr>
          <w:p w14:paraId="40552D7A" w14:textId="77777777" w:rsidR="005D1FB7" w:rsidRPr="003F111A" w:rsidRDefault="005D1FB7" w:rsidP="009D2E4E">
            <w:pPr>
              <w:jc w:val="center"/>
              <w:rPr>
                <w:rFonts w:eastAsia="Times New Roman" w:cs="Arial"/>
                <w:color w:val="000000"/>
                <w:lang w:eastAsia="en-GB"/>
              </w:rPr>
            </w:pPr>
            <w:r w:rsidRPr="003F111A">
              <w:rPr>
                <w:rFonts w:eastAsia="Times New Roman" w:cs="Arial"/>
                <w:color w:val="000000"/>
                <w:lang w:eastAsia="en-GB"/>
              </w:rPr>
              <w:t>0.59 ± 0.14</w:t>
            </w:r>
          </w:p>
        </w:tc>
        <w:tc>
          <w:tcPr>
            <w:tcW w:w="2272" w:type="dxa"/>
            <w:tcBorders>
              <w:top w:val="nil"/>
              <w:left w:val="nil"/>
              <w:bottom w:val="nil"/>
              <w:right w:val="nil"/>
            </w:tcBorders>
            <w:shd w:val="clear" w:color="auto" w:fill="auto"/>
            <w:noWrap/>
            <w:vAlign w:val="bottom"/>
            <w:hideMark/>
          </w:tcPr>
          <w:p w14:paraId="1EBE77CA" w14:textId="77777777" w:rsidR="005D1FB7" w:rsidRPr="003F111A" w:rsidRDefault="005D1FB7" w:rsidP="009D2E4E">
            <w:pPr>
              <w:jc w:val="center"/>
              <w:rPr>
                <w:rFonts w:eastAsia="Times New Roman" w:cs="Arial"/>
                <w:b/>
                <w:bCs/>
                <w:color w:val="000000"/>
                <w:lang w:eastAsia="en-GB"/>
              </w:rPr>
            </w:pPr>
            <w:r w:rsidRPr="003F111A">
              <w:rPr>
                <w:rFonts w:eastAsia="Times New Roman" w:cs="Arial"/>
                <w:b/>
                <w:bCs/>
                <w:color w:val="000000"/>
                <w:lang w:eastAsia="en-GB"/>
              </w:rPr>
              <w:t>&lt;0.001*</w:t>
            </w:r>
          </w:p>
        </w:tc>
      </w:tr>
      <w:tr w:rsidR="005D1FB7" w:rsidRPr="003F111A" w14:paraId="7625984C" w14:textId="77777777" w:rsidTr="009D2E4E">
        <w:trPr>
          <w:trHeight w:val="300"/>
        </w:trPr>
        <w:tc>
          <w:tcPr>
            <w:tcW w:w="2694" w:type="dxa"/>
            <w:tcBorders>
              <w:top w:val="nil"/>
              <w:left w:val="nil"/>
              <w:bottom w:val="nil"/>
              <w:right w:val="nil"/>
            </w:tcBorders>
            <w:shd w:val="clear" w:color="auto" w:fill="auto"/>
            <w:noWrap/>
            <w:vAlign w:val="bottom"/>
            <w:hideMark/>
          </w:tcPr>
          <w:p w14:paraId="6886E7FC" w14:textId="77777777" w:rsidR="005D1FB7" w:rsidRPr="003F111A" w:rsidRDefault="005D1FB7" w:rsidP="009D2E4E">
            <w:pPr>
              <w:jc w:val="center"/>
              <w:rPr>
                <w:rFonts w:eastAsia="Times New Roman" w:cs="Arial"/>
                <w:color w:val="000000"/>
                <w:lang w:eastAsia="en-GB"/>
              </w:rPr>
            </w:pPr>
            <w:r w:rsidRPr="003F111A">
              <w:rPr>
                <w:rFonts w:eastAsia="Times New Roman" w:cs="Arial"/>
                <w:color w:val="000000"/>
                <w:lang w:eastAsia="en-GB"/>
              </w:rPr>
              <w:t>Threonine</w:t>
            </w:r>
          </w:p>
        </w:tc>
        <w:tc>
          <w:tcPr>
            <w:tcW w:w="2268" w:type="dxa"/>
            <w:tcBorders>
              <w:top w:val="nil"/>
              <w:left w:val="nil"/>
              <w:bottom w:val="nil"/>
              <w:right w:val="nil"/>
            </w:tcBorders>
            <w:shd w:val="clear" w:color="auto" w:fill="auto"/>
            <w:noWrap/>
            <w:vAlign w:val="bottom"/>
            <w:hideMark/>
          </w:tcPr>
          <w:p w14:paraId="1A7E9247" w14:textId="77777777" w:rsidR="005D1FB7" w:rsidRPr="003F111A" w:rsidRDefault="005D1FB7" w:rsidP="009D2E4E">
            <w:pPr>
              <w:jc w:val="center"/>
              <w:rPr>
                <w:rFonts w:eastAsia="Times New Roman" w:cs="Arial"/>
                <w:color w:val="000000"/>
                <w:lang w:eastAsia="en-GB"/>
              </w:rPr>
            </w:pPr>
            <w:r w:rsidRPr="003F111A">
              <w:rPr>
                <w:rFonts w:eastAsia="Times New Roman" w:cs="Arial"/>
                <w:color w:val="000000"/>
                <w:lang w:eastAsia="en-GB"/>
              </w:rPr>
              <w:t>0.53 ±0.07</w:t>
            </w:r>
          </w:p>
        </w:tc>
        <w:tc>
          <w:tcPr>
            <w:tcW w:w="2126" w:type="dxa"/>
            <w:tcBorders>
              <w:top w:val="nil"/>
              <w:left w:val="nil"/>
              <w:bottom w:val="nil"/>
              <w:right w:val="nil"/>
            </w:tcBorders>
            <w:shd w:val="clear" w:color="auto" w:fill="auto"/>
            <w:noWrap/>
            <w:vAlign w:val="bottom"/>
            <w:hideMark/>
          </w:tcPr>
          <w:p w14:paraId="04BE7E92" w14:textId="77777777" w:rsidR="005D1FB7" w:rsidRPr="003F111A" w:rsidRDefault="005D1FB7" w:rsidP="009D2E4E">
            <w:pPr>
              <w:jc w:val="center"/>
              <w:rPr>
                <w:rFonts w:eastAsia="Times New Roman" w:cs="Arial"/>
                <w:color w:val="000000"/>
                <w:lang w:eastAsia="en-GB"/>
              </w:rPr>
            </w:pPr>
            <w:r w:rsidRPr="003F111A">
              <w:rPr>
                <w:rFonts w:eastAsia="Times New Roman" w:cs="Arial"/>
                <w:color w:val="000000"/>
                <w:lang w:eastAsia="en-GB"/>
              </w:rPr>
              <w:t>0.26 ± 0.07</w:t>
            </w:r>
          </w:p>
        </w:tc>
        <w:tc>
          <w:tcPr>
            <w:tcW w:w="2272" w:type="dxa"/>
            <w:tcBorders>
              <w:top w:val="nil"/>
              <w:left w:val="nil"/>
              <w:bottom w:val="nil"/>
              <w:right w:val="nil"/>
            </w:tcBorders>
            <w:shd w:val="clear" w:color="auto" w:fill="auto"/>
            <w:noWrap/>
            <w:vAlign w:val="bottom"/>
            <w:hideMark/>
          </w:tcPr>
          <w:p w14:paraId="1B0A532D" w14:textId="77777777" w:rsidR="005D1FB7" w:rsidRPr="003F111A" w:rsidRDefault="005D1FB7" w:rsidP="009D2E4E">
            <w:pPr>
              <w:jc w:val="center"/>
              <w:rPr>
                <w:rFonts w:eastAsia="Times New Roman" w:cs="Arial"/>
                <w:b/>
                <w:bCs/>
                <w:color w:val="000000"/>
                <w:lang w:eastAsia="en-GB"/>
              </w:rPr>
            </w:pPr>
            <w:r w:rsidRPr="003F111A">
              <w:rPr>
                <w:rFonts w:eastAsia="Times New Roman" w:cs="Arial"/>
                <w:b/>
                <w:bCs/>
                <w:color w:val="000000"/>
                <w:lang w:eastAsia="en-GB"/>
              </w:rPr>
              <w:t>&lt;0.001*</w:t>
            </w:r>
          </w:p>
        </w:tc>
      </w:tr>
      <w:tr w:rsidR="005D1FB7" w:rsidRPr="003F111A" w14:paraId="55559FF1" w14:textId="77777777" w:rsidTr="009D2E4E">
        <w:trPr>
          <w:trHeight w:val="300"/>
        </w:trPr>
        <w:tc>
          <w:tcPr>
            <w:tcW w:w="2694" w:type="dxa"/>
            <w:tcBorders>
              <w:top w:val="nil"/>
              <w:left w:val="nil"/>
              <w:bottom w:val="nil"/>
              <w:right w:val="nil"/>
            </w:tcBorders>
            <w:shd w:val="clear" w:color="auto" w:fill="auto"/>
            <w:noWrap/>
            <w:vAlign w:val="bottom"/>
            <w:hideMark/>
          </w:tcPr>
          <w:p w14:paraId="1B50893B" w14:textId="77777777" w:rsidR="005D1FB7" w:rsidRPr="003F111A" w:rsidRDefault="005D1FB7" w:rsidP="009D2E4E">
            <w:pPr>
              <w:jc w:val="center"/>
              <w:rPr>
                <w:rFonts w:eastAsia="Times New Roman" w:cs="Arial"/>
                <w:color w:val="000000"/>
                <w:lang w:eastAsia="en-GB"/>
              </w:rPr>
            </w:pPr>
            <w:r w:rsidRPr="003F111A">
              <w:rPr>
                <w:rFonts w:eastAsia="Times New Roman" w:cs="Arial"/>
                <w:color w:val="000000"/>
                <w:lang w:eastAsia="en-GB"/>
              </w:rPr>
              <w:t>Alanine</w:t>
            </w:r>
          </w:p>
        </w:tc>
        <w:tc>
          <w:tcPr>
            <w:tcW w:w="2268" w:type="dxa"/>
            <w:tcBorders>
              <w:top w:val="nil"/>
              <w:left w:val="nil"/>
              <w:bottom w:val="nil"/>
              <w:right w:val="nil"/>
            </w:tcBorders>
            <w:shd w:val="clear" w:color="auto" w:fill="auto"/>
            <w:noWrap/>
            <w:vAlign w:val="bottom"/>
            <w:hideMark/>
          </w:tcPr>
          <w:p w14:paraId="7BAD6C61" w14:textId="77777777" w:rsidR="005D1FB7" w:rsidRPr="003F111A" w:rsidRDefault="005D1FB7" w:rsidP="009D2E4E">
            <w:pPr>
              <w:jc w:val="center"/>
              <w:rPr>
                <w:rFonts w:eastAsia="Times New Roman" w:cs="Arial"/>
                <w:color w:val="000000"/>
                <w:lang w:eastAsia="en-GB"/>
              </w:rPr>
            </w:pPr>
            <w:r w:rsidRPr="003F111A">
              <w:rPr>
                <w:rFonts w:eastAsia="Times New Roman" w:cs="Arial"/>
                <w:color w:val="000000"/>
                <w:lang w:eastAsia="en-GB"/>
              </w:rPr>
              <w:t>0.39 ± 0.05</w:t>
            </w:r>
          </w:p>
        </w:tc>
        <w:tc>
          <w:tcPr>
            <w:tcW w:w="2126" w:type="dxa"/>
            <w:tcBorders>
              <w:top w:val="nil"/>
              <w:left w:val="nil"/>
              <w:bottom w:val="nil"/>
              <w:right w:val="nil"/>
            </w:tcBorders>
            <w:shd w:val="clear" w:color="auto" w:fill="auto"/>
            <w:noWrap/>
            <w:vAlign w:val="bottom"/>
            <w:hideMark/>
          </w:tcPr>
          <w:p w14:paraId="4723BE2C" w14:textId="77777777" w:rsidR="005D1FB7" w:rsidRPr="003F111A" w:rsidRDefault="005D1FB7" w:rsidP="009D2E4E">
            <w:pPr>
              <w:jc w:val="center"/>
              <w:rPr>
                <w:rFonts w:eastAsia="Times New Roman" w:cs="Arial"/>
                <w:color w:val="000000"/>
                <w:lang w:eastAsia="en-GB"/>
              </w:rPr>
            </w:pPr>
            <w:r w:rsidRPr="003F111A">
              <w:rPr>
                <w:rFonts w:eastAsia="Times New Roman" w:cs="Arial"/>
                <w:color w:val="000000"/>
                <w:lang w:eastAsia="en-GB"/>
              </w:rPr>
              <w:t>0.31 ±0.08</w:t>
            </w:r>
          </w:p>
        </w:tc>
        <w:tc>
          <w:tcPr>
            <w:tcW w:w="2272" w:type="dxa"/>
            <w:tcBorders>
              <w:top w:val="nil"/>
              <w:left w:val="nil"/>
              <w:bottom w:val="nil"/>
              <w:right w:val="nil"/>
            </w:tcBorders>
            <w:shd w:val="clear" w:color="auto" w:fill="auto"/>
            <w:noWrap/>
            <w:vAlign w:val="bottom"/>
            <w:hideMark/>
          </w:tcPr>
          <w:p w14:paraId="41437E6B" w14:textId="77777777" w:rsidR="005D1FB7" w:rsidRPr="003F111A" w:rsidRDefault="005D1FB7" w:rsidP="009D2E4E">
            <w:pPr>
              <w:jc w:val="center"/>
              <w:rPr>
                <w:rFonts w:eastAsia="Times New Roman" w:cs="Arial"/>
                <w:b/>
                <w:bCs/>
                <w:color w:val="000000"/>
                <w:lang w:eastAsia="en-GB"/>
              </w:rPr>
            </w:pPr>
            <w:r w:rsidRPr="003F111A">
              <w:rPr>
                <w:rFonts w:eastAsia="Times New Roman" w:cs="Arial"/>
                <w:b/>
                <w:bCs/>
                <w:color w:val="000000"/>
                <w:lang w:eastAsia="en-GB"/>
              </w:rPr>
              <w:t>0.009*</w:t>
            </w:r>
          </w:p>
        </w:tc>
      </w:tr>
      <w:tr w:rsidR="005D1FB7" w:rsidRPr="003F111A" w14:paraId="10863973" w14:textId="77777777" w:rsidTr="009D2E4E">
        <w:trPr>
          <w:trHeight w:val="300"/>
        </w:trPr>
        <w:tc>
          <w:tcPr>
            <w:tcW w:w="2694" w:type="dxa"/>
            <w:tcBorders>
              <w:top w:val="nil"/>
              <w:left w:val="nil"/>
              <w:bottom w:val="nil"/>
              <w:right w:val="nil"/>
            </w:tcBorders>
            <w:shd w:val="clear" w:color="auto" w:fill="auto"/>
            <w:noWrap/>
            <w:vAlign w:val="bottom"/>
            <w:hideMark/>
          </w:tcPr>
          <w:p w14:paraId="50E5CEEB" w14:textId="77777777" w:rsidR="005D1FB7" w:rsidRPr="003F111A" w:rsidRDefault="005D1FB7" w:rsidP="009D2E4E">
            <w:pPr>
              <w:jc w:val="center"/>
              <w:rPr>
                <w:rFonts w:eastAsia="Times New Roman" w:cs="Arial"/>
                <w:color w:val="000000"/>
                <w:lang w:eastAsia="en-GB"/>
              </w:rPr>
            </w:pPr>
            <w:r w:rsidRPr="003F111A">
              <w:rPr>
                <w:rFonts w:eastAsia="Times New Roman" w:cs="Arial"/>
                <w:color w:val="000000"/>
                <w:lang w:eastAsia="en-GB"/>
              </w:rPr>
              <w:t>Proline</w:t>
            </w:r>
          </w:p>
        </w:tc>
        <w:tc>
          <w:tcPr>
            <w:tcW w:w="2268" w:type="dxa"/>
            <w:tcBorders>
              <w:top w:val="nil"/>
              <w:left w:val="nil"/>
              <w:bottom w:val="nil"/>
              <w:right w:val="nil"/>
            </w:tcBorders>
            <w:shd w:val="clear" w:color="auto" w:fill="auto"/>
            <w:noWrap/>
            <w:vAlign w:val="bottom"/>
            <w:hideMark/>
          </w:tcPr>
          <w:p w14:paraId="1B3FFC91" w14:textId="77777777" w:rsidR="005D1FB7" w:rsidRPr="003F111A" w:rsidRDefault="005D1FB7" w:rsidP="009D2E4E">
            <w:pPr>
              <w:jc w:val="center"/>
              <w:rPr>
                <w:rFonts w:eastAsia="Times New Roman" w:cs="Arial"/>
                <w:color w:val="000000"/>
                <w:lang w:eastAsia="en-GB"/>
              </w:rPr>
            </w:pPr>
            <w:r w:rsidRPr="003F111A">
              <w:rPr>
                <w:rFonts w:eastAsia="Times New Roman" w:cs="Arial"/>
                <w:color w:val="000000"/>
                <w:lang w:eastAsia="en-GB"/>
              </w:rPr>
              <w:t>0.47 ± 0.06</w:t>
            </w:r>
          </w:p>
        </w:tc>
        <w:tc>
          <w:tcPr>
            <w:tcW w:w="2126" w:type="dxa"/>
            <w:tcBorders>
              <w:top w:val="nil"/>
              <w:left w:val="nil"/>
              <w:bottom w:val="nil"/>
              <w:right w:val="nil"/>
            </w:tcBorders>
            <w:shd w:val="clear" w:color="auto" w:fill="auto"/>
            <w:noWrap/>
            <w:vAlign w:val="bottom"/>
            <w:hideMark/>
          </w:tcPr>
          <w:p w14:paraId="00C90F6F" w14:textId="77777777" w:rsidR="005D1FB7" w:rsidRPr="003F111A" w:rsidRDefault="005D1FB7" w:rsidP="009D2E4E">
            <w:pPr>
              <w:jc w:val="center"/>
              <w:rPr>
                <w:rFonts w:eastAsia="Times New Roman" w:cs="Arial"/>
                <w:color w:val="000000"/>
                <w:lang w:eastAsia="en-GB"/>
              </w:rPr>
            </w:pPr>
            <w:r w:rsidRPr="003F111A">
              <w:rPr>
                <w:rFonts w:eastAsia="Times New Roman" w:cs="Arial"/>
                <w:color w:val="000000"/>
                <w:lang w:eastAsia="en-GB"/>
              </w:rPr>
              <w:t>0.33 ± 0.09</w:t>
            </w:r>
          </w:p>
        </w:tc>
        <w:tc>
          <w:tcPr>
            <w:tcW w:w="2272" w:type="dxa"/>
            <w:tcBorders>
              <w:top w:val="nil"/>
              <w:left w:val="nil"/>
              <w:bottom w:val="nil"/>
              <w:right w:val="nil"/>
            </w:tcBorders>
            <w:shd w:val="clear" w:color="auto" w:fill="auto"/>
            <w:noWrap/>
            <w:vAlign w:val="bottom"/>
            <w:hideMark/>
          </w:tcPr>
          <w:p w14:paraId="3C61D71D" w14:textId="77777777" w:rsidR="005D1FB7" w:rsidRPr="003F111A" w:rsidRDefault="005D1FB7" w:rsidP="009D2E4E">
            <w:pPr>
              <w:jc w:val="center"/>
              <w:rPr>
                <w:rFonts w:eastAsia="Times New Roman" w:cs="Arial"/>
                <w:b/>
                <w:bCs/>
                <w:color w:val="000000"/>
                <w:lang w:eastAsia="en-GB"/>
              </w:rPr>
            </w:pPr>
            <w:r w:rsidRPr="003F111A">
              <w:rPr>
                <w:rFonts w:eastAsia="Times New Roman" w:cs="Arial"/>
                <w:b/>
                <w:bCs/>
                <w:color w:val="000000"/>
                <w:lang w:eastAsia="en-GB"/>
              </w:rPr>
              <w:t>&lt;0.001*</w:t>
            </w:r>
          </w:p>
        </w:tc>
      </w:tr>
      <w:tr w:rsidR="005D1FB7" w:rsidRPr="003F111A" w14:paraId="7DA62917" w14:textId="77777777" w:rsidTr="009D2E4E">
        <w:trPr>
          <w:trHeight w:val="300"/>
        </w:trPr>
        <w:tc>
          <w:tcPr>
            <w:tcW w:w="2694" w:type="dxa"/>
            <w:tcBorders>
              <w:top w:val="nil"/>
              <w:left w:val="nil"/>
              <w:bottom w:val="nil"/>
              <w:right w:val="nil"/>
            </w:tcBorders>
            <w:shd w:val="clear" w:color="auto" w:fill="auto"/>
            <w:noWrap/>
            <w:vAlign w:val="bottom"/>
            <w:hideMark/>
          </w:tcPr>
          <w:p w14:paraId="08569B6A" w14:textId="77777777" w:rsidR="005D1FB7" w:rsidRPr="003F111A" w:rsidRDefault="005D1FB7" w:rsidP="009D2E4E">
            <w:pPr>
              <w:jc w:val="center"/>
              <w:rPr>
                <w:rFonts w:eastAsia="Times New Roman" w:cs="Arial"/>
                <w:color w:val="000000"/>
                <w:lang w:eastAsia="en-GB"/>
              </w:rPr>
            </w:pPr>
            <w:r w:rsidRPr="003F111A">
              <w:rPr>
                <w:rFonts w:eastAsia="Times New Roman" w:cs="Arial"/>
                <w:color w:val="000000"/>
                <w:lang w:eastAsia="en-GB"/>
              </w:rPr>
              <w:t>Cystine</w:t>
            </w:r>
          </w:p>
        </w:tc>
        <w:tc>
          <w:tcPr>
            <w:tcW w:w="2268" w:type="dxa"/>
            <w:tcBorders>
              <w:top w:val="nil"/>
              <w:left w:val="nil"/>
              <w:bottom w:val="nil"/>
              <w:right w:val="nil"/>
            </w:tcBorders>
            <w:shd w:val="clear" w:color="auto" w:fill="auto"/>
            <w:noWrap/>
            <w:vAlign w:val="bottom"/>
            <w:hideMark/>
          </w:tcPr>
          <w:p w14:paraId="7D94F28B" w14:textId="77777777" w:rsidR="005D1FB7" w:rsidRPr="003F111A" w:rsidRDefault="005D1FB7" w:rsidP="009D2E4E">
            <w:pPr>
              <w:jc w:val="center"/>
              <w:rPr>
                <w:rFonts w:eastAsia="Times New Roman" w:cs="Arial"/>
                <w:color w:val="000000"/>
                <w:lang w:eastAsia="en-GB"/>
              </w:rPr>
            </w:pPr>
            <w:r w:rsidRPr="003F111A">
              <w:rPr>
                <w:rFonts w:eastAsia="Times New Roman" w:cs="Arial"/>
                <w:color w:val="000000"/>
                <w:lang w:eastAsia="en-GB"/>
              </w:rPr>
              <w:t>0.19 ± 0.03</w:t>
            </w:r>
          </w:p>
        </w:tc>
        <w:tc>
          <w:tcPr>
            <w:tcW w:w="2126" w:type="dxa"/>
            <w:tcBorders>
              <w:top w:val="nil"/>
              <w:left w:val="nil"/>
              <w:bottom w:val="nil"/>
              <w:right w:val="nil"/>
            </w:tcBorders>
            <w:shd w:val="clear" w:color="auto" w:fill="auto"/>
            <w:noWrap/>
            <w:vAlign w:val="bottom"/>
            <w:hideMark/>
          </w:tcPr>
          <w:p w14:paraId="5629B1CF" w14:textId="77777777" w:rsidR="005D1FB7" w:rsidRPr="003F111A" w:rsidRDefault="005D1FB7" w:rsidP="009D2E4E">
            <w:pPr>
              <w:jc w:val="center"/>
              <w:rPr>
                <w:rFonts w:eastAsia="Times New Roman" w:cs="Arial"/>
                <w:color w:val="000000"/>
                <w:lang w:eastAsia="en-GB"/>
              </w:rPr>
            </w:pPr>
            <w:r w:rsidRPr="003F111A">
              <w:rPr>
                <w:rFonts w:eastAsia="Times New Roman" w:cs="Arial"/>
                <w:color w:val="000000"/>
                <w:lang w:eastAsia="en-GB"/>
              </w:rPr>
              <w:t>0.06 ±0.02</w:t>
            </w:r>
          </w:p>
        </w:tc>
        <w:tc>
          <w:tcPr>
            <w:tcW w:w="2272" w:type="dxa"/>
            <w:tcBorders>
              <w:top w:val="nil"/>
              <w:left w:val="nil"/>
              <w:bottom w:val="nil"/>
              <w:right w:val="nil"/>
            </w:tcBorders>
            <w:shd w:val="clear" w:color="auto" w:fill="auto"/>
            <w:noWrap/>
            <w:vAlign w:val="bottom"/>
            <w:hideMark/>
          </w:tcPr>
          <w:p w14:paraId="18974105" w14:textId="77777777" w:rsidR="005D1FB7" w:rsidRPr="003F111A" w:rsidRDefault="005D1FB7" w:rsidP="009D2E4E">
            <w:pPr>
              <w:jc w:val="center"/>
              <w:rPr>
                <w:rFonts w:eastAsia="Times New Roman" w:cs="Arial"/>
                <w:b/>
                <w:bCs/>
                <w:color w:val="000000"/>
                <w:lang w:eastAsia="en-GB"/>
              </w:rPr>
            </w:pPr>
            <w:r w:rsidRPr="003F111A">
              <w:rPr>
                <w:rFonts w:eastAsia="Times New Roman" w:cs="Arial"/>
                <w:b/>
                <w:bCs/>
                <w:color w:val="000000"/>
                <w:lang w:eastAsia="en-GB"/>
              </w:rPr>
              <w:t>&lt;0.001*</w:t>
            </w:r>
          </w:p>
        </w:tc>
      </w:tr>
      <w:tr w:rsidR="005D1FB7" w:rsidRPr="003F111A" w14:paraId="618EF0AC" w14:textId="77777777" w:rsidTr="009D2E4E">
        <w:trPr>
          <w:trHeight w:val="300"/>
        </w:trPr>
        <w:tc>
          <w:tcPr>
            <w:tcW w:w="2694" w:type="dxa"/>
            <w:tcBorders>
              <w:top w:val="nil"/>
              <w:left w:val="nil"/>
              <w:bottom w:val="nil"/>
              <w:right w:val="nil"/>
            </w:tcBorders>
            <w:shd w:val="clear" w:color="auto" w:fill="auto"/>
            <w:noWrap/>
            <w:vAlign w:val="bottom"/>
            <w:hideMark/>
          </w:tcPr>
          <w:p w14:paraId="6A83541C" w14:textId="77777777" w:rsidR="005D1FB7" w:rsidRPr="003F111A" w:rsidRDefault="005D1FB7" w:rsidP="009D2E4E">
            <w:pPr>
              <w:jc w:val="center"/>
              <w:rPr>
                <w:rFonts w:eastAsia="Times New Roman" w:cs="Arial"/>
                <w:color w:val="000000"/>
                <w:lang w:eastAsia="en-GB"/>
              </w:rPr>
            </w:pPr>
            <w:r w:rsidRPr="003F111A">
              <w:rPr>
                <w:rFonts w:eastAsia="Times New Roman" w:cs="Arial"/>
                <w:color w:val="000000"/>
                <w:lang w:eastAsia="en-GB"/>
              </w:rPr>
              <w:t>Tyrosine</w:t>
            </w:r>
          </w:p>
        </w:tc>
        <w:tc>
          <w:tcPr>
            <w:tcW w:w="2268" w:type="dxa"/>
            <w:tcBorders>
              <w:top w:val="nil"/>
              <w:left w:val="nil"/>
              <w:bottom w:val="nil"/>
              <w:right w:val="nil"/>
            </w:tcBorders>
            <w:shd w:val="clear" w:color="auto" w:fill="auto"/>
            <w:noWrap/>
            <w:vAlign w:val="bottom"/>
            <w:hideMark/>
          </w:tcPr>
          <w:p w14:paraId="4B3EA0A5" w14:textId="77777777" w:rsidR="005D1FB7" w:rsidRPr="003F111A" w:rsidRDefault="005D1FB7" w:rsidP="009D2E4E">
            <w:pPr>
              <w:jc w:val="center"/>
              <w:rPr>
                <w:rFonts w:eastAsia="Times New Roman" w:cs="Arial"/>
                <w:color w:val="000000"/>
                <w:lang w:eastAsia="en-GB"/>
              </w:rPr>
            </w:pPr>
            <w:r w:rsidRPr="003F111A">
              <w:rPr>
                <w:rFonts w:eastAsia="Times New Roman" w:cs="Arial"/>
                <w:color w:val="000000"/>
                <w:lang w:eastAsia="en-GB"/>
              </w:rPr>
              <w:t>0.19 ± 0.03</w:t>
            </w:r>
          </w:p>
        </w:tc>
        <w:tc>
          <w:tcPr>
            <w:tcW w:w="2126" w:type="dxa"/>
            <w:tcBorders>
              <w:top w:val="nil"/>
              <w:left w:val="nil"/>
              <w:bottom w:val="nil"/>
              <w:right w:val="nil"/>
            </w:tcBorders>
            <w:shd w:val="clear" w:color="auto" w:fill="auto"/>
            <w:noWrap/>
            <w:vAlign w:val="bottom"/>
            <w:hideMark/>
          </w:tcPr>
          <w:p w14:paraId="3CA5B80D" w14:textId="77777777" w:rsidR="005D1FB7" w:rsidRPr="003F111A" w:rsidRDefault="005D1FB7" w:rsidP="009D2E4E">
            <w:pPr>
              <w:jc w:val="center"/>
              <w:rPr>
                <w:rFonts w:eastAsia="Times New Roman" w:cs="Arial"/>
                <w:color w:val="000000"/>
                <w:lang w:eastAsia="en-GB"/>
              </w:rPr>
            </w:pPr>
            <w:r w:rsidRPr="003F111A">
              <w:rPr>
                <w:rFonts w:eastAsia="Times New Roman" w:cs="Arial"/>
                <w:color w:val="000000"/>
                <w:lang w:eastAsia="en-GB"/>
              </w:rPr>
              <w:t>0.27 ±0.07</w:t>
            </w:r>
          </w:p>
        </w:tc>
        <w:tc>
          <w:tcPr>
            <w:tcW w:w="2272" w:type="dxa"/>
            <w:tcBorders>
              <w:top w:val="nil"/>
              <w:left w:val="nil"/>
              <w:bottom w:val="nil"/>
              <w:right w:val="nil"/>
            </w:tcBorders>
            <w:shd w:val="clear" w:color="auto" w:fill="auto"/>
            <w:noWrap/>
            <w:vAlign w:val="bottom"/>
            <w:hideMark/>
          </w:tcPr>
          <w:p w14:paraId="3C92A9F5" w14:textId="77777777" w:rsidR="005D1FB7" w:rsidRPr="003F111A" w:rsidRDefault="005D1FB7" w:rsidP="009D2E4E">
            <w:pPr>
              <w:jc w:val="center"/>
              <w:rPr>
                <w:rFonts w:eastAsia="Times New Roman" w:cs="Arial"/>
                <w:b/>
                <w:bCs/>
                <w:color w:val="000000"/>
                <w:lang w:eastAsia="en-GB"/>
              </w:rPr>
            </w:pPr>
            <w:r w:rsidRPr="003F111A">
              <w:rPr>
                <w:rFonts w:eastAsia="Times New Roman" w:cs="Arial"/>
                <w:b/>
                <w:bCs/>
                <w:color w:val="000000"/>
                <w:lang w:eastAsia="en-GB"/>
              </w:rPr>
              <w:t>&lt;0.001*</w:t>
            </w:r>
          </w:p>
        </w:tc>
      </w:tr>
      <w:tr w:rsidR="005D1FB7" w:rsidRPr="003F111A" w14:paraId="1880256F" w14:textId="77777777" w:rsidTr="009D2E4E">
        <w:trPr>
          <w:trHeight w:val="300"/>
        </w:trPr>
        <w:tc>
          <w:tcPr>
            <w:tcW w:w="2694" w:type="dxa"/>
            <w:tcBorders>
              <w:top w:val="nil"/>
              <w:left w:val="nil"/>
              <w:bottom w:val="nil"/>
              <w:right w:val="nil"/>
            </w:tcBorders>
            <w:shd w:val="clear" w:color="auto" w:fill="auto"/>
            <w:noWrap/>
            <w:vAlign w:val="bottom"/>
            <w:hideMark/>
          </w:tcPr>
          <w:p w14:paraId="43B3DA10" w14:textId="77777777" w:rsidR="005D1FB7" w:rsidRPr="003F111A" w:rsidRDefault="005D1FB7" w:rsidP="009D2E4E">
            <w:pPr>
              <w:jc w:val="center"/>
              <w:rPr>
                <w:rFonts w:eastAsia="Times New Roman" w:cs="Arial"/>
                <w:color w:val="000000"/>
                <w:lang w:eastAsia="en-GB"/>
              </w:rPr>
            </w:pPr>
            <w:r w:rsidRPr="003F111A">
              <w:rPr>
                <w:rFonts w:eastAsia="Times New Roman" w:cs="Arial"/>
                <w:color w:val="000000"/>
                <w:lang w:eastAsia="en-GB"/>
              </w:rPr>
              <w:t>Valine</w:t>
            </w:r>
          </w:p>
        </w:tc>
        <w:tc>
          <w:tcPr>
            <w:tcW w:w="2268" w:type="dxa"/>
            <w:tcBorders>
              <w:top w:val="nil"/>
              <w:left w:val="nil"/>
              <w:bottom w:val="nil"/>
              <w:right w:val="nil"/>
            </w:tcBorders>
            <w:shd w:val="clear" w:color="auto" w:fill="auto"/>
            <w:noWrap/>
            <w:vAlign w:val="bottom"/>
            <w:hideMark/>
          </w:tcPr>
          <w:p w14:paraId="65C18103" w14:textId="77777777" w:rsidR="005D1FB7" w:rsidRPr="003F111A" w:rsidRDefault="005D1FB7" w:rsidP="009D2E4E">
            <w:pPr>
              <w:jc w:val="center"/>
              <w:rPr>
                <w:rFonts w:eastAsia="Times New Roman" w:cs="Arial"/>
                <w:color w:val="000000"/>
                <w:lang w:eastAsia="en-GB"/>
              </w:rPr>
            </w:pPr>
            <w:r w:rsidRPr="003F111A">
              <w:rPr>
                <w:rFonts w:eastAsia="Times New Roman" w:cs="Arial"/>
                <w:color w:val="000000"/>
                <w:lang w:eastAsia="en-GB"/>
              </w:rPr>
              <w:t>0.36 ±0.05</w:t>
            </w:r>
          </w:p>
        </w:tc>
        <w:tc>
          <w:tcPr>
            <w:tcW w:w="2126" w:type="dxa"/>
            <w:tcBorders>
              <w:top w:val="nil"/>
              <w:left w:val="nil"/>
              <w:bottom w:val="nil"/>
              <w:right w:val="nil"/>
            </w:tcBorders>
            <w:shd w:val="clear" w:color="auto" w:fill="auto"/>
            <w:noWrap/>
            <w:vAlign w:val="bottom"/>
            <w:hideMark/>
          </w:tcPr>
          <w:p w14:paraId="4B7F2AD4" w14:textId="77777777" w:rsidR="005D1FB7" w:rsidRPr="003F111A" w:rsidRDefault="005D1FB7" w:rsidP="009D2E4E">
            <w:pPr>
              <w:jc w:val="center"/>
              <w:rPr>
                <w:rFonts w:eastAsia="Times New Roman" w:cs="Arial"/>
                <w:color w:val="000000"/>
                <w:lang w:eastAsia="en-GB"/>
              </w:rPr>
            </w:pPr>
            <w:r w:rsidRPr="003F111A">
              <w:rPr>
                <w:rFonts w:eastAsia="Times New Roman" w:cs="Arial"/>
                <w:color w:val="000000"/>
                <w:lang w:eastAsia="en-GB"/>
              </w:rPr>
              <w:t>0.29 ± 0.07</w:t>
            </w:r>
          </w:p>
        </w:tc>
        <w:tc>
          <w:tcPr>
            <w:tcW w:w="2272" w:type="dxa"/>
            <w:tcBorders>
              <w:top w:val="nil"/>
              <w:left w:val="nil"/>
              <w:bottom w:val="nil"/>
              <w:right w:val="nil"/>
            </w:tcBorders>
            <w:shd w:val="clear" w:color="auto" w:fill="auto"/>
            <w:noWrap/>
            <w:vAlign w:val="bottom"/>
            <w:hideMark/>
          </w:tcPr>
          <w:p w14:paraId="689ADF94" w14:textId="77777777" w:rsidR="005D1FB7" w:rsidRPr="003F111A" w:rsidRDefault="005D1FB7" w:rsidP="009D2E4E">
            <w:pPr>
              <w:jc w:val="center"/>
              <w:rPr>
                <w:rFonts w:eastAsia="Times New Roman" w:cs="Arial"/>
                <w:b/>
                <w:bCs/>
                <w:color w:val="000000"/>
                <w:lang w:eastAsia="en-GB"/>
              </w:rPr>
            </w:pPr>
            <w:r w:rsidRPr="003F111A">
              <w:rPr>
                <w:rFonts w:eastAsia="Times New Roman" w:cs="Arial"/>
                <w:b/>
                <w:bCs/>
                <w:color w:val="000000"/>
                <w:lang w:eastAsia="en-GB"/>
              </w:rPr>
              <w:t>0.011*</w:t>
            </w:r>
          </w:p>
        </w:tc>
      </w:tr>
      <w:tr w:rsidR="005D1FB7" w:rsidRPr="003F111A" w14:paraId="630B2B14" w14:textId="77777777" w:rsidTr="009D2E4E">
        <w:trPr>
          <w:trHeight w:val="300"/>
        </w:trPr>
        <w:tc>
          <w:tcPr>
            <w:tcW w:w="2694" w:type="dxa"/>
            <w:tcBorders>
              <w:top w:val="nil"/>
              <w:left w:val="nil"/>
              <w:bottom w:val="nil"/>
              <w:right w:val="nil"/>
            </w:tcBorders>
            <w:shd w:val="clear" w:color="auto" w:fill="auto"/>
            <w:noWrap/>
            <w:vAlign w:val="bottom"/>
            <w:hideMark/>
          </w:tcPr>
          <w:p w14:paraId="0728BFB0" w14:textId="77777777" w:rsidR="005D1FB7" w:rsidRPr="003F111A" w:rsidRDefault="005D1FB7" w:rsidP="009D2E4E">
            <w:pPr>
              <w:jc w:val="center"/>
              <w:rPr>
                <w:rFonts w:eastAsia="Times New Roman" w:cs="Arial"/>
                <w:color w:val="000000"/>
                <w:lang w:eastAsia="en-GB"/>
              </w:rPr>
            </w:pPr>
            <w:r w:rsidRPr="003F111A">
              <w:rPr>
                <w:rFonts w:eastAsia="Times New Roman" w:cs="Arial"/>
                <w:color w:val="000000"/>
                <w:lang w:eastAsia="en-GB"/>
              </w:rPr>
              <w:t>Methionine</w:t>
            </w:r>
          </w:p>
        </w:tc>
        <w:tc>
          <w:tcPr>
            <w:tcW w:w="2268" w:type="dxa"/>
            <w:tcBorders>
              <w:top w:val="nil"/>
              <w:left w:val="nil"/>
              <w:bottom w:val="nil"/>
              <w:right w:val="nil"/>
            </w:tcBorders>
            <w:shd w:val="clear" w:color="auto" w:fill="auto"/>
            <w:noWrap/>
            <w:vAlign w:val="bottom"/>
            <w:hideMark/>
          </w:tcPr>
          <w:p w14:paraId="414E646E" w14:textId="77777777" w:rsidR="005D1FB7" w:rsidRPr="003F111A" w:rsidRDefault="005D1FB7" w:rsidP="009D2E4E">
            <w:pPr>
              <w:jc w:val="center"/>
              <w:rPr>
                <w:rFonts w:eastAsia="Times New Roman" w:cs="Arial"/>
                <w:color w:val="000000"/>
                <w:lang w:eastAsia="en-GB"/>
              </w:rPr>
            </w:pPr>
            <w:r w:rsidRPr="003F111A">
              <w:rPr>
                <w:rFonts w:eastAsia="Times New Roman" w:cs="Arial"/>
                <w:color w:val="000000"/>
                <w:lang w:eastAsia="en-GB"/>
              </w:rPr>
              <w:t>0.19 ± 0.03</w:t>
            </w:r>
          </w:p>
        </w:tc>
        <w:tc>
          <w:tcPr>
            <w:tcW w:w="2126" w:type="dxa"/>
            <w:tcBorders>
              <w:top w:val="nil"/>
              <w:left w:val="nil"/>
              <w:bottom w:val="nil"/>
              <w:right w:val="nil"/>
            </w:tcBorders>
            <w:shd w:val="clear" w:color="auto" w:fill="auto"/>
            <w:noWrap/>
            <w:vAlign w:val="bottom"/>
            <w:hideMark/>
          </w:tcPr>
          <w:p w14:paraId="776FB137" w14:textId="77777777" w:rsidR="005D1FB7" w:rsidRPr="003F111A" w:rsidRDefault="005D1FB7" w:rsidP="009D2E4E">
            <w:pPr>
              <w:jc w:val="center"/>
              <w:rPr>
                <w:rFonts w:eastAsia="Times New Roman" w:cs="Arial"/>
                <w:color w:val="000000"/>
                <w:lang w:eastAsia="en-GB"/>
              </w:rPr>
            </w:pPr>
            <w:r w:rsidRPr="003F111A">
              <w:rPr>
                <w:rFonts w:eastAsia="Times New Roman" w:cs="Arial"/>
                <w:color w:val="000000"/>
                <w:lang w:eastAsia="en-GB"/>
              </w:rPr>
              <w:t>0.08 ±0.02</w:t>
            </w:r>
          </w:p>
        </w:tc>
        <w:tc>
          <w:tcPr>
            <w:tcW w:w="2272" w:type="dxa"/>
            <w:tcBorders>
              <w:top w:val="nil"/>
              <w:left w:val="nil"/>
              <w:bottom w:val="nil"/>
              <w:right w:val="nil"/>
            </w:tcBorders>
            <w:shd w:val="clear" w:color="auto" w:fill="auto"/>
            <w:noWrap/>
            <w:vAlign w:val="bottom"/>
            <w:hideMark/>
          </w:tcPr>
          <w:p w14:paraId="12EE8258" w14:textId="77777777" w:rsidR="005D1FB7" w:rsidRPr="003F111A" w:rsidRDefault="005D1FB7" w:rsidP="009D2E4E">
            <w:pPr>
              <w:jc w:val="center"/>
              <w:rPr>
                <w:rFonts w:eastAsia="Times New Roman" w:cs="Arial"/>
                <w:b/>
                <w:bCs/>
                <w:color w:val="000000"/>
                <w:lang w:eastAsia="en-GB"/>
              </w:rPr>
            </w:pPr>
            <w:r w:rsidRPr="003F111A">
              <w:rPr>
                <w:rFonts w:eastAsia="Times New Roman" w:cs="Arial"/>
                <w:b/>
                <w:bCs/>
                <w:color w:val="000000"/>
                <w:lang w:eastAsia="en-GB"/>
              </w:rPr>
              <w:t>&lt;0.001*</w:t>
            </w:r>
          </w:p>
        </w:tc>
      </w:tr>
      <w:tr w:rsidR="005D1FB7" w:rsidRPr="003F111A" w14:paraId="26758085" w14:textId="77777777" w:rsidTr="009D2E4E">
        <w:trPr>
          <w:trHeight w:val="300"/>
        </w:trPr>
        <w:tc>
          <w:tcPr>
            <w:tcW w:w="2694" w:type="dxa"/>
            <w:tcBorders>
              <w:top w:val="nil"/>
              <w:left w:val="nil"/>
              <w:bottom w:val="nil"/>
              <w:right w:val="nil"/>
            </w:tcBorders>
            <w:shd w:val="clear" w:color="auto" w:fill="auto"/>
            <w:noWrap/>
            <w:vAlign w:val="bottom"/>
            <w:hideMark/>
          </w:tcPr>
          <w:p w14:paraId="3E80988D" w14:textId="77777777" w:rsidR="005D1FB7" w:rsidRPr="003F111A" w:rsidRDefault="005D1FB7" w:rsidP="009D2E4E">
            <w:pPr>
              <w:jc w:val="center"/>
              <w:rPr>
                <w:rFonts w:eastAsia="Times New Roman" w:cs="Arial"/>
                <w:color w:val="000000"/>
                <w:lang w:eastAsia="en-GB"/>
              </w:rPr>
            </w:pPr>
            <w:r w:rsidRPr="003F111A">
              <w:rPr>
                <w:rFonts w:eastAsia="Times New Roman" w:cs="Arial"/>
                <w:color w:val="000000"/>
                <w:lang w:eastAsia="en-GB"/>
              </w:rPr>
              <w:t>Lysine</w:t>
            </w:r>
          </w:p>
        </w:tc>
        <w:tc>
          <w:tcPr>
            <w:tcW w:w="2268" w:type="dxa"/>
            <w:tcBorders>
              <w:top w:val="nil"/>
              <w:left w:val="nil"/>
              <w:bottom w:val="nil"/>
              <w:right w:val="nil"/>
            </w:tcBorders>
            <w:shd w:val="clear" w:color="auto" w:fill="auto"/>
            <w:noWrap/>
            <w:vAlign w:val="bottom"/>
            <w:hideMark/>
          </w:tcPr>
          <w:p w14:paraId="66691D7B" w14:textId="77777777" w:rsidR="005D1FB7" w:rsidRPr="003F111A" w:rsidRDefault="005D1FB7" w:rsidP="009D2E4E">
            <w:pPr>
              <w:jc w:val="center"/>
              <w:rPr>
                <w:rFonts w:eastAsia="Times New Roman" w:cs="Arial"/>
                <w:color w:val="000000"/>
                <w:lang w:eastAsia="en-GB"/>
              </w:rPr>
            </w:pPr>
            <w:r w:rsidRPr="003F111A">
              <w:rPr>
                <w:rFonts w:eastAsia="Times New Roman" w:cs="Arial"/>
                <w:color w:val="000000"/>
                <w:lang w:eastAsia="en-GB"/>
              </w:rPr>
              <w:t>0.75 ± 0.10</w:t>
            </w:r>
          </w:p>
        </w:tc>
        <w:tc>
          <w:tcPr>
            <w:tcW w:w="2126" w:type="dxa"/>
            <w:tcBorders>
              <w:top w:val="nil"/>
              <w:left w:val="nil"/>
              <w:bottom w:val="nil"/>
              <w:right w:val="nil"/>
            </w:tcBorders>
            <w:shd w:val="clear" w:color="auto" w:fill="auto"/>
            <w:noWrap/>
            <w:vAlign w:val="bottom"/>
            <w:hideMark/>
          </w:tcPr>
          <w:p w14:paraId="699CE3BA" w14:textId="77777777" w:rsidR="005D1FB7" w:rsidRPr="003F111A" w:rsidRDefault="005D1FB7" w:rsidP="009D2E4E">
            <w:pPr>
              <w:jc w:val="center"/>
              <w:rPr>
                <w:rFonts w:eastAsia="Times New Roman" w:cs="Arial"/>
                <w:color w:val="000000"/>
                <w:lang w:eastAsia="en-GB"/>
              </w:rPr>
            </w:pPr>
            <w:r w:rsidRPr="003F111A">
              <w:rPr>
                <w:rFonts w:eastAsia="Times New Roman" w:cs="Arial"/>
                <w:color w:val="000000"/>
                <w:lang w:eastAsia="en-GB"/>
              </w:rPr>
              <w:t>0.57 ±0.16</w:t>
            </w:r>
          </w:p>
        </w:tc>
        <w:tc>
          <w:tcPr>
            <w:tcW w:w="2272" w:type="dxa"/>
            <w:tcBorders>
              <w:top w:val="nil"/>
              <w:left w:val="nil"/>
              <w:bottom w:val="nil"/>
              <w:right w:val="nil"/>
            </w:tcBorders>
            <w:shd w:val="clear" w:color="auto" w:fill="auto"/>
            <w:noWrap/>
            <w:vAlign w:val="bottom"/>
            <w:hideMark/>
          </w:tcPr>
          <w:p w14:paraId="42D953ED" w14:textId="77777777" w:rsidR="005D1FB7" w:rsidRPr="003F111A" w:rsidRDefault="005D1FB7" w:rsidP="009D2E4E">
            <w:pPr>
              <w:jc w:val="center"/>
              <w:rPr>
                <w:rFonts w:eastAsia="Times New Roman" w:cs="Arial"/>
                <w:b/>
                <w:bCs/>
                <w:color w:val="000000"/>
                <w:lang w:eastAsia="en-GB"/>
              </w:rPr>
            </w:pPr>
            <w:r w:rsidRPr="003F111A">
              <w:rPr>
                <w:rFonts w:eastAsia="Times New Roman" w:cs="Arial"/>
                <w:b/>
                <w:bCs/>
                <w:color w:val="000000"/>
                <w:lang w:eastAsia="en-GB"/>
              </w:rPr>
              <w:t>0.003</w:t>
            </w:r>
          </w:p>
        </w:tc>
      </w:tr>
      <w:tr w:rsidR="005D1FB7" w:rsidRPr="003F111A" w14:paraId="6156DBB6" w14:textId="77777777" w:rsidTr="009D2E4E">
        <w:trPr>
          <w:trHeight w:val="300"/>
        </w:trPr>
        <w:tc>
          <w:tcPr>
            <w:tcW w:w="2694" w:type="dxa"/>
            <w:tcBorders>
              <w:top w:val="nil"/>
              <w:left w:val="nil"/>
              <w:bottom w:val="nil"/>
              <w:right w:val="nil"/>
            </w:tcBorders>
            <w:shd w:val="clear" w:color="auto" w:fill="auto"/>
            <w:noWrap/>
            <w:vAlign w:val="bottom"/>
            <w:hideMark/>
          </w:tcPr>
          <w:p w14:paraId="04D0247E" w14:textId="77777777" w:rsidR="005D1FB7" w:rsidRPr="003F111A" w:rsidRDefault="005D1FB7" w:rsidP="009D2E4E">
            <w:pPr>
              <w:jc w:val="center"/>
              <w:rPr>
                <w:rFonts w:eastAsia="Times New Roman" w:cs="Arial"/>
                <w:color w:val="000000"/>
                <w:lang w:eastAsia="en-GB"/>
              </w:rPr>
            </w:pPr>
            <w:r w:rsidRPr="003F111A">
              <w:rPr>
                <w:rFonts w:eastAsia="Times New Roman" w:cs="Arial"/>
                <w:color w:val="000000"/>
                <w:lang w:eastAsia="en-GB"/>
              </w:rPr>
              <w:t>Isoleucine</w:t>
            </w:r>
          </w:p>
        </w:tc>
        <w:tc>
          <w:tcPr>
            <w:tcW w:w="2268" w:type="dxa"/>
            <w:tcBorders>
              <w:top w:val="nil"/>
              <w:left w:val="nil"/>
              <w:bottom w:val="nil"/>
              <w:right w:val="nil"/>
            </w:tcBorders>
            <w:shd w:val="clear" w:color="auto" w:fill="auto"/>
            <w:noWrap/>
            <w:vAlign w:val="bottom"/>
            <w:hideMark/>
          </w:tcPr>
          <w:p w14:paraId="4014B5C3" w14:textId="77777777" w:rsidR="005D1FB7" w:rsidRPr="003F111A" w:rsidRDefault="005D1FB7" w:rsidP="009D2E4E">
            <w:pPr>
              <w:jc w:val="center"/>
              <w:rPr>
                <w:rFonts w:eastAsia="Times New Roman" w:cs="Arial"/>
                <w:color w:val="000000"/>
                <w:lang w:eastAsia="en-GB"/>
              </w:rPr>
            </w:pPr>
            <w:r w:rsidRPr="003F111A">
              <w:rPr>
                <w:rFonts w:eastAsia="Times New Roman" w:cs="Arial"/>
                <w:color w:val="000000"/>
                <w:lang w:eastAsia="en-GB"/>
              </w:rPr>
              <w:t>0.42 ± 0.06</w:t>
            </w:r>
          </w:p>
        </w:tc>
        <w:tc>
          <w:tcPr>
            <w:tcW w:w="2126" w:type="dxa"/>
            <w:tcBorders>
              <w:top w:val="nil"/>
              <w:left w:val="nil"/>
              <w:bottom w:val="nil"/>
              <w:right w:val="nil"/>
            </w:tcBorders>
            <w:shd w:val="clear" w:color="auto" w:fill="auto"/>
            <w:noWrap/>
            <w:vAlign w:val="bottom"/>
            <w:hideMark/>
          </w:tcPr>
          <w:p w14:paraId="758DD852" w14:textId="77777777" w:rsidR="005D1FB7" w:rsidRPr="003F111A" w:rsidRDefault="005D1FB7" w:rsidP="009D2E4E">
            <w:pPr>
              <w:jc w:val="center"/>
              <w:rPr>
                <w:rFonts w:eastAsia="Times New Roman" w:cs="Arial"/>
                <w:color w:val="000000"/>
                <w:lang w:eastAsia="en-GB"/>
              </w:rPr>
            </w:pPr>
            <w:r w:rsidRPr="003F111A">
              <w:rPr>
                <w:rFonts w:eastAsia="Times New Roman" w:cs="Arial"/>
                <w:color w:val="000000"/>
                <w:lang w:eastAsia="en-GB"/>
              </w:rPr>
              <w:t>0.25 ±0.07</w:t>
            </w:r>
          </w:p>
        </w:tc>
        <w:tc>
          <w:tcPr>
            <w:tcW w:w="2272" w:type="dxa"/>
            <w:tcBorders>
              <w:top w:val="nil"/>
              <w:left w:val="nil"/>
              <w:bottom w:val="nil"/>
              <w:right w:val="nil"/>
            </w:tcBorders>
            <w:shd w:val="clear" w:color="auto" w:fill="auto"/>
            <w:noWrap/>
            <w:vAlign w:val="bottom"/>
            <w:hideMark/>
          </w:tcPr>
          <w:p w14:paraId="5DB0C3DD" w14:textId="77777777" w:rsidR="005D1FB7" w:rsidRPr="003F111A" w:rsidRDefault="005D1FB7" w:rsidP="009D2E4E">
            <w:pPr>
              <w:jc w:val="center"/>
              <w:rPr>
                <w:rFonts w:eastAsia="Times New Roman" w:cs="Arial"/>
                <w:b/>
                <w:bCs/>
                <w:color w:val="000000"/>
                <w:lang w:eastAsia="en-GB"/>
              </w:rPr>
            </w:pPr>
            <w:r w:rsidRPr="003F111A">
              <w:rPr>
                <w:rFonts w:eastAsia="Times New Roman" w:cs="Arial"/>
                <w:b/>
                <w:bCs/>
                <w:color w:val="000000"/>
                <w:lang w:eastAsia="en-GB"/>
              </w:rPr>
              <w:t>&lt;0.001*</w:t>
            </w:r>
          </w:p>
        </w:tc>
      </w:tr>
      <w:tr w:rsidR="005D1FB7" w:rsidRPr="003F111A" w14:paraId="25B11DFD" w14:textId="77777777" w:rsidTr="009D2E4E">
        <w:trPr>
          <w:trHeight w:val="300"/>
        </w:trPr>
        <w:tc>
          <w:tcPr>
            <w:tcW w:w="2694" w:type="dxa"/>
            <w:tcBorders>
              <w:top w:val="nil"/>
              <w:left w:val="nil"/>
              <w:bottom w:val="nil"/>
              <w:right w:val="nil"/>
            </w:tcBorders>
            <w:shd w:val="clear" w:color="auto" w:fill="auto"/>
            <w:noWrap/>
            <w:vAlign w:val="bottom"/>
            <w:hideMark/>
          </w:tcPr>
          <w:p w14:paraId="5C37BA92" w14:textId="77777777" w:rsidR="005D1FB7" w:rsidRPr="003F111A" w:rsidRDefault="005D1FB7" w:rsidP="009D2E4E">
            <w:pPr>
              <w:jc w:val="center"/>
              <w:rPr>
                <w:rFonts w:eastAsia="Times New Roman" w:cs="Arial"/>
                <w:color w:val="000000"/>
                <w:lang w:eastAsia="en-GB"/>
              </w:rPr>
            </w:pPr>
            <w:r w:rsidRPr="003F111A">
              <w:rPr>
                <w:rFonts w:eastAsia="Times New Roman" w:cs="Arial"/>
                <w:color w:val="000000"/>
                <w:lang w:eastAsia="en-GB"/>
              </w:rPr>
              <w:t>Leucine</w:t>
            </w:r>
          </w:p>
        </w:tc>
        <w:tc>
          <w:tcPr>
            <w:tcW w:w="2268" w:type="dxa"/>
            <w:tcBorders>
              <w:top w:val="nil"/>
              <w:left w:val="nil"/>
              <w:bottom w:val="nil"/>
              <w:right w:val="nil"/>
            </w:tcBorders>
            <w:shd w:val="clear" w:color="auto" w:fill="auto"/>
            <w:noWrap/>
            <w:vAlign w:val="bottom"/>
            <w:hideMark/>
          </w:tcPr>
          <w:p w14:paraId="60FD4AA1" w14:textId="77777777" w:rsidR="005D1FB7" w:rsidRPr="003F111A" w:rsidRDefault="005D1FB7" w:rsidP="009D2E4E">
            <w:pPr>
              <w:jc w:val="center"/>
              <w:rPr>
                <w:rFonts w:eastAsia="Times New Roman" w:cs="Arial"/>
                <w:color w:val="000000"/>
                <w:lang w:eastAsia="en-GB"/>
              </w:rPr>
            </w:pPr>
            <w:r w:rsidRPr="003F111A">
              <w:rPr>
                <w:rFonts w:eastAsia="Times New Roman" w:cs="Arial"/>
                <w:color w:val="000000"/>
                <w:lang w:eastAsia="en-GB"/>
              </w:rPr>
              <w:t>0.75 ± 0.10</w:t>
            </w:r>
          </w:p>
        </w:tc>
        <w:tc>
          <w:tcPr>
            <w:tcW w:w="2126" w:type="dxa"/>
            <w:tcBorders>
              <w:top w:val="nil"/>
              <w:left w:val="nil"/>
              <w:bottom w:val="nil"/>
              <w:right w:val="nil"/>
            </w:tcBorders>
            <w:shd w:val="clear" w:color="auto" w:fill="auto"/>
            <w:noWrap/>
            <w:vAlign w:val="bottom"/>
            <w:hideMark/>
          </w:tcPr>
          <w:p w14:paraId="7024E94A" w14:textId="77777777" w:rsidR="005D1FB7" w:rsidRPr="003F111A" w:rsidRDefault="005D1FB7" w:rsidP="009D2E4E">
            <w:pPr>
              <w:jc w:val="center"/>
              <w:rPr>
                <w:rFonts w:eastAsia="Times New Roman" w:cs="Arial"/>
                <w:color w:val="000000"/>
                <w:lang w:eastAsia="en-GB"/>
              </w:rPr>
            </w:pPr>
            <w:r w:rsidRPr="003F111A">
              <w:rPr>
                <w:rFonts w:eastAsia="Times New Roman" w:cs="Arial"/>
                <w:color w:val="000000"/>
                <w:lang w:eastAsia="en-GB"/>
              </w:rPr>
              <w:t>0.56 ±0.15</w:t>
            </w:r>
          </w:p>
        </w:tc>
        <w:tc>
          <w:tcPr>
            <w:tcW w:w="2272" w:type="dxa"/>
            <w:tcBorders>
              <w:top w:val="nil"/>
              <w:left w:val="nil"/>
              <w:bottom w:val="nil"/>
              <w:right w:val="nil"/>
            </w:tcBorders>
            <w:shd w:val="clear" w:color="auto" w:fill="auto"/>
            <w:noWrap/>
            <w:vAlign w:val="bottom"/>
            <w:hideMark/>
          </w:tcPr>
          <w:p w14:paraId="53169DD0" w14:textId="77777777" w:rsidR="005D1FB7" w:rsidRPr="003F111A" w:rsidRDefault="005D1FB7" w:rsidP="009D2E4E">
            <w:pPr>
              <w:jc w:val="center"/>
              <w:rPr>
                <w:rFonts w:eastAsia="Times New Roman" w:cs="Arial"/>
                <w:b/>
                <w:bCs/>
                <w:color w:val="000000"/>
                <w:lang w:eastAsia="en-GB"/>
              </w:rPr>
            </w:pPr>
            <w:r w:rsidRPr="003F111A">
              <w:rPr>
                <w:rFonts w:eastAsia="Times New Roman" w:cs="Arial"/>
                <w:b/>
                <w:bCs/>
                <w:color w:val="000000"/>
                <w:lang w:eastAsia="en-GB"/>
              </w:rPr>
              <w:t>0.002*</w:t>
            </w:r>
          </w:p>
        </w:tc>
      </w:tr>
      <w:tr w:rsidR="005D1FB7" w:rsidRPr="003F111A" w14:paraId="0CF2565E" w14:textId="77777777" w:rsidTr="009D2E4E">
        <w:trPr>
          <w:trHeight w:val="300"/>
        </w:trPr>
        <w:tc>
          <w:tcPr>
            <w:tcW w:w="2694" w:type="dxa"/>
            <w:tcBorders>
              <w:top w:val="nil"/>
              <w:left w:val="nil"/>
              <w:right w:val="nil"/>
            </w:tcBorders>
            <w:shd w:val="clear" w:color="auto" w:fill="auto"/>
            <w:noWrap/>
            <w:vAlign w:val="bottom"/>
            <w:hideMark/>
          </w:tcPr>
          <w:p w14:paraId="16D83C31" w14:textId="77777777" w:rsidR="005D1FB7" w:rsidRPr="003F111A" w:rsidRDefault="005D1FB7" w:rsidP="009D2E4E">
            <w:pPr>
              <w:jc w:val="center"/>
              <w:rPr>
                <w:rFonts w:eastAsia="Times New Roman" w:cs="Arial"/>
                <w:color w:val="000000"/>
                <w:lang w:eastAsia="en-GB"/>
              </w:rPr>
            </w:pPr>
            <w:r w:rsidRPr="003F111A">
              <w:rPr>
                <w:rFonts w:eastAsia="Times New Roman" w:cs="Arial"/>
                <w:color w:val="000000"/>
                <w:lang w:eastAsia="en-GB"/>
              </w:rPr>
              <w:t>Phenylalanine</w:t>
            </w:r>
          </w:p>
        </w:tc>
        <w:tc>
          <w:tcPr>
            <w:tcW w:w="2268" w:type="dxa"/>
            <w:tcBorders>
              <w:top w:val="nil"/>
              <w:left w:val="nil"/>
              <w:right w:val="nil"/>
            </w:tcBorders>
            <w:shd w:val="clear" w:color="auto" w:fill="auto"/>
            <w:noWrap/>
            <w:vAlign w:val="bottom"/>
            <w:hideMark/>
          </w:tcPr>
          <w:p w14:paraId="0089F002" w14:textId="77777777" w:rsidR="005D1FB7" w:rsidRPr="003F111A" w:rsidRDefault="005D1FB7" w:rsidP="009D2E4E">
            <w:pPr>
              <w:jc w:val="center"/>
              <w:rPr>
                <w:rFonts w:eastAsia="Times New Roman" w:cs="Arial"/>
                <w:color w:val="000000"/>
                <w:lang w:eastAsia="en-GB"/>
              </w:rPr>
            </w:pPr>
            <w:r w:rsidRPr="003F111A">
              <w:rPr>
                <w:rFonts w:eastAsia="Times New Roman" w:cs="Arial"/>
                <w:color w:val="000000"/>
                <w:lang w:eastAsia="en-GB"/>
              </w:rPr>
              <w:t>0.23 ± 0.03</w:t>
            </w:r>
          </w:p>
        </w:tc>
        <w:tc>
          <w:tcPr>
            <w:tcW w:w="2126" w:type="dxa"/>
            <w:tcBorders>
              <w:top w:val="nil"/>
              <w:left w:val="nil"/>
              <w:right w:val="nil"/>
            </w:tcBorders>
            <w:shd w:val="clear" w:color="auto" w:fill="auto"/>
            <w:noWrap/>
            <w:vAlign w:val="bottom"/>
            <w:hideMark/>
          </w:tcPr>
          <w:p w14:paraId="46C925CA" w14:textId="77777777" w:rsidR="005D1FB7" w:rsidRPr="003F111A" w:rsidRDefault="005D1FB7" w:rsidP="009D2E4E">
            <w:pPr>
              <w:jc w:val="center"/>
              <w:rPr>
                <w:rFonts w:eastAsia="Times New Roman" w:cs="Arial"/>
                <w:color w:val="000000"/>
                <w:lang w:eastAsia="en-GB"/>
              </w:rPr>
            </w:pPr>
            <w:r w:rsidRPr="003F111A">
              <w:rPr>
                <w:rFonts w:eastAsia="Times New Roman" w:cs="Arial"/>
                <w:color w:val="000000"/>
                <w:lang w:eastAsia="en-GB"/>
              </w:rPr>
              <w:t>0.36 ±0.10</w:t>
            </w:r>
          </w:p>
        </w:tc>
        <w:tc>
          <w:tcPr>
            <w:tcW w:w="2272" w:type="dxa"/>
            <w:tcBorders>
              <w:top w:val="nil"/>
              <w:left w:val="nil"/>
              <w:right w:val="nil"/>
            </w:tcBorders>
            <w:shd w:val="clear" w:color="auto" w:fill="auto"/>
            <w:noWrap/>
            <w:vAlign w:val="bottom"/>
            <w:hideMark/>
          </w:tcPr>
          <w:p w14:paraId="2DBB7E8B" w14:textId="77777777" w:rsidR="005D1FB7" w:rsidRPr="003F111A" w:rsidRDefault="005D1FB7" w:rsidP="009D2E4E">
            <w:pPr>
              <w:jc w:val="center"/>
              <w:rPr>
                <w:rFonts w:eastAsia="Times New Roman" w:cs="Arial"/>
                <w:b/>
                <w:bCs/>
                <w:color w:val="000000"/>
                <w:lang w:eastAsia="en-GB"/>
              </w:rPr>
            </w:pPr>
            <w:r w:rsidRPr="003F111A">
              <w:rPr>
                <w:rFonts w:eastAsia="Times New Roman" w:cs="Arial"/>
                <w:b/>
                <w:bCs/>
                <w:color w:val="000000"/>
                <w:lang w:eastAsia="en-GB"/>
              </w:rPr>
              <w:t>&lt;0.001*</w:t>
            </w:r>
          </w:p>
        </w:tc>
      </w:tr>
      <w:tr w:rsidR="005D1FB7" w:rsidRPr="003F111A" w14:paraId="2FEC460C" w14:textId="77777777" w:rsidTr="009D2E4E">
        <w:trPr>
          <w:trHeight w:val="300"/>
        </w:trPr>
        <w:tc>
          <w:tcPr>
            <w:tcW w:w="2694" w:type="dxa"/>
            <w:tcBorders>
              <w:top w:val="nil"/>
              <w:left w:val="nil"/>
              <w:bottom w:val="double" w:sz="4" w:space="0" w:color="auto"/>
              <w:right w:val="nil"/>
            </w:tcBorders>
            <w:shd w:val="clear" w:color="auto" w:fill="auto"/>
            <w:noWrap/>
            <w:vAlign w:val="bottom"/>
            <w:hideMark/>
          </w:tcPr>
          <w:p w14:paraId="47E80CA5" w14:textId="77777777" w:rsidR="005D1FB7" w:rsidRPr="003F111A" w:rsidRDefault="005D1FB7" w:rsidP="009D2E4E">
            <w:pPr>
              <w:jc w:val="center"/>
              <w:rPr>
                <w:rFonts w:eastAsia="Times New Roman" w:cs="Arial"/>
                <w:color w:val="000000"/>
                <w:lang w:eastAsia="en-GB"/>
              </w:rPr>
            </w:pPr>
            <w:r w:rsidRPr="003F111A">
              <w:rPr>
                <w:rFonts w:eastAsia="Times New Roman" w:cs="Arial"/>
                <w:color w:val="000000"/>
                <w:lang w:eastAsia="en-GB"/>
              </w:rPr>
              <w:t>Tryptophan</w:t>
            </w:r>
          </w:p>
        </w:tc>
        <w:tc>
          <w:tcPr>
            <w:tcW w:w="2268" w:type="dxa"/>
            <w:tcBorders>
              <w:top w:val="nil"/>
              <w:left w:val="nil"/>
              <w:bottom w:val="double" w:sz="4" w:space="0" w:color="auto"/>
              <w:right w:val="nil"/>
            </w:tcBorders>
            <w:shd w:val="clear" w:color="auto" w:fill="auto"/>
            <w:noWrap/>
            <w:vAlign w:val="bottom"/>
            <w:hideMark/>
          </w:tcPr>
          <w:p w14:paraId="2C39EE22" w14:textId="77777777" w:rsidR="005D1FB7" w:rsidRPr="003F111A" w:rsidRDefault="005D1FB7" w:rsidP="009D2E4E">
            <w:pPr>
              <w:jc w:val="center"/>
              <w:rPr>
                <w:rFonts w:eastAsia="Times New Roman" w:cs="Arial"/>
                <w:color w:val="000000"/>
                <w:lang w:eastAsia="en-GB"/>
              </w:rPr>
            </w:pPr>
            <w:r w:rsidRPr="003F111A">
              <w:rPr>
                <w:rFonts w:eastAsia="Times New Roman" w:cs="Arial"/>
                <w:color w:val="000000"/>
                <w:lang w:eastAsia="en-GB"/>
              </w:rPr>
              <w:t>0.13 ± 0.02</w:t>
            </w:r>
          </w:p>
        </w:tc>
        <w:tc>
          <w:tcPr>
            <w:tcW w:w="2126" w:type="dxa"/>
            <w:tcBorders>
              <w:top w:val="nil"/>
              <w:left w:val="nil"/>
              <w:bottom w:val="double" w:sz="4" w:space="0" w:color="auto"/>
              <w:right w:val="nil"/>
            </w:tcBorders>
            <w:shd w:val="clear" w:color="auto" w:fill="auto"/>
            <w:noWrap/>
            <w:vAlign w:val="bottom"/>
            <w:hideMark/>
          </w:tcPr>
          <w:p w14:paraId="4571602C" w14:textId="77777777" w:rsidR="005D1FB7" w:rsidRPr="003F111A" w:rsidRDefault="005D1FB7" w:rsidP="009D2E4E">
            <w:pPr>
              <w:jc w:val="center"/>
              <w:rPr>
                <w:rFonts w:eastAsia="Times New Roman" w:cs="Arial"/>
                <w:color w:val="000000"/>
                <w:lang w:eastAsia="en-GB"/>
              </w:rPr>
            </w:pPr>
            <w:r w:rsidRPr="003F111A">
              <w:rPr>
                <w:rFonts w:eastAsia="Times New Roman" w:cs="Arial"/>
                <w:color w:val="000000"/>
                <w:lang w:eastAsia="en-GB"/>
              </w:rPr>
              <w:t>N/A</w:t>
            </w:r>
          </w:p>
        </w:tc>
        <w:tc>
          <w:tcPr>
            <w:tcW w:w="2272" w:type="dxa"/>
            <w:tcBorders>
              <w:top w:val="nil"/>
              <w:left w:val="nil"/>
              <w:bottom w:val="double" w:sz="4" w:space="0" w:color="auto"/>
              <w:right w:val="nil"/>
            </w:tcBorders>
            <w:shd w:val="clear" w:color="auto" w:fill="auto"/>
            <w:noWrap/>
            <w:vAlign w:val="bottom"/>
            <w:hideMark/>
          </w:tcPr>
          <w:p w14:paraId="29835F50" w14:textId="77777777" w:rsidR="005D1FB7" w:rsidRPr="003F111A" w:rsidRDefault="005D1FB7" w:rsidP="009D2E4E">
            <w:pPr>
              <w:jc w:val="center"/>
              <w:rPr>
                <w:rFonts w:eastAsia="Times New Roman" w:cs="Arial"/>
                <w:color w:val="000000"/>
                <w:lang w:eastAsia="en-GB"/>
              </w:rPr>
            </w:pPr>
            <w:r w:rsidRPr="003F111A">
              <w:rPr>
                <w:rFonts w:eastAsia="Times New Roman" w:cs="Arial"/>
                <w:color w:val="000000"/>
                <w:lang w:eastAsia="en-GB"/>
              </w:rPr>
              <w:t>-</w:t>
            </w:r>
          </w:p>
        </w:tc>
      </w:tr>
    </w:tbl>
    <w:p w14:paraId="164806DD" w14:textId="77777777" w:rsidR="005D1FB7" w:rsidRDefault="005D1FB7" w:rsidP="005D1FB7">
      <w:pPr>
        <w:rPr>
          <w:rFonts w:cs="Arial"/>
        </w:rPr>
      </w:pPr>
    </w:p>
    <w:p w14:paraId="643C1138" w14:textId="77777777" w:rsidR="005D1FB7" w:rsidRDefault="005D1FB7" w:rsidP="005D1FB7">
      <w:pPr>
        <w:rPr>
          <w:rFonts w:cs="Arial"/>
        </w:rPr>
      </w:pPr>
      <w:r>
        <w:rPr>
          <w:rFonts w:cs="Arial"/>
        </w:rPr>
        <w:t xml:space="preserve">Amino acid dose (g) provided from supplemental whey protein concentrate (WPC) and pea protein isolate (PPI) as part of smoothie beverages providing </w:t>
      </w:r>
      <w:r w:rsidRPr="009214F4">
        <w:rPr>
          <w:rFonts w:eastAsia="Times New Roman" w:cs="Arial"/>
          <w:color w:val="000000"/>
          <w:kern w:val="0"/>
          <w:lang w:eastAsia="en-GB"/>
          <w14:ligatures w14:val="none"/>
        </w:rPr>
        <w:t xml:space="preserve">0.13 </w:t>
      </w:r>
      <w:proofErr w:type="spellStart"/>
      <w:r w:rsidRPr="009214F4">
        <w:rPr>
          <w:rFonts w:cs="Arial"/>
        </w:rPr>
        <w:t>g</w:t>
      </w:r>
      <w:r w:rsidRPr="009214F4">
        <w:rPr>
          <w:rFonts w:ascii="Symbol" w:eastAsia="Symbol" w:hAnsi="Symbol" w:cs="Symbol"/>
        </w:rPr>
        <w:t>×</w:t>
      </w:r>
      <w:r w:rsidRPr="009214F4">
        <w:rPr>
          <w:rFonts w:cs="Arial"/>
        </w:rPr>
        <w:t>kg</w:t>
      </w:r>
      <w:proofErr w:type="spellEnd"/>
      <w:r>
        <w:rPr>
          <w:rFonts w:cs="Arial"/>
        </w:rPr>
        <w:t xml:space="preserve"> </w:t>
      </w:r>
      <w:r w:rsidRPr="009214F4">
        <w:rPr>
          <w:rFonts w:cs="Arial"/>
        </w:rPr>
        <w:t>BM</w:t>
      </w:r>
      <w:r w:rsidRPr="009214F4">
        <w:rPr>
          <w:rFonts w:cs="Arial"/>
          <w:vertAlign w:val="superscript"/>
        </w:rPr>
        <w:t>-1</w:t>
      </w:r>
      <w:r>
        <w:rPr>
          <w:rFonts w:cs="Arial"/>
          <w:vertAlign w:val="superscript"/>
        </w:rPr>
        <w:t xml:space="preserve"> </w:t>
      </w:r>
      <w:r>
        <w:rPr>
          <w:rFonts w:cs="Arial"/>
        </w:rPr>
        <w:t>of protein. Data are presented as mean ± SD for low protein mixed breakfast with either WPC (n=13) or PPI (n=9). Independent samples T-test was used to statistically compare relative amino acid content between supplemental protein groups. * Denotes statistical significance between groups (</w:t>
      </w:r>
      <w:r w:rsidRPr="009E6113">
        <w:rPr>
          <w:rFonts w:cs="Arial"/>
          <w:i/>
          <w:iCs/>
        </w:rPr>
        <w:t>P</w:t>
      </w:r>
      <w:r>
        <w:rPr>
          <w:rFonts w:cs="Arial"/>
        </w:rPr>
        <w:t>&lt;0.05).</w:t>
      </w:r>
    </w:p>
    <w:p w14:paraId="6F6D6F60" w14:textId="77777777" w:rsidR="005D1FB7" w:rsidRDefault="005D1FB7" w:rsidP="005D1FB7">
      <w:pPr>
        <w:rPr>
          <w:rFonts w:cs="Arial"/>
        </w:rPr>
      </w:pPr>
      <w:r>
        <w:rPr>
          <w:rFonts w:cs="Arial"/>
        </w:rPr>
        <w:br w:type="page"/>
      </w:r>
    </w:p>
    <w:p w14:paraId="5456B481" w14:textId="77777777" w:rsidR="005D1FB7" w:rsidRDefault="005D1FB7" w:rsidP="005D1FB7">
      <w:pPr>
        <w:rPr>
          <w:rFonts w:cs="Arial"/>
        </w:rPr>
      </w:pPr>
      <w:r>
        <w:rPr>
          <w:rFonts w:cs="Arial"/>
          <w:noProof/>
        </w:rPr>
        <w:lastRenderedPageBreak/>
        <w:drawing>
          <wp:inline distT="0" distB="0" distL="0" distR="0" wp14:anchorId="12E5A5F4" wp14:editId="0F1C4395">
            <wp:extent cx="5943600" cy="6231890"/>
            <wp:effectExtent l="0" t="0" r="0" b="0"/>
            <wp:docPr id="476330529" name="Picture 6" descr="A black scree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330529" name="Picture 6" descr="A black screen with white text&#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3600" cy="6231890"/>
                    </a:xfrm>
                    <a:prstGeom prst="rect">
                      <a:avLst/>
                    </a:prstGeom>
                  </pic:spPr>
                </pic:pic>
              </a:graphicData>
            </a:graphic>
          </wp:inline>
        </w:drawing>
      </w:r>
    </w:p>
    <w:p w14:paraId="1D5791CE" w14:textId="77777777" w:rsidR="005D1FB7" w:rsidRDefault="005D1FB7" w:rsidP="005D1FB7">
      <w:pPr>
        <w:rPr>
          <w:b/>
          <w:bCs/>
        </w:rPr>
      </w:pPr>
      <w:r w:rsidRPr="0038519E">
        <w:rPr>
          <w:b/>
          <w:bCs/>
        </w:rPr>
        <w:t xml:space="preserve">Supplemental </w:t>
      </w:r>
      <w:r>
        <w:rPr>
          <w:b/>
          <w:bCs/>
        </w:rPr>
        <w:t>F</w:t>
      </w:r>
      <w:r w:rsidRPr="0038519E">
        <w:rPr>
          <w:b/>
          <w:bCs/>
        </w:rPr>
        <w:t>igure 1</w:t>
      </w:r>
    </w:p>
    <w:p w14:paraId="4381569D" w14:textId="77777777" w:rsidR="005D1FB7" w:rsidRPr="00512845" w:rsidRDefault="005D1FB7" w:rsidP="005D1FB7">
      <w:pPr>
        <w:rPr>
          <w:b/>
          <w:bCs/>
        </w:rPr>
      </w:pPr>
    </w:p>
    <w:p w14:paraId="53E4A983" w14:textId="77777777" w:rsidR="005D1FB7" w:rsidRDefault="005D1FB7" w:rsidP="005D1FB7">
      <w:pPr>
        <w:rPr>
          <w:rFonts w:cs="Arial"/>
        </w:rPr>
      </w:pPr>
      <w:r>
        <w:rPr>
          <w:rFonts w:cs="Arial"/>
        </w:rPr>
        <w:t>CONSORT diagram indicating the number of participants enrolled, allocated and then analysed for each outcome measure. Participant drop-out was not related to any aspect of the condition and was due to time commitments of the larger trial.</w:t>
      </w:r>
    </w:p>
    <w:p w14:paraId="0647F6B0" w14:textId="77777777" w:rsidR="005D1FB7" w:rsidRDefault="005D1FB7" w:rsidP="005D1FB7">
      <w:pPr>
        <w:rPr>
          <w:rFonts w:cs="Arial"/>
        </w:rPr>
      </w:pPr>
      <w:r>
        <w:rPr>
          <w:rFonts w:cs="Arial"/>
        </w:rPr>
        <w:br w:type="page"/>
      </w:r>
    </w:p>
    <w:p w14:paraId="11CF673A" w14:textId="77777777" w:rsidR="005D1FB7" w:rsidRDefault="005D1FB7" w:rsidP="005D1FB7">
      <w:pPr>
        <w:rPr>
          <w:b/>
          <w:bCs/>
        </w:rPr>
      </w:pPr>
      <w:r w:rsidRPr="0038519E">
        <w:rPr>
          <w:b/>
          <w:bCs/>
        </w:rPr>
        <w:lastRenderedPageBreak/>
        <w:t>Supplement</w:t>
      </w:r>
      <w:r>
        <w:rPr>
          <w:b/>
          <w:bCs/>
        </w:rPr>
        <w:t>ary F</w:t>
      </w:r>
      <w:r w:rsidRPr="0038519E">
        <w:rPr>
          <w:b/>
          <w:bCs/>
        </w:rPr>
        <w:t xml:space="preserve">igure </w:t>
      </w:r>
      <w:r>
        <w:rPr>
          <w:b/>
          <w:bCs/>
        </w:rPr>
        <w:t>2</w:t>
      </w:r>
    </w:p>
    <w:p w14:paraId="5CB7D2C4" w14:textId="77777777" w:rsidR="005D1FB7" w:rsidRPr="0038519E" w:rsidRDefault="005D1FB7" w:rsidP="005D1FB7">
      <w:pPr>
        <w:rPr>
          <w:b/>
          <w:bCs/>
        </w:rPr>
      </w:pPr>
      <w:r w:rsidRPr="00C91075">
        <w:rPr>
          <w:rFonts w:cs="Arial"/>
          <w:noProof/>
        </w:rPr>
        <w:drawing>
          <wp:inline distT="0" distB="0" distL="0" distR="0" wp14:anchorId="4A59589C" wp14:editId="60A93C53">
            <wp:extent cx="3185160" cy="2388870"/>
            <wp:effectExtent l="4445" t="0" r="0" b="0"/>
            <wp:docPr id="1597791781" name="Picture 1" descr="A blender with a pink liquid i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791781" name="Picture 1" descr="A blender with a pink liquid in it&#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rot="5400000">
                      <a:off x="0" y="0"/>
                      <a:ext cx="3202249" cy="2401687"/>
                    </a:xfrm>
                    <a:prstGeom prst="rect">
                      <a:avLst/>
                    </a:prstGeom>
                  </pic:spPr>
                </pic:pic>
              </a:graphicData>
            </a:graphic>
          </wp:inline>
        </w:drawing>
      </w:r>
    </w:p>
    <w:p w14:paraId="131D99F9" w14:textId="77777777" w:rsidR="005D1FB7" w:rsidRDefault="005D1FB7" w:rsidP="005D1FB7">
      <w:pPr>
        <w:tabs>
          <w:tab w:val="center" w:pos="4680"/>
        </w:tabs>
        <w:rPr>
          <w:rFonts w:cs="Arial"/>
        </w:rPr>
      </w:pPr>
    </w:p>
    <w:p w14:paraId="71A8A717" w14:textId="77777777" w:rsidR="005D1FB7" w:rsidRDefault="005D1FB7" w:rsidP="005D1FB7">
      <w:pPr>
        <w:pStyle w:val="ListParagraph"/>
        <w:numPr>
          <w:ilvl w:val="0"/>
          <w:numId w:val="1"/>
        </w:numPr>
        <w:tabs>
          <w:tab w:val="center" w:pos="4680"/>
        </w:tabs>
        <w:spacing w:line="480" w:lineRule="auto"/>
        <w:jc w:val="both"/>
        <w:rPr>
          <w:rFonts w:cs="Arial"/>
        </w:rPr>
      </w:pPr>
      <w:r w:rsidRPr="00D60B7B">
        <w:rPr>
          <w:rFonts w:cs="Arial"/>
        </w:rPr>
        <w:t xml:space="preserve">Add 90ml of whole cranberry juice to blender ahead of other ingredients to minimise residual substance on walls of blender container. To the cranberry juice add 15g of pre chopped frozen banana and 20g of </w:t>
      </w:r>
      <w:r>
        <w:rPr>
          <w:rFonts w:cs="Arial"/>
        </w:rPr>
        <w:t xml:space="preserve">frozen </w:t>
      </w:r>
      <w:r w:rsidRPr="00D60B7B">
        <w:rPr>
          <w:rFonts w:cs="Arial"/>
        </w:rPr>
        <w:t xml:space="preserve">strawberry to provide 35g of whole fruit. Add 0.13 </w:t>
      </w:r>
      <w:proofErr w:type="spellStart"/>
      <w:r w:rsidRPr="00D60B7B">
        <w:rPr>
          <w:rFonts w:cs="Arial"/>
        </w:rPr>
        <w:t>g</w:t>
      </w:r>
      <w:r w:rsidRPr="008349DF">
        <w:rPr>
          <w:rFonts w:ascii="Symbol" w:eastAsia="Symbol" w:hAnsi="Symbol" w:cs="Symbol"/>
        </w:rPr>
        <w:t>×</w:t>
      </w:r>
      <w:r w:rsidRPr="00D60B7B">
        <w:rPr>
          <w:rFonts w:cs="Arial"/>
        </w:rPr>
        <w:t>kg</w:t>
      </w:r>
      <w:proofErr w:type="spellEnd"/>
      <w:r>
        <w:rPr>
          <w:rFonts w:cs="Arial"/>
        </w:rPr>
        <w:t xml:space="preserve"> </w:t>
      </w:r>
      <w:r w:rsidRPr="00D60B7B">
        <w:rPr>
          <w:rFonts w:cs="Arial"/>
        </w:rPr>
        <w:t>BM</w:t>
      </w:r>
      <w:r w:rsidRPr="00D60B7B">
        <w:rPr>
          <w:rFonts w:cs="Arial"/>
          <w:vertAlign w:val="superscript"/>
        </w:rPr>
        <w:t>-1</w:t>
      </w:r>
      <w:r w:rsidRPr="00D60B7B">
        <w:rPr>
          <w:rFonts w:cs="Arial"/>
        </w:rPr>
        <w:t xml:space="preserve"> of protein powder to the blender container.</w:t>
      </w:r>
    </w:p>
    <w:p w14:paraId="6E1F220D" w14:textId="77777777" w:rsidR="005D1FB7" w:rsidRPr="00D60B7B" w:rsidRDefault="005D1FB7" w:rsidP="005D1FB7">
      <w:pPr>
        <w:pStyle w:val="ListParagraph"/>
        <w:numPr>
          <w:ilvl w:val="0"/>
          <w:numId w:val="1"/>
        </w:numPr>
        <w:tabs>
          <w:tab w:val="center" w:pos="4680"/>
        </w:tabs>
        <w:spacing w:line="480" w:lineRule="auto"/>
        <w:jc w:val="both"/>
        <w:rPr>
          <w:rFonts w:cs="Arial"/>
        </w:rPr>
      </w:pPr>
      <w:r w:rsidRPr="00D60B7B">
        <w:rPr>
          <w:rFonts w:cs="Arial"/>
        </w:rPr>
        <w:t>Given that the protein content of the powder differs (80% PPI, 86% for WPC), the absolute amount of powder to be weighed will vary. For a 72kg individual to achieve a serv</w:t>
      </w:r>
      <w:r>
        <w:rPr>
          <w:rFonts w:cs="Arial"/>
        </w:rPr>
        <w:t>ing</w:t>
      </w:r>
      <w:r w:rsidRPr="00D60B7B">
        <w:rPr>
          <w:rFonts w:cs="Arial"/>
        </w:rPr>
        <w:t xml:space="preserve"> </w:t>
      </w:r>
      <w:r w:rsidRPr="00D60B7B">
        <w:rPr>
          <w:rFonts w:cs="Arial"/>
          <w:color w:val="000000" w:themeColor="text1"/>
        </w:rPr>
        <w:t>of 0.13 g</w:t>
      </w:r>
      <w:r>
        <w:rPr>
          <w:rFonts w:eastAsia="Symbol"/>
          <w:color w:val="000000" w:themeColor="text1"/>
        </w:rPr>
        <w:sym w:font="Symbol" w:char="F0D7"/>
      </w:r>
      <w:r w:rsidRPr="00D60B7B">
        <w:rPr>
          <w:rFonts w:cs="Arial"/>
          <w:color w:val="000000" w:themeColor="text1"/>
        </w:rPr>
        <w:t>kg</w:t>
      </w:r>
      <w:r>
        <w:rPr>
          <w:rFonts w:cs="Arial"/>
        </w:rPr>
        <w:t xml:space="preserve"> </w:t>
      </w:r>
      <w:r w:rsidRPr="00D60B7B">
        <w:rPr>
          <w:rFonts w:cs="Arial"/>
          <w:color w:val="000000" w:themeColor="text1"/>
        </w:rPr>
        <w:t>BM</w:t>
      </w:r>
      <w:r w:rsidRPr="00D60B7B">
        <w:rPr>
          <w:rFonts w:cs="Arial"/>
          <w:color w:val="000000" w:themeColor="text1"/>
          <w:vertAlign w:val="superscript"/>
        </w:rPr>
        <w:t>-1</w:t>
      </w:r>
      <w:r w:rsidRPr="00D60B7B">
        <w:rPr>
          <w:rFonts w:cs="Arial"/>
          <w:color w:val="000000" w:themeColor="text1"/>
        </w:rPr>
        <w:t xml:space="preserve"> the amount of PPI would be 11.7g and WPC would be 10.9g. </w:t>
      </w:r>
    </w:p>
    <w:p w14:paraId="3B6A40F0" w14:textId="77777777" w:rsidR="005D1FB7" w:rsidRDefault="005D1FB7" w:rsidP="005D1FB7">
      <w:pPr>
        <w:pStyle w:val="ListParagraph"/>
        <w:numPr>
          <w:ilvl w:val="0"/>
          <w:numId w:val="1"/>
        </w:numPr>
        <w:tabs>
          <w:tab w:val="center" w:pos="4680"/>
        </w:tabs>
        <w:spacing w:line="480" w:lineRule="auto"/>
        <w:jc w:val="both"/>
        <w:rPr>
          <w:rFonts w:cs="Arial"/>
        </w:rPr>
      </w:pPr>
      <w:r w:rsidRPr="00D60B7B">
        <w:rPr>
          <w:rFonts w:cs="Arial"/>
        </w:rPr>
        <w:t xml:space="preserve">Once the powder is added, secure the lid of the blender container and place in the machine and blitz at full speed for 10-15 seconds until smooth. </w:t>
      </w:r>
    </w:p>
    <w:p w14:paraId="764A0689" w14:textId="77777777" w:rsidR="005D1FB7" w:rsidRPr="00D60B7B" w:rsidRDefault="005D1FB7" w:rsidP="005D1FB7">
      <w:pPr>
        <w:pStyle w:val="ListParagraph"/>
        <w:numPr>
          <w:ilvl w:val="0"/>
          <w:numId w:val="1"/>
        </w:numPr>
        <w:tabs>
          <w:tab w:val="center" w:pos="4680"/>
        </w:tabs>
        <w:spacing w:line="480" w:lineRule="auto"/>
        <w:jc w:val="both"/>
        <w:rPr>
          <w:rFonts w:cs="Arial"/>
        </w:rPr>
      </w:pPr>
      <w:r w:rsidRPr="00D60B7B">
        <w:rPr>
          <w:rFonts w:cs="Arial"/>
        </w:rPr>
        <w:t>Decant into a container for consumption or into a screw top secure container and refrigerate. If refrigerated, ensure to shake well before consumption and consume within 2 days once blended.</w:t>
      </w:r>
    </w:p>
    <w:p w14:paraId="10E99D53" w14:textId="77777777" w:rsidR="005D1FB7" w:rsidRDefault="005D1FB7" w:rsidP="005D1FB7">
      <w:pPr>
        <w:spacing w:line="480" w:lineRule="auto"/>
        <w:jc w:val="both"/>
        <w:rPr>
          <w:rFonts w:cs="Arial"/>
        </w:rPr>
      </w:pPr>
      <w:r>
        <w:rPr>
          <w:noProof/>
        </w:rPr>
        <w:lastRenderedPageBreak/>
        <w:drawing>
          <wp:inline distT="0" distB="0" distL="0" distR="0" wp14:anchorId="577C2C52" wp14:editId="51BD1C68">
            <wp:extent cx="5371798" cy="5676900"/>
            <wp:effectExtent l="0" t="0" r="635" b="0"/>
            <wp:docPr id="204062798" name="Picture 204062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 cstate="print">
                      <a:extLst>
                        <a:ext uri="{28A0092B-C50C-407E-A947-70E740481C1C}">
                          <a14:useLocalDpi xmlns:a14="http://schemas.microsoft.com/office/drawing/2010/main" val="0"/>
                        </a:ext>
                      </a:extLst>
                    </a:blip>
                    <a:srcRect b="1942"/>
                    <a:stretch/>
                  </pic:blipFill>
                  <pic:spPr bwMode="auto">
                    <a:xfrm>
                      <a:off x="0" y="0"/>
                      <a:ext cx="5375346" cy="5680650"/>
                    </a:xfrm>
                    <a:prstGeom prst="rect">
                      <a:avLst/>
                    </a:prstGeom>
                    <a:ln>
                      <a:noFill/>
                    </a:ln>
                    <a:extLst>
                      <a:ext uri="{53640926-AAD7-44D8-BBD7-CCE9431645EC}">
                        <a14:shadowObscured xmlns:a14="http://schemas.microsoft.com/office/drawing/2010/main"/>
                      </a:ext>
                    </a:extLst>
                  </pic:spPr>
                </pic:pic>
              </a:graphicData>
            </a:graphic>
          </wp:inline>
        </w:drawing>
      </w:r>
    </w:p>
    <w:p w14:paraId="6D452DD3" w14:textId="77777777" w:rsidR="005D1FB7" w:rsidRDefault="005D1FB7" w:rsidP="005D1FB7">
      <w:pPr>
        <w:rPr>
          <w:rFonts w:cs="Arial"/>
        </w:rPr>
      </w:pPr>
      <w:r w:rsidRPr="0038519E">
        <w:rPr>
          <w:b/>
          <w:bCs/>
        </w:rPr>
        <w:t xml:space="preserve">Supplemental </w:t>
      </w:r>
      <w:r>
        <w:rPr>
          <w:b/>
          <w:bCs/>
        </w:rPr>
        <w:t>F</w:t>
      </w:r>
      <w:r w:rsidRPr="0038519E">
        <w:rPr>
          <w:b/>
          <w:bCs/>
        </w:rPr>
        <w:t xml:space="preserve">igure </w:t>
      </w:r>
      <w:r>
        <w:rPr>
          <w:b/>
          <w:bCs/>
        </w:rPr>
        <w:t>3</w:t>
      </w:r>
      <w:r>
        <w:br/>
      </w:r>
      <w:r w:rsidRPr="0038519E">
        <w:rPr>
          <w:rFonts w:cs="Arial"/>
        </w:rPr>
        <w:t xml:space="preserve">Image of blended whey protein concentrate (WPC; left) and pea protein isolate (PPI; Right) smoothies with their constituent elements. Both </w:t>
      </w:r>
      <w:r>
        <w:rPr>
          <w:rFonts w:cs="Arial"/>
        </w:rPr>
        <w:t>groups</w:t>
      </w:r>
      <w:r w:rsidRPr="0038519E">
        <w:rPr>
          <w:rFonts w:cs="Arial"/>
        </w:rPr>
        <w:t xml:space="preserve"> consumed the same whole-breakfast test meal (centre) with variations in volume of food according to relative protein intake. Values here are for a 72kg individual where 0.13 g</w:t>
      </w:r>
      <w:r>
        <w:rPr>
          <w:rFonts w:eastAsia="Symbol" w:cs="Arial"/>
          <w:color w:val="000000" w:themeColor="text1"/>
        </w:rPr>
        <w:sym w:font="Symbol" w:char="F0D7"/>
      </w:r>
      <w:r>
        <w:rPr>
          <w:rFonts w:eastAsia="Symbol" w:cs="Arial"/>
          <w:color w:val="000000" w:themeColor="text1"/>
        </w:rPr>
        <w:t>kg</w:t>
      </w:r>
      <w:r>
        <w:rPr>
          <w:rFonts w:cs="Arial"/>
        </w:rPr>
        <w:t xml:space="preserve"> </w:t>
      </w:r>
      <w:r w:rsidRPr="0038519E">
        <w:rPr>
          <w:rFonts w:cs="Arial"/>
        </w:rPr>
        <w:t>BM</w:t>
      </w:r>
      <w:r w:rsidRPr="0038519E">
        <w:rPr>
          <w:rFonts w:cs="Arial"/>
          <w:vertAlign w:val="superscript"/>
        </w:rPr>
        <w:t>-1</w:t>
      </w:r>
      <w:r w:rsidRPr="0038519E">
        <w:rPr>
          <w:rFonts w:cs="Arial"/>
        </w:rPr>
        <w:t xml:space="preserve"> is contributed from one of the supplements and the remaining 0.</w:t>
      </w:r>
      <w:r>
        <w:rPr>
          <w:rFonts w:cs="Arial"/>
        </w:rPr>
        <w:t>07</w:t>
      </w:r>
      <w:r w:rsidRPr="0038519E">
        <w:rPr>
          <w:rFonts w:cs="Arial"/>
        </w:rPr>
        <w:t xml:space="preserve"> g</w:t>
      </w:r>
      <w:r>
        <w:rPr>
          <w:rFonts w:eastAsia="Symbol" w:cs="Arial"/>
          <w:color w:val="000000" w:themeColor="text1"/>
        </w:rPr>
        <w:sym w:font="Symbol" w:char="F0D7"/>
      </w:r>
      <w:r w:rsidRPr="0038519E">
        <w:rPr>
          <w:rFonts w:cs="Arial"/>
        </w:rPr>
        <w:t>kg</w:t>
      </w:r>
      <w:r>
        <w:rPr>
          <w:rFonts w:cs="Arial"/>
        </w:rPr>
        <w:t xml:space="preserve"> </w:t>
      </w:r>
      <w:r w:rsidRPr="0038519E">
        <w:rPr>
          <w:rFonts w:cs="Arial"/>
        </w:rPr>
        <w:t>BM</w:t>
      </w:r>
      <w:r w:rsidRPr="0038519E">
        <w:rPr>
          <w:rFonts w:cs="Arial"/>
          <w:vertAlign w:val="superscript"/>
        </w:rPr>
        <w:t>-1</w:t>
      </w:r>
      <w:r w:rsidRPr="0038519E">
        <w:rPr>
          <w:rFonts w:cs="Arial"/>
        </w:rPr>
        <w:t xml:space="preserve"> is from the whole food breakfast.</w:t>
      </w:r>
      <w:r>
        <w:rPr>
          <w:rFonts w:cs="Arial"/>
        </w:rPr>
        <w:t xml:space="preserve"> </w:t>
      </w:r>
    </w:p>
    <w:p w14:paraId="11FBEC18" w14:textId="77777777" w:rsidR="005D1FB7" w:rsidRDefault="005D1FB7" w:rsidP="005D1FB7">
      <w:pPr>
        <w:rPr>
          <w:rFonts w:cs="Arial"/>
        </w:rPr>
      </w:pPr>
      <w:r>
        <w:rPr>
          <w:rFonts w:cs="Arial"/>
        </w:rPr>
        <w:br w:type="page"/>
      </w:r>
    </w:p>
    <w:p w14:paraId="089D12B0" w14:textId="77777777" w:rsidR="005D1FB7" w:rsidRDefault="005D1FB7" w:rsidP="005D1FB7">
      <w:pPr>
        <w:rPr>
          <w:rFonts w:cs="Arial"/>
        </w:rPr>
        <w:sectPr w:rsidR="005D1FB7" w:rsidSect="00D1586A">
          <w:pgSz w:w="12240" w:h="15840"/>
          <w:pgMar w:top="1440" w:right="1440" w:bottom="1440" w:left="1440" w:header="709" w:footer="709" w:gutter="0"/>
          <w:lnNumType w:countBy="1" w:restart="continuous"/>
          <w:cols w:space="708"/>
          <w:docGrid w:linePitch="360"/>
        </w:sectPr>
      </w:pPr>
    </w:p>
    <w:p w14:paraId="0CE2A5BC" w14:textId="77777777" w:rsidR="005D1FB7" w:rsidRDefault="005D1FB7" w:rsidP="005D1FB7">
      <w:pPr>
        <w:rPr>
          <w:rFonts w:cs="Arial"/>
        </w:rPr>
      </w:pPr>
      <w:r>
        <w:rPr>
          <w:rFonts w:cs="Arial"/>
          <w:noProof/>
        </w:rPr>
        <w:lastRenderedPageBreak/>
        <w:drawing>
          <wp:inline distT="0" distB="0" distL="0" distR="0" wp14:anchorId="5EF79AB8" wp14:editId="5BF775FC">
            <wp:extent cx="8229600" cy="5417991"/>
            <wp:effectExtent l="0" t="0" r="0" b="0"/>
            <wp:docPr id="1587364504" name="Picture 5" descr="A black background with white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364504" name="Picture 5" descr="A black background with white dots&#10;&#10;Description automatically generated"/>
                    <pic:cNvPicPr/>
                  </pic:nvPicPr>
                  <pic:blipFill>
                    <a:blip r:embed="rId8" cstate="print">
                      <a:extLst>
                        <a:ext uri="{28A0092B-C50C-407E-A947-70E740481C1C}">
                          <a14:useLocalDpi xmlns:a14="http://schemas.microsoft.com/office/drawing/2010/main"/>
                        </a:ext>
                      </a:extLst>
                    </a:blip>
                    <a:stretch>
                      <a:fillRect/>
                    </a:stretch>
                  </pic:blipFill>
                  <pic:spPr>
                    <a:xfrm>
                      <a:off x="0" y="0"/>
                      <a:ext cx="8229600" cy="5417991"/>
                    </a:xfrm>
                    <a:prstGeom prst="rect">
                      <a:avLst/>
                    </a:prstGeom>
                  </pic:spPr>
                </pic:pic>
              </a:graphicData>
            </a:graphic>
          </wp:inline>
        </w:drawing>
      </w:r>
    </w:p>
    <w:p w14:paraId="6DFCCED2" w14:textId="77777777" w:rsidR="005D1FB7" w:rsidRDefault="005D1FB7" w:rsidP="005D1FB7">
      <w:pPr>
        <w:rPr>
          <w:b/>
          <w:bCs/>
        </w:rPr>
      </w:pPr>
    </w:p>
    <w:p w14:paraId="169750F8" w14:textId="77777777" w:rsidR="005D1FB7" w:rsidRDefault="005D1FB7" w:rsidP="005D1FB7">
      <w:pPr>
        <w:rPr>
          <w:b/>
          <w:bCs/>
        </w:rPr>
      </w:pPr>
    </w:p>
    <w:p w14:paraId="4609E52D" w14:textId="77777777" w:rsidR="005D1FB7" w:rsidRPr="00BC1C51" w:rsidRDefault="005D1FB7" w:rsidP="005D1FB7">
      <w:r w:rsidRPr="00BC1C51">
        <w:rPr>
          <w:b/>
          <w:bCs/>
        </w:rPr>
        <w:t xml:space="preserve">Supplemental Figure 4 </w:t>
      </w:r>
      <w:proofErr w:type="spellStart"/>
      <w:r w:rsidRPr="00BC1C51">
        <w:t>Timecourse</w:t>
      </w:r>
      <w:proofErr w:type="spellEnd"/>
      <w:r w:rsidRPr="00BC1C51">
        <w:t xml:space="preserve"> for plasma amino acid concentrations.</w:t>
      </w:r>
    </w:p>
    <w:p w14:paraId="04A9DA33" w14:textId="77777777" w:rsidR="005D1FB7" w:rsidRDefault="005D1FB7" w:rsidP="005D1FB7">
      <w:pPr>
        <w:rPr>
          <w:rFonts w:cs="Arial"/>
        </w:rPr>
      </w:pPr>
      <w:r w:rsidRPr="00BC1C51">
        <w:rPr>
          <w:rFonts w:cs="Arial"/>
        </w:rPr>
        <w:lastRenderedPageBreak/>
        <w:t>Postprandial plasma concentrations for individual amino acids (</w:t>
      </w:r>
      <w:r w:rsidRPr="00BC1C51">
        <w:rPr>
          <w:rFonts w:cs="Arial"/>
          <w:b/>
          <w:bCs/>
        </w:rPr>
        <w:t>A-S</w:t>
      </w:r>
      <w:r w:rsidRPr="00BC1C51">
        <w:rPr>
          <w:rFonts w:cs="Arial"/>
        </w:rPr>
        <w:t>) and the sum of all non-essential amino acids (NEAA) (</w:t>
      </w:r>
      <w:r w:rsidRPr="00BC1C51">
        <w:rPr>
          <w:rFonts w:cs="Arial"/>
          <w:b/>
          <w:bCs/>
        </w:rPr>
        <w:t>T</w:t>
      </w:r>
      <w:r w:rsidRPr="00BC1C51">
        <w:rPr>
          <w:rFonts w:cs="Arial"/>
        </w:rPr>
        <w:t>) over 180 min postprandially following ingestion of a mixed breakfast with whey protein concentrate (MB+WPC) or mixed breakfast with pea protein isolate (MB+PPI). Data are presented at mean and SEM with n=13 for MB+WPC and n=9 for MB+PPI. 2-way ANOVA tested for significant main effect difference for time, group and interaction within each figure with baseline value (t=-20) within condition set as the reference value for time differences. *Denotes significant main effect difference from baseline (</w:t>
      </w:r>
      <w:r w:rsidRPr="00BC1C51">
        <w:rPr>
          <w:rFonts w:cs="Arial"/>
          <w:i/>
          <w:iCs/>
        </w:rPr>
        <w:t>P</w:t>
      </w:r>
      <w:r w:rsidRPr="00BC1C51">
        <w:rPr>
          <w:rFonts w:cs="Arial"/>
        </w:rPr>
        <w:t>&lt;0.05) and # for differences between groups (</w:t>
      </w:r>
      <w:r w:rsidRPr="00BC1C51">
        <w:rPr>
          <w:rFonts w:cs="Arial"/>
          <w:i/>
          <w:iCs/>
        </w:rPr>
        <w:t>P</w:t>
      </w:r>
      <w:r w:rsidRPr="00BC1C51">
        <w:rPr>
          <w:rFonts w:cs="Arial"/>
        </w:rPr>
        <w:t>&lt;0.05) designated above each timepoint.</w:t>
      </w:r>
    </w:p>
    <w:p w14:paraId="03248AC2" w14:textId="77777777" w:rsidR="005D1FB7" w:rsidRDefault="005D1FB7" w:rsidP="005D1FB7">
      <w:pPr>
        <w:rPr>
          <w:rFonts w:cs="Arial"/>
        </w:rPr>
      </w:pPr>
    </w:p>
    <w:p w14:paraId="2BEBD8BE" w14:textId="77777777" w:rsidR="005D1FB7" w:rsidRPr="00D71188" w:rsidRDefault="005D1FB7" w:rsidP="005D1FB7">
      <w:pPr>
        <w:rPr>
          <w:rFonts w:cs="Arial"/>
        </w:rPr>
      </w:pPr>
    </w:p>
    <w:p w14:paraId="11E6C792" w14:textId="77777777" w:rsidR="005D1FB7" w:rsidRDefault="005D1FB7" w:rsidP="005D1FB7">
      <w:pPr>
        <w:rPr>
          <w:b/>
          <w:bCs/>
        </w:rPr>
      </w:pPr>
      <w:r>
        <w:rPr>
          <w:b/>
          <w:bCs/>
          <w:noProof/>
        </w:rPr>
        <w:lastRenderedPageBreak/>
        <w:drawing>
          <wp:inline distT="0" distB="0" distL="0" distR="0" wp14:anchorId="3F762907" wp14:editId="3310BB46">
            <wp:extent cx="7341870" cy="5943600"/>
            <wp:effectExtent l="0" t="0" r="0" b="0"/>
            <wp:docPr id="1490010873" name="Picture 4" descr="A black and white screen with white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010873" name="Picture 4" descr="A black and white screen with white squares&#10;&#10;Description automatically generated"/>
                    <pic:cNvPicPr/>
                  </pic:nvPicPr>
                  <pic:blipFill>
                    <a:blip r:embed="rId9" cstate="print">
                      <a:extLst>
                        <a:ext uri="{28A0092B-C50C-407E-A947-70E740481C1C}">
                          <a14:useLocalDpi xmlns:a14="http://schemas.microsoft.com/office/drawing/2010/main"/>
                        </a:ext>
                      </a:extLst>
                    </a:blip>
                    <a:stretch>
                      <a:fillRect/>
                    </a:stretch>
                  </pic:blipFill>
                  <pic:spPr>
                    <a:xfrm>
                      <a:off x="0" y="0"/>
                      <a:ext cx="7341870" cy="5943600"/>
                    </a:xfrm>
                    <a:prstGeom prst="rect">
                      <a:avLst/>
                    </a:prstGeom>
                  </pic:spPr>
                </pic:pic>
              </a:graphicData>
            </a:graphic>
          </wp:inline>
        </w:drawing>
      </w:r>
    </w:p>
    <w:p w14:paraId="5D82EEA6" w14:textId="77777777" w:rsidR="005D1FB7" w:rsidRPr="001826FE" w:rsidRDefault="005D1FB7" w:rsidP="005D1FB7">
      <w:r w:rsidRPr="001826FE">
        <w:rPr>
          <w:b/>
          <w:bCs/>
        </w:rPr>
        <w:lastRenderedPageBreak/>
        <w:t xml:space="preserve">Supplementary Figure 5 </w:t>
      </w:r>
      <w:r w:rsidRPr="001826FE">
        <w:t>Incremental area under the curve for plasma amino acids over the 180 min postprandial period.</w:t>
      </w:r>
    </w:p>
    <w:p w14:paraId="030A4281" w14:textId="77777777" w:rsidR="005D1FB7" w:rsidRPr="00694E82" w:rsidRDefault="005D1FB7" w:rsidP="005D1FB7">
      <w:pPr>
        <w:rPr>
          <w:rFonts w:cs="Arial"/>
        </w:rPr>
      </w:pPr>
      <w:r w:rsidRPr="001826FE">
        <w:rPr>
          <w:rFonts w:cs="Arial"/>
        </w:rPr>
        <w:t>Incremental area under the curve (</w:t>
      </w:r>
      <w:proofErr w:type="spellStart"/>
      <w:r w:rsidRPr="001826FE">
        <w:rPr>
          <w:rFonts w:cs="Arial"/>
        </w:rPr>
        <w:t>iAUC</w:t>
      </w:r>
      <w:proofErr w:type="spellEnd"/>
      <w:r w:rsidRPr="001826FE">
        <w:rPr>
          <w:rFonts w:cs="Arial"/>
        </w:rPr>
        <w:t>) over 180 mins for individual amino acids (</w:t>
      </w:r>
      <w:r w:rsidRPr="001826FE">
        <w:rPr>
          <w:rFonts w:cs="Arial"/>
          <w:b/>
          <w:bCs/>
        </w:rPr>
        <w:t>A-S</w:t>
      </w:r>
      <w:r w:rsidRPr="001826FE">
        <w:rPr>
          <w:rFonts w:cs="Arial"/>
        </w:rPr>
        <w:t>) and sum of non-essential amino acids (NEAA) (</w:t>
      </w:r>
      <w:r w:rsidRPr="001826FE">
        <w:rPr>
          <w:rFonts w:cs="Arial"/>
          <w:b/>
          <w:bCs/>
        </w:rPr>
        <w:t>T</w:t>
      </w:r>
      <w:r w:rsidRPr="001826FE">
        <w:rPr>
          <w:rFonts w:cs="Arial"/>
        </w:rPr>
        <w:t xml:space="preserve">) captured in the postprandial period following ingestion a mixed breakfast with whey protein concentrate (MB+WPC) or mixed breakfast with pea protein isolate (MB+PPI). Data are presented at mean and SEM with n=13 for MB+WPC and n=9 for MB+PPI. Independent samples t-test was used to compare between-group differences in </w:t>
      </w:r>
      <w:proofErr w:type="spellStart"/>
      <w:r w:rsidRPr="001826FE">
        <w:rPr>
          <w:rFonts w:cs="Arial"/>
        </w:rPr>
        <w:t>iAUC</w:t>
      </w:r>
      <w:proofErr w:type="spellEnd"/>
      <w:r w:rsidRPr="001826FE">
        <w:rPr>
          <w:rFonts w:cs="Arial"/>
        </w:rPr>
        <w:t>. *Denotes significant difference between groups (*</w:t>
      </w:r>
      <w:r w:rsidRPr="001826FE">
        <w:rPr>
          <w:rFonts w:cs="Arial"/>
          <w:i/>
          <w:iCs/>
        </w:rPr>
        <w:t>P</w:t>
      </w:r>
      <w:r w:rsidRPr="001826FE">
        <w:rPr>
          <w:rFonts w:cs="Arial"/>
        </w:rPr>
        <w:t>&lt;0.05, **P&lt;0.01).</w:t>
      </w:r>
    </w:p>
    <w:p w14:paraId="3BA60D6E" w14:textId="77777777" w:rsidR="005D1FB7" w:rsidRDefault="005D1FB7" w:rsidP="005D1FB7"/>
    <w:p w14:paraId="6C5E0223" w14:textId="77777777" w:rsidR="005D1FB7" w:rsidRDefault="005D1FB7" w:rsidP="005D1FB7"/>
    <w:p w14:paraId="6D84ED00" w14:textId="77777777" w:rsidR="005D1FB7" w:rsidRDefault="005D1FB7" w:rsidP="005D1FB7"/>
    <w:p w14:paraId="1F85159C" w14:textId="77777777" w:rsidR="005D1FB7" w:rsidRDefault="005D1FB7" w:rsidP="005D1FB7"/>
    <w:p w14:paraId="4F9AB7D8" w14:textId="77777777" w:rsidR="005D1FB7" w:rsidRDefault="005D1FB7" w:rsidP="005D1FB7">
      <w:pPr>
        <w:sectPr w:rsidR="005D1FB7" w:rsidSect="00D1586A">
          <w:pgSz w:w="15840" w:h="12240" w:orient="landscape"/>
          <w:pgMar w:top="1440" w:right="1440" w:bottom="1440" w:left="1440" w:header="709" w:footer="709" w:gutter="0"/>
          <w:lnNumType w:countBy="1" w:restart="continuous"/>
          <w:cols w:space="708"/>
          <w:docGrid w:linePitch="360"/>
        </w:sectPr>
      </w:pPr>
    </w:p>
    <w:p w14:paraId="7D8BBFD1" w14:textId="77777777" w:rsidR="005D1FB7" w:rsidRPr="00BC1C51" w:rsidRDefault="005D1FB7" w:rsidP="005D1FB7">
      <w:pPr>
        <w:rPr>
          <w:b/>
          <w:bCs/>
        </w:rPr>
      </w:pPr>
      <w:r w:rsidRPr="00BC1C51">
        <w:rPr>
          <w:b/>
          <w:bCs/>
        </w:rPr>
        <w:lastRenderedPageBreak/>
        <w:t>Supplementary Material 1</w:t>
      </w:r>
    </w:p>
    <w:p w14:paraId="754AB9C5" w14:textId="77777777" w:rsidR="005D1FB7" w:rsidRDefault="005D1FB7" w:rsidP="005D1FB7"/>
    <w:p w14:paraId="4EC5BCB7" w14:textId="77777777" w:rsidR="005D1FB7" w:rsidRPr="00BC1C51" w:rsidRDefault="005D1FB7" w:rsidP="005D1FB7">
      <w:pPr>
        <w:spacing w:line="480" w:lineRule="auto"/>
        <w:ind w:firstLine="720"/>
        <w:jc w:val="both"/>
      </w:pPr>
      <w:r>
        <w:rPr>
          <w:rFonts w:eastAsia="Helvetica Neue"/>
          <w:color w:val="000000" w:themeColor="text1"/>
          <w:bdr w:val="nil"/>
        </w:rPr>
        <w:t>Plasma a</w:t>
      </w:r>
      <w:r w:rsidRPr="00C75E8A">
        <w:rPr>
          <w:rFonts w:eastAsia="Helvetica Neue"/>
          <w:color w:val="000000" w:themeColor="text1"/>
          <w:bdr w:val="nil"/>
        </w:rPr>
        <w:t>mino acid concentration</w:t>
      </w:r>
      <w:r>
        <w:rPr>
          <w:rFonts w:eastAsia="Helvetica Neue"/>
          <w:color w:val="000000" w:themeColor="text1"/>
          <w:bdr w:val="nil"/>
        </w:rPr>
        <w:t>s</w:t>
      </w:r>
      <w:r w:rsidRPr="00C75E8A">
        <w:rPr>
          <w:rFonts w:eastAsia="Helvetica Neue"/>
          <w:color w:val="000000" w:themeColor="text1"/>
          <w:bdr w:val="nil"/>
        </w:rPr>
        <w:t xml:space="preserve"> w</w:t>
      </w:r>
      <w:r>
        <w:rPr>
          <w:rFonts w:eastAsia="Helvetica Neue"/>
          <w:color w:val="000000" w:themeColor="text1"/>
          <w:bdr w:val="nil"/>
        </w:rPr>
        <w:t>ere</w:t>
      </w:r>
      <w:r w:rsidRPr="00C75E8A">
        <w:rPr>
          <w:rFonts w:eastAsia="Helvetica Neue"/>
          <w:color w:val="000000" w:themeColor="text1"/>
          <w:bdr w:val="nil"/>
        </w:rPr>
        <w:t xml:space="preserve"> asse</w:t>
      </w:r>
      <w:r>
        <w:rPr>
          <w:rFonts w:eastAsia="Helvetica Neue"/>
          <w:color w:val="000000" w:themeColor="text1"/>
          <w:bdr w:val="nil"/>
        </w:rPr>
        <w:t>ssed in collaboration with the P</w:t>
      </w:r>
      <w:r w:rsidRPr="00C75E8A">
        <w:rPr>
          <w:rFonts w:eastAsia="Helvetica Neue"/>
          <w:color w:val="000000" w:themeColor="text1"/>
          <w:bdr w:val="nil"/>
        </w:rPr>
        <w:t xml:space="preserve">roteomics </w:t>
      </w:r>
      <w:r>
        <w:rPr>
          <w:rFonts w:eastAsia="Helvetica Neue"/>
          <w:color w:val="000000" w:themeColor="text1"/>
          <w:bdr w:val="nil"/>
        </w:rPr>
        <w:t xml:space="preserve">and Molecular Analysis </w:t>
      </w:r>
      <w:r w:rsidRPr="00C75E8A">
        <w:rPr>
          <w:rFonts w:eastAsia="Helvetica Neue"/>
          <w:color w:val="000000" w:themeColor="text1"/>
          <w:bdr w:val="nil"/>
        </w:rPr>
        <w:t xml:space="preserve">platform at the </w:t>
      </w:r>
      <w:r w:rsidRPr="68877632">
        <w:rPr>
          <w:rFonts w:eastAsia="Helvetica Neue"/>
          <w:color w:val="000000" w:themeColor="text1"/>
        </w:rPr>
        <w:t>Research Institute</w:t>
      </w:r>
      <w:r w:rsidRPr="00C75E8A">
        <w:rPr>
          <w:rFonts w:eastAsia="Helvetica Neue"/>
          <w:color w:val="000000" w:themeColor="text1"/>
          <w:bdr w:val="nil"/>
        </w:rPr>
        <w:t xml:space="preserve"> of the </w:t>
      </w:r>
      <w:r w:rsidRPr="68877632">
        <w:rPr>
          <w:rFonts w:eastAsia="Helvetica Neue"/>
          <w:color w:val="000000" w:themeColor="text1"/>
        </w:rPr>
        <w:t xml:space="preserve">McGill </w:t>
      </w:r>
      <w:r w:rsidRPr="00C75E8A">
        <w:rPr>
          <w:rFonts w:eastAsia="Helvetica Neue"/>
          <w:color w:val="000000" w:themeColor="text1"/>
          <w:bdr w:val="nil"/>
        </w:rPr>
        <w:t>University Health Centre</w:t>
      </w:r>
      <w:r>
        <w:rPr>
          <w:rFonts w:eastAsia="Helvetica Neue"/>
          <w:color w:val="000000" w:themeColor="text1"/>
          <w:bdr w:val="nil"/>
        </w:rPr>
        <w:t xml:space="preserve"> </w:t>
      </w:r>
      <w:r w:rsidRPr="00C75E8A">
        <w:rPr>
          <w:rFonts w:eastAsia="Helvetica Neue"/>
          <w:color w:val="000000" w:themeColor="text1"/>
          <w:bdr w:val="nil"/>
        </w:rPr>
        <w:t>(Montreal, Quebec)</w:t>
      </w:r>
      <w:r>
        <w:rPr>
          <w:rFonts w:eastAsia="Helvetica Neue"/>
          <w:color w:val="000000" w:themeColor="text1"/>
          <w:bdr w:val="nil"/>
        </w:rPr>
        <w:t xml:space="preserve">. Amino acids were extracted from plasma using protein precipitation and derivatized with 6-aminoquinolyl-N-hydroxysuccinimidyl carbamate (AQC; </w:t>
      </w:r>
      <w:r w:rsidRPr="001441F2">
        <w:rPr>
          <w:rFonts w:eastAsia="Helvetica Neue"/>
          <w:color w:val="000000" w:themeColor="text1"/>
          <w:bdr w:val="nil"/>
        </w:rPr>
        <w:t>Cayman Chemical</w:t>
      </w:r>
      <w:r>
        <w:rPr>
          <w:rFonts w:eastAsia="Helvetica Neue"/>
          <w:color w:val="000000" w:themeColor="text1"/>
          <w:bdr w:val="nil"/>
        </w:rPr>
        <w:t xml:space="preserve">, </w:t>
      </w:r>
      <w:r w:rsidRPr="001441F2">
        <w:rPr>
          <w:rFonts w:eastAsia="Helvetica Neue"/>
          <w:color w:val="000000" w:themeColor="text1"/>
          <w:bdr w:val="nil"/>
        </w:rPr>
        <w:t>Ann Arbor, Michigan</w:t>
      </w:r>
      <w:r>
        <w:rPr>
          <w:rFonts w:eastAsia="Helvetica Neue"/>
          <w:color w:val="000000" w:themeColor="text1"/>
          <w:bdr w:val="nil"/>
        </w:rPr>
        <w:t xml:space="preserve">) for analysis using reversed phase </w:t>
      </w:r>
      <w:proofErr w:type="spellStart"/>
      <w:r>
        <w:rPr>
          <w:rFonts w:eastAsia="Helvetica Neue"/>
          <w:color w:val="000000" w:themeColor="text1"/>
          <w:bdr w:val="nil"/>
        </w:rPr>
        <w:t>ultra p</w:t>
      </w:r>
      <w:r w:rsidRPr="00BF41FA">
        <w:rPr>
          <w:rFonts w:eastAsia="Helvetica Neue"/>
          <w:color w:val="000000" w:themeColor="text1"/>
          <w:bdr w:val="nil"/>
        </w:rPr>
        <w:t>erformance</w:t>
      </w:r>
      <w:proofErr w:type="spellEnd"/>
      <w:r w:rsidRPr="00BF41FA">
        <w:rPr>
          <w:rFonts w:eastAsia="Helvetica Neue"/>
          <w:color w:val="000000" w:themeColor="text1"/>
          <w:bdr w:val="nil"/>
        </w:rPr>
        <w:t xml:space="preserve"> </w:t>
      </w:r>
      <w:r>
        <w:rPr>
          <w:rFonts w:eastAsia="Helvetica Neue"/>
          <w:color w:val="000000" w:themeColor="text1"/>
          <w:bdr w:val="nil"/>
        </w:rPr>
        <w:t>l</w:t>
      </w:r>
      <w:r w:rsidRPr="00BF41FA">
        <w:rPr>
          <w:rFonts w:eastAsia="Helvetica Neue"/>
          <w:color w:val="000000" w:themeColor="text1"/>
          <w:bdr w:val="nil"/>
        </w:rPr>
        <w:t xml:space="preserve">iquid </w:t>
      </w:r>
      <w:r>
        <w:rPr>
          <w:rFonts w:eastAsia="Helvetica Neue"/>
          <w:color w:val="000000" w:themeColor="text1"/>
          <w:bdr w:val="nil"/>
        </w:rPr>
        <w:t>c</w:t>
      </w:r>
      <w:r w:rsidRPr="00BF41FA">
        <w:rPr>
          <w:rFonts w:eastAsia="Helvetica Neue"/>
          <w:color w:val="000000" w:themeColor="text1"/>
          <w:bdr w:val="nil"/>
        </w:rPr>
        <w:t>hromatography</w:t>
      </w:r>
      <w:r w:rsidRPr="00C75E8A">
        <w:rPr>
          <w:rFonts w:eastAsia="Helvetica Neue"/>
          <w:color w:val="000000" w:themeColor="text1"/>
          <w:bdr w:val="nil"/>
        </w:rPr>
        <w:t xml:space="preserve"> mass spectrometry</w:t>
      </w:r>
      <w:r w:rsidRPr="68877632">
        <w:rPr>
          <w:rFonts w:eastAsia="Helvetica Neue"/>
          <w:color w:val="000000" w:themeColor="text1"/>
        </w:rPr>
        <w:t xml:space="preserve"> (</w:t>
      </w:r>
      <w:r>
        <w:rPr>
          <w:rFonts w:eastAsia="Helvetica Neue"/>
          <w:color w:val="000000" w:themeColor="text1"/>
        </w:rPr>
        <w:t>UP</w:t>
      </w:r>
      <w:r w:rsidRPr="68877632">
        <w:rPr>
          <w:rFonts w:eastAsia="Helvetica Neue"/>
          <w:color w:val="000000" w:themeColor="text1"/>
        </w:rPr>
        <w:t>LC</w:t>
      </w:r>
      <w:r>
        <w:rPr>
          <w:rFonts w:eastAsia="Helvetica Neue"/>
          <w:color w:val="000000" w:themeColor="text1"/>
        </w:rPr>
        <w:t>-</w:t>
      </w:r>
      <w:r w:rsidRPr="68877632">
        <w:rPr>
          <w:rFonts w:eastAsia="Helvetica Neue"/>
          <w:color w:val="000000" w:themeColor="text1"/>
        </w:rPr>
        <w:t>MS)</w:t>
      </w:r>
      <w:r>
        <w:rPr>
          <w:rFonts w:eastAsia="Helvetica Neue"/>
          <w:color w:val="000000" w:themeColor="text1"/>
        </w:rPr>
        <w:t xml:space="preserve">. Plasma samples were extracted alongside a calibration curve of amino acids in 0.1N HCl with </w:t>
      </w:r>
      <w:r>
        <w:rPr>
          <w:rFonts w:eastAsia="Helvetica Neue"/>
          <w:color w:val="000000" w:themeColor="text1"/>
          <w:bdr w:val="nil"/>
        </w:rPr>
        <w:t xml:space="preserve">norvaline </w:t>
      </w:r>
      <w:r>
        <w:rPr>
          <w:rFonts w:eastAsia="Helvetica Neue"/>
          <w:color w:val="000000" w:themeColor="text1"/>
        </w:rPr>
        <w:t xml:space="preserve">as an internal standard </w:t>
      </w:r>
      <w:r w:rsidRPr="00EE3A4E">
        <w:rPr>
          <w:rFonts w:eastAsia="Helvetica Neue"/>
          <w:color w:val="000000" w:themeColor="text1"/>
          <w:bdr w:val="nil"/>
        </w:rPr>
        <w:t>(all amino acids and norvaline purchased from Sigma-Aldrich, St. Louis, Missouri, USA)</w:t>
      </w:r>
      <w:r>
        <w:rPr>
          <w:rFonts w:eastAsia="Helvetica Neue"/>
          <w:color w:val="000000" w:themeColor="text1"/>
        </w:rPr>
        <w:t>. A calibration curve of 5 to 1000 µM was used for all amino acids except cysteine (2.5 to 500 µM). An internal standard working solution (ISWS) containing 25 µM norvaline in 5% 5-s</w:t>
      </w:r>
      <w:r w:rsidRPr="00D13CB9">
        <w:rPr>
          <w:rFonts w:eastAsia="Helvetica Neue"/>
          <w:color w:val="000000" w:themeColor="text1"/>
        </w:rPr>
        <w:t xml:space="preserve">ulfosalicylic acid </w:t>
      </w:r>
      <w:r>
        <w:rPr>
          <w:rFonts w:eastAsia="Helvetica Neue"/>
          <w:color w:val="000000" w:themeColor="text1"/>
        </w:rPr>
        <w:t xml:space="preserve">was used to extract plasma and calibration samples. ISWS aliquots (50 µL) were added to sample aliquots (25 µL) in microcentrifuge tubes, vortexed and centrifuged </w:t>
      </w:r>
      <w:r w:rsidRPr="00266C05">
        <w:rPr>
          <w:rFonts w:eastAsia="Helvetica Neue"/>
          <w:color w:val="000000" w:themeColor="text1"/>
        </w:rPr>
        <w:t>at 1</w:t>
      </w:r>
      <w:r>
        <w:rPr>
          <w:rFonts w:eastAsia="Helvetica Neue"/>
          <w:color w:val="000000" w:themeColor="text1"/>
        </w:rPr>
        <w:t>5</w:t>
      </w:r>
      <w:r w:rsidRPr="00266C05">
        <w:rPr>
          <w:rFonts w:eastAsia="Helvetica Neue"/>
          <w:color w:val="000000" w:themeColor="text1"/>
        </w:rPr>
        <w:t xml:space="preserve">,000 </w:t>
      </w:r>
      <w:r w:rsidRPr="002D6044">
        <w:rPr>
          <w:rFonts w:eastAsia="Helvetica Neue"/>
          <w:i/>
          <w:iCs/>
          <w:color w:val="000000" w:themeColor="text1"/>
        </w:rPr>
        <w:t>x g</w:t>
      </w:r>
      <w:r w:rsidRPr="00266C05">
        <w:rPr>
          <w:rFonts w:eastAsia="Helvetica Neue"/>
          <w:color w:val="000000" w:themeColor="text1"/>
        </w:rPr>
        <w:t xml:space="preserve"> for 10 mins.</w:t>
      </w:r>
      <w:r w:rsidRPr="00B77012">
        <w:rPr>
          <w:rFonts w:eastAsia="Helvetica Neue"/>
          <w:color w:val="000000" w:themeColor="text1"/>
          <w:bdr w:val="nil"/>
        </w:rPr>
        <w:t xml:space="preserve"> </w:t>
      </w:r>
      <w:r>
        <w:rPr>
          <w:rFonts w:eastAsia="Helvetica Neue"/>
          <w:color w:val="000000" w:themeColor="text1"/>
          <w:bdr w:val="nil"/>
        </w:rPr>
        <w:t>Supernatant aliquots (10 µL) were transferred into glass tubes containing 70</w:t>
      </w:r>
      <w:r w:rsidRPr="00CE13D6">
        <w:rPr>
          <w:rFonts w:eastAsia="Helvetica Neue"/>
          <w:color w:val="000000" w:themeColor="text1"/>
          <w:bdr w:val="nil"/>
        </w:rPr>
        <w:t xml:space="preserve"> </w:t>
      </w:r>
      <w:r w:rsidRPr="00F415D3">
        <w:rPr>
          <w:rFonts w:eastAsia="Helvetica Neue"/>
          <w:color w:val="000000" w:themeColor="text1"/>
          <w:bdr w:val="nil"/>
        </w:rPr>
        <w:t>µ</w:t>
      </w:r>
      <w:r>
        <w:rPr>
          <w:rFonts w:eastAsia="Helvetica Neue"/>
          <w:color w:val="000000" w:themeColor="text1"/>
          <w:bdr w:val="nil"/>
        </w:rPr>
        <w:t>L buffer solution (0.2M sodium b</w:t>
      </w:r>
      <w:r w:rsidRPr="0055244D">
        <w:rPr>
          <w:rFonts w:eastAsia="Helvetica Neue"/>
          <w:color w:val="000000" w:themeColor="text1"/>
          <w:bdr w:val="nil"/>
        </w:rPr>
        <w:t xml:space="preserve">orate </w:t>
      </w:r>
      <w:r>
        <w:rPr>
          <w:rFonts w:eastAsia="Helvetica Neue"/>
          <w:color w:val="000000" w:themeColor="text1"/>
          <w:bdr w:val="nil"/>
        </w:rPr>
        <w:t>pH 8.8) along with 20</w:t>
      </w:r>
      <w:r w:rsidRPr="00FB77D9">
        <w:rPr>
          <w:rFonts w:eastAsia="Helvetica Neue"/>
          <w:color w:val="000000" w:themeColor="text1"/>
          <w:bdr w:val="nil"/>
        </w:rPr>
        <w:t xml:space="preserve"> </w:t>
      </w:r>
      <w:r w:rsidRPr="00F415D3">
        <w:rPr>
          <w:rFonts w:eastAsia="Helvetica Neue"/>
          <w:color w:val="000000" w:themeColor="text1"/>
          <w:bdr w:val="nil"/>
        </w:rPr>
        <w:t>µ</w:t>
      </w:r>
      <w:r>
        <w:rPr>
          <w:rFonts w:eastAsia="Helvetica Neue"/>
          <w:color w:val="000000" w:themeColor="text1"/>
          <w:bdr w:val="nil"/>
        </w:rPr>
        <w:t xml:space="preserve">L </w:t>
      </w:r>
      <w:r w:rsidRPr="0055244D">
        <w:rPr>
          <w:rFonts w:eastAsia="Helvetica Neue"/>
          <w:color w:val="000000" w:themeColor="text1"/>
          <w:bdr w:val="nil"/>
        </w:rPr>
        <w:t>derivatization solution</w:t>
      </w:r>
      <w:r>
        <w:rPr>
          <w:rFonts w:eastAsia="Helvetica Neue"/>
          <w:color w:val="000000" w:themeColor="text1"/>
          <w:bdr w:val="nil"/>
        </w:rPr>
        <w:t xml:space="preserve"> (10mM AQC in acetonitrile), mixed and incubated for 10 min at 55°C. After cooling to room temperature, aliquots (10</w:t>
      </w:r>
      <w:r w:rsidRPr="00850B26">
        <w:rPr>
          <w:rFonts w:eastAsia="Helvetica Neue"/>
          <w:color w:val="000000" w:themeColor="text1"/>
          <w:bdr w:val="nil"/>
        </w:rPr>
        <w:t xml:space="preserve"> </w:t>
      </w:r>
      <w:r w:rsidRPr="00F415D3">
        <w:rPr>
          <w:rFonts w:eastAsia="Helvetica Neue"/>
          <w:color w:val="000000" w:themeColor="text1"/>
          <w:bdr w:val="nil"/>
        </w:rPr>
        <w:t>µ</w:t>
      </w:r>
      <w:r>
        <w:rPr>
          <w:rFonts w:eastAsia="Helvetica Neue"/>
          <w:color w:val="000000" w:themeColor="text1"/>
          <w:bdr w:val="nil"/>
        </w:rPr>
        <w:t>L) were transferred to autosampler vials containing 1000 µL Type-1 water for UPLC-MS analysis.</w:t>
      </w:r>
      <w:r>
        <w:rPr>
          <w:rFonts w:eastAsia="Helvetica Neue"/>
          <w:color w:val="000000" w:themeColor="text1"/>
        </w:rPr>
        <w:t xml:space="preserve"> Extracts were </w:t>
      </w:r>
      <w:proofErr w:type="spellStart"/>
      <w:r>
        <w:rPr>
          <w:rFonts w:eastAsia="Helvetica Neue"/>
          <w:color w:val="000000" w:themeColor="text1"/>
        </w:rPr>
        <w:t>analyzed</w:t>
      </w:r>
      <w:proofErr w:type="spellEnd"/>
      <w:r>
        <w:rPr>
          <w:rFonts w:eastAsia="Helvetica Neue"/>
          <w:color w:val="000000" w:themeColor="text1"/>
        </w:rPr>
        <w:t xml:space="preserve"> by UPLC-MS using an </w:t>
      </w:r>
      <w:r w:rsidRPr="00C535F6">
        <w:rPr>
          <w:rFonts w:eastAsia="Helvetica Neue"/>
          <w:color w:val="000000" w:themeColor="text1"/>
        </w:rPr>
        <w:t>Agilent 6460 triple</w:t>
      </w:r>
      <w:r>
        <w:rPr>
          <w:rFonts w:eastAsia="Helvetica Neue"/>
          <w:color w:val="000000" w:themeColor="text1"/>
        </w:rPr>
        <w:t xml:space="preserve"> quadrupole mass spectrometer coupled with an Agilent 1290 UPLC system (Agilent, Santa Clara, California, </w:t>
      </w:r>
      <w:r w:rsidRPr="005D25C6">
        <w:rPr>
          <w:rFonts w:eastAsia="Helvetica Neue"/>
          <w:color w:val="000000" w:themeColor="text1"/>
        </w:rPr>
        <w:t>USA).</w:t>
      </w:r>
      <w:r w:rsidRPr="005D25C6">
        <w:t xml:space="preserve"> </w:t>
      </w:r>
      <w:r w:rsidRPr="005D25C6">
        <w:rPr>
          <w:rFonts w:eastAsia="Helvetica Neue"/>
          <w:color w:val="000000" w:themeColor="text1"/>
        </w:rPr>
        <w:t>Extracts</w:t>
      </w:r>
      <w:r>
        <w:rPr>
          <w:rFonts w:eastAsia="Helvetica Neue"/>
          <w:color w:val="000000" w:themeColor="text1"/>
        </w:rPr>
        <w:t xml:space="preserve"> (5 µL)</w:t>
      </w:r>
      <w:r w:rsidRPr="005D25C6">
        <w:rPr>
          <w:rFonts w:eastAsia="Helvetica Neue"/>
          <w:color w:val="000000" w:themeColor="text1"/>
        </w:rPr>
        <w:t xml:space="preserve"> were injected onto an Agilent Eclipse Plus C</w:t>
      </w:r>
      <w:r>
        <w:rPr>
          <w:rFonts w:eastAsia="Helvetica Neue"/>
          <w:color w:val="000000" w:themeColor="text1"/>
        </w:rPr>
        <w:t>18 10</w:t>
      </w:r>
      <w:r w:rsidRPr="005D25C6">
        <w:rPr>
          <w:rFonts w:eastAsia="Helvetica Neue"/>
          <w:color w:val="000000" w:themeColor="text1"/>
        </w:rPr>
        <w:t xml:space="preserve">0 x 2.1 mm (1.8 µm) column and chromatographed </w:t>
      </w:r>
      <w:r>
        <w:rPr>
          <w:rFonts w:eastAsia="Helvetica Neue"/>
          <w:color w:val="000000" w:themeColor="text1"/>
        </w:rPr>
        <w:t>with</w:t>
      </w:r>
      <w:r w:rsidRPr="005D25C6">
        <w:rPr>
          <w:rFonts w:eastAsia="Helvetica Neue"/>
          <w:color w:val="000000" w:themeColor="text1"/>
        </w:rPr>
        <w:t xml:space="preserve"> a reverse phase gradient a</w:t>
      </w:r>
      <w:r>
        <w:rPr>
          <w:rFonts w:eastAsia="Helvetica Neue"/>
          <w:color w:val="000000" w:themeColor="text1"/>
        </w:rPr>
        <w:t>t 0.250 mL/min using 0.1% formic acid in water and 0.1% formic</w:t>
      </w:r>
      <w:r w:rsidRPr="005D25C6">
        <w:rPr>
          <w:rFonts w:eastAsia="Helvetica Neue"/>
          <w:color w:val="000000" w:themeColor="text1"/>
        </w:rPr>
        <w:t xml:space="preserve"> acid in acetonitrile</w:t>
      </w:r>
      <w:r>
        <w:rPr>
          <w:rFonts w:eastAsia="Helvetica Neue"/>
          <w:color w:val="000000" w:themeColor="text1"/>
        </w:rPr>
        <w:t xml:space="preserve">. </w:t>
      </w:r>
      <w:r w:rsidRPr="0081635B">
        <w:rPr>
          <w:rFonts w:eastAsia="Helvetica Neue"/>
          <w:color w:val="000000" w:themeColor="text1"/>
        </w:rPr>
        <w:t xml:space="preserve">The </w:t>
      </w:r>
      <w:r>
        <w:rPr>
          <w:rFonts w:eastAsia="Helvetica Neue"/>
          <w:color w:val="000000" w:themeColor="text1"/>
        </w:rPr>
        <w:lastRenderedPageBreak/>
        <w:t>derivatized amino acids</w:t>
      </w:r>
      <w:r w:rsidRPr="0081635B">
        <w:rPr>
          <w:rFonts w:eastAsia="Helvetica Neue"/>
          <w:color w:val="000000" w:themeColor="text1"/>
        </w:rPr>
        <w:t xml:space="preserve"> were detected using electrospray </w:t>
      </w:r>
      <w:r>
        <w:rPr>
          <w:rFonts w:eastAsia="Helvetica Neue"/>
          <w:color w:val="000000" w:themeColor="text1"/>
        </w:rPr>
        <w:t>positive</w:t>
      </w:r>
      <w:r w:rsidRPr="0081635B">
        <w:rPr>
          <w:rFonts w:eastAsia="Helvetica Neue"/>
          <w:color w:val="000000" w:themeColor="text1"/>
        </w:rPr>
        <w:t xml:space="preserve"> mode ionization followed by MS/MS fragm</w:t>
      </w:r>
      <w:r>
        <w:rPr>
          <w:rFonts w:eastAsia="Helvetica Neue"/>
          <w:color w:val="000000" w:themeColor="text1"/>
        </w:rPr>
        <w:t xml:space="preserve">entation. </w:t>
      </w:r>
      <w:r w:rsidRPr="0081635B">
        <w:rPr>
          <w:rFonts w:eastAsia="Helvetica Neue"/>
          <w:color w:val="000000" w:themeColor="text1"/>
        </w:rPr>
        <w:t xml:space="preserve">Data acquisition was performed using </w:t>
      </w:r>
      <w:r>
        <w:rPr>
          <w:rFonts w:eastAsia="Helvetica Neue"/>
          <w:color w:val="000000" w:themeColor="text1"/>
        </w:rPr>
        <w:t>Agilent</w:t>
      </w:r>
      <w:r w:rsidRPr="0081635B">
        <w:rPr>
          <w:rFonts w:eastAsia="Helvetica Neue"/>
          <w:color w:val="000000" w:themeColor="text1"/>
        </w:rPr>
        <w:t xml:space="preserve"> </w:t>
      </w:r>
      <w:proofErr w:type="spellStart"/>
      <w:r>
        <w:rPr>
          <w:rFonts w:eastAsia="Helvetica Neue"/>
          <w:color w:val="000000" w:themeColor="text1"/>
        </w:rPr>
        <w:t>MassHunter</w:t>
      </w:r>
      <w:proofErr w:type="spellEnd"/>
      <w:r>
        <w:rPr>
          <w:rFonts w:eastAsia="Helvetica Neue"/>
          <w:color w:val="000000" w:themeColor="text1"/>
        </w:rPr>
        <w:t xml:space="preserve"> Data Acquisition (version B.04.01) </w:t>
      </w:r>
      <w:r w:rsidRPr="0081635B">
        <w:rPr>
          <w:rFonts w:eastAsia="Helvetica Neue"/>
          <w:color w:val="000000" w:themeColor="text1"/>
        </w:rPr>
        <w:t xml:space="preserve">software. Peak area measurements from selected product ions, calibration curve regression analysis and resulting sample quantification were performed using </w:t>
      </w:r>
      <w:r>
        <w:rPr>
          <w:rFonts w:eastAsia="Helvetica Neue"/>
          <w:color w:val="000000" w:themeColor="text1"/>
        </w:rPr>
        <w:t xml:space="preserve">Agilent </w:t>
      </w:r>
      <w:proofErr w:type="spellStart"/>
      <w:r w:rsidRPr="0081635B">
        <w:rPr>
          <w:rFonts w:eastAsia="Helvetica Neue"/>
          <w:color w:val="000000" w:themeColor="text1"/>
        </w:rPr>
        <w:t>Ma</w:t>
      </w:r>
      <w:r>
        <w:rPr>
          <w:rFonts w:eastAsia="Helvetica Neue"/>
          <w:color w:val="000000" w:themeColor="text1"/>
        </w:rPr>
        <w:t>ssHunter</w:t>
      </w:r>
      <w:proofErr w:type="spellEnd"/>
      <w:r>
        <w:rPr>
          <w:rFonts w:eastAsia="Helvetica Neue"/>
          <w:color w:val="000000" w:themeColor="text1"/>
        </w:rPr>
        <w:t xml:space="preserve"> Quantitative Analysis (version B.05.00) software.</w:t>
      </w:r>
    </w:p>
    <w:p w14:paraId="68FAE70C" w14:textId="77777777" w:rsidR="0096194D" w:rsidRDefault="0096194D"/>
    <w:sectPr w:rsidR="0096194D" w:rsidSect="00D1586A">
      <w:pgSz w:w="12240" w:h="15840"/>
      <w:pgMar w:top="1440" w:right="1440" w:bottom="1440" w:left="1440" w:header="709" w:footer="709"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Neue">
    <w:charset w:val="00"/>
    <w:family w:val="auto"/>
    <w:pitch w:val="variable"/>
    <w:sig w:usb0="E50002FF" w:usb1="500079DB" w:usb2="0000001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BDB5FD1"/>
    <w:multiLevelType w:val="hybridMultilevel"/>
    <w:tmpl w:val="F48A1632"/>
    <w:lvl w:ilvl="0" w:tplc="2FF67EC0">
      <w:start w:val="3"/>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FB7"/>
    <w:rsid w:val="001F43F7"/>
    <w:rsid w:val="00214CEC"/>
    <w:rsid w:val="005D1FB7"/>
    <w:rsid w:val="006E32C3"/>
    <w:rsid w:val="008E4E89"/>
    <w:rsid w:val="0096194D"/>
    <w:rsid w:val="00B04CD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B9FA3"/>
  <w15:chartTrackingRefBased/>
  <w15:docId w15:val="{BC5D76E4-CE4D-4BE2-85D1-FCB97EB8D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1FB7"/>
    <w:pPr>
      <w:spacing w:after="0" w:line="240" w:lineRule="auto"/>
    </w:pPr>
    <w:rPr>
      <w:rFonts w:ascii="Arial" w:hAnsi="Arial"/>
      <w:kern w:val="2"/>
      <w:sz w:val="24"/>
      <w:szCs w:val="24"/>
      <w:lang w:val="en-GB"/>
      <w14:ligatures w14:val="standardContextual"/>
    </w:rPr>
  </w:style>
  <w:style w:type="paragraph" w:styleId="Heading2">
    <w:name w:val="heading 2"/>
    <w:basedOn w:val="Normal"/>
    <w:next w:val="Normal"/>
    <w:link w:val="Heading2Char"/>
    <w:uiPriority w:val="9"/>
    <w:unhideWhenUsed/>
    <w:qFormat/>
    <w:rsid w:val="005D1FB7"/>
    <w:pPr>
      <w:keepNext/>
      <w:keepLines/>
      <w:spacing w:before="40"/>
      <w:outlineLvl w:val="1"/>
    </w:pPr>
    <w:rPr>
      <w:rFonts w:eastAsiaTheme="majorEastAsia" w:cstheme="majorBidi"/>
      <w:b/>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D1FB7"/>
    <w:rPr>
      <w:rFonts w:ascii="Arial" w:eastAsiaTheme="majorEastAsia" w:hAnsi="Arial" w:cstheme="majorBidi"/>
      <w:b/>
      <w:color w:val="000000" w:themeColor="text1"/>
      <w:kern w:val="2"/>
      <w:sz w:val="24"/>
      <w:szCs w:val="26"/>
      <w:lang w:val="en-GB"/>
      <w14:ligatures w14:val="standardContextual"/>
    </w:rPr>
  </w:style>
  <w:style w:type="paragraph" w:styleId="ListParagraph">
    <w:name w:val="List Paragraph"/>
    <w:basedOn w:val="Normal"/>
    <w:uiPriority w:val="34"/>
    <w:qFormat/>
    <w:rsid w:val="005D1FB7"/>
    <w:pPr>
      <w:ind w:left="720"/>
      <w:contextualSpacing/>
    </w:pPr>
  </w:style>
  <w:style w:type="character" w:styleId="LineNumber">
    <w:name w:val="line number"/>
    <w:basedOn w:val="DefaultParagraphFont"/>
    <w:uiPriority w:val="99"/>
    <w:semiHidden/>
    <w:unhideWhenUsed/>
    <w:rsid w:val="005D1F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tiff"/><Relationship Id="rId3" Type="http://schemas.openxmlformats.org/officeDocument/2006/relationships/settings" Target="settings.xml"/><Relationship Id="rId7" Type="http://schemas.openxmlformats.org/officeDocument/2006/relationships/image" Target="media/image3.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1019</Words>
  <Characters>5811</Characters>
  <Application>Microsoft Office Word</Application>
  <DocSecurity>0</DocSecurity>
  <Lines>48</Lines>
  <Paragraphs>13</Paragraphs>
  <ScaleCrop>false</ScaleCrop>
  <Company/>
  <LinksUpToDate>false</LinksUpToDate>
  <CharactersWithSpaces>6817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Arulnidhi Vengatesan (Integra)</dc:creator>
  <cp:keywords/>
  <dc:description/>
  <cp:lastModifiedBy>Arulnidhi Vengatesan (Integra)</cp:lastModifiedBy>
  <cp:revision>1</cp:revision>
  <dcterms:created xsi:type="dcterms:W3CDTF">2025-02-04T04:22:00Z</dcterms:created>
  <dcterms:modified xsi:type="dcterms:W3CDTF">2025-02-04T04:23:00Z</dcterms:modified>
</cp:coreProperties>
</file>