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FB7" w:rsidRPr="00CB470C" w:rsidRDefault="006E5FB7" w:rsidP="006E5FB7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CB470C">
        <w:rPr>
          <w:rFonts w:ascii="Arial" w:hAnsi="Arial" w:cs="Arial"/>
          <w:b/>
          <w:bCs/>
        </w:rPr>
        <w:t xml:space="preserve">Supplementary Table 1. Association Between MUFA and Gastric Cancer, Stratified by History of Type 2 Diabetes, Blood Group, </w:t>
      </w:r>
      <w:r w:rsidRPr="00CB470C">
        <w:rPr>
          <w:rFonts w:ascii="Arial" w:hAnsi="Arial" w:cs="Arial"/>
          <w:b/>
          <w:bCs/>
          <w:i/>
          <w:iCs/>
        </w:rPr>
        <w:t>H. Pylori</w:t>
      </w:r>
      <w:r w:rsidRPr="00CB470C">
        <w:rPr>
          <w:rFonts w:ascii="Arial" w:hAnsi="Arial" w:cs="Arial"/>
          <w:b/>
          <w:bCs/>
        </w:rPr>
        <w:t xml:space="preserve"> Infection Status and Age in the Current Study</w:t>
      </w:r>
    </w:p>
    <w:p w:rsidR="006E5FB7" w:rsidRPr="00CB470C" w:rsidRDefault="006E5FB7" w:rsidP="006E5FB7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1323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5"/>
        <w:gridCol w:w="735"/>
        <w:gridCol w:w="155"/>
        <w:gridCol w:w="885"/>
        <w:gridCol w:w="130"/>
        <w:gridCol w:w="1539"/>
        <w:gridCol w:w="711"/>
        <w:gridCol w:w="84"/>
        <w:gridCol w:w="898"/>
        <w:gridCol w:w="8"/>
        <w:gridCol w:w="1571"/>
        <w:gridCol w:w="804"/>
        <w:gridCol w:w="88"/>
        <w:gridCol w:w="898"/>
        <w:gridCol w:w="1679"/>
      </w:tblGrid>
      <w:tr w:rsidR="006E5FB7" w:rsidRPr="00CB470C" w:rsidTr="00DE3B11">
        <w:tc>
          <w:tcPr>
            <w:tcW w:w="3045" w:type="dxa"/>
            <w:tcBorders>
              <w:bottom w:val="nil"/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3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Entire Study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Participants&lt;60 years old</w:t>
            </w:r>
          </w:p>
        </w:tc>
        <w:tc>
          <w:tcPr>
            <w:tcW w:w="3469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Participants</w:t>
            </w:r>
            <w:r w:rsidRPr="00CB470C">
              <w:rPr>
                <w:rFonts w:ascii="Symbol" w:eastAsia="Times New Roman" w:hAnsi="Symbol" w:cs="Arial"/>
                <w:b/>
                <w:bCs/>
                <w:color w:val="000000"/>
                <w:sz w:val="18"/>
                <w:szCs w:val="18"/>
                <w:lang w:eastAsia="ja-JP"/>
              </w:rPr>
              <w:sym w:font="Symbol" w:char="F0B3"/>
            </w: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60 years old</w:t>
            </w:r>
          </w:p>
        </w:tc>
      </w:tr>
      <w:tr w:rsidR="006E5FB7" w:rsidRPr="00CB470C" w:rsidTr="00DE3B11">
        <w:tc>
          <w:tcPr>
            <w:tcW w:w="3045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rPr>
                <w:rFonts w:ascii="Arial" w:hAnsi="Arial" w:cs="Arial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MUFA (Range (from lowest to highest quintile)) g/day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hAnsi="Arial" w:cs="Arial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Case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hAnsi="Arial" w:cs="Arial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Control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hAnsi="Arial" w:cs="Arial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OR (95% CI)</w:t>
            </w: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  <w:lang w:eastAsia="ja-JP"/>
              </w:rPr>
              <w:t>*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hAnsi="Arial" w:cs="Arial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Case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hAnsi="Arial" w:cs="Arial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Control</w:t>
            </w:r>
          </w:p>
        </w:tc>
        <w:tc>
          <w:tcPr>
            <w:tcW w:w="1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hAnsi="Arial" w:cs="Arial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OR (95% CI)</w:t>
            </w: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  <w:lang w:eastAsia="ja-JP"/>
              </w:rPr>
              <w:t>*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hAnsi="Arial" w:cs="Arial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Case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hAnsi="Arial" w:cs="Arial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Control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hAnsi="Arial" w:cs="Arial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OR (95% CI)</w:t>
            </w: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  <w:lang w:eastAsia="ja-JP"/>
              </w:rPr>
              <w:t>*</w:t>
            </w:r>
          </w:p>
        </w:tc>
      </w:tr>
      <w:tr w:rsidR="006E5FB7" w:rsidRPr="00CB470C" w:rsidTr="00DE3B11">
        <w:tc>
          <w:tcPr>
            <w:tcW w:w="3045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No History of Type 2 Diabetes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85" w:type="dxa"/>
            <w:tcBorders>
              <w:top w:val="single" w:sz="4" w:space="0" w:color="auto"/>
              <w:bottom w:val="nil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66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679" w:type="dxa"/>
            <w:tcBorders>
              <w:top w:val="single" w:sz="4" w:space="0" w:color="auto"/>
              <w:bottom w:val="nil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6E5FB7" w:rsidRPr="00CB470C" w:rsidTr="00DE3B11">
        <w:tc>
          <w:tcPr>
            <w:tcW w:w="3045" w:type="dxa"/>
            <w:tcBorders>
              <w:top w:val="nil"/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8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0.3-6.5</w:t>
            </w:r>
          </w:p>
        </w:tc>
        <w:tc>
          <w:tcPr>
            <w:tcW w:w="890" w:type="dxa"/>
            <w:gridSpan w:val="2"/>
            <w:tcBorders>
              <w:top w:val="nil"/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293</w:t>
            </w:r>
          </w:p>
        </w:tc>
        <w:tc>
          <w:tcPr>
            <w:tcW w:w="885" w:type="dxa"/>
            <w:tcBorders>
              <w:top w:val="nil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404</w:t>
            </w:r>
          </w:p>
        </w:tc>
        <w:tc>
          <w:tcPr>
            <w:tcW w:w="1669" w:type="dxa"/>
            <w:gridSpan w:val="2"/>
            <w:tcBorders>
              <w:top w:val="nil"/>
              <w:righ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1.00</w:t>
            </w:r>
          </w:p>
        </w:tc>
        <w:tc>
          <w:tcPr>
            <w:tcW w:w="795" w:type="dxa"/>
            <w:gridSpan w:val="2"/>
            <w:tcBorders>
              <w:top w:val="nil"/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175</w:t>
            </w:r>
          </w:p>
        </w:tc>
        <w:tc>
          <w:tcPr>
            <w:tcW w:w="898" w:type="dxa"/>
            <w:tcBorders>
              <w:top w:val="nil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250</w:t>
            </w:r>
          </w:p>
        </w:tc>
        <w:tc>
          <w:tcPr>
            <w:tcW w:w="1579" w:type="dxa"/>
            <w:gridSpan w:val="2"/>
            <w:tcBorders>
              <w:top w:val="nil"/>
              <w:righ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1.00</w:t>
            </w:r>
          </w:p>
        </w:tc>
        <w:tc>
          <w:tcPr>
            <w:tcW w:w="804" w:type="dxa"/>
            <w:tcBorders>
              <w:top w:val="nil"/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986" w:type="dxa"/>
            <w:gridSpan w:val="2"/>
            <w:tcBorders>
              <w:top w:val="nil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151</w:t>
            </w:r>
          </w:p>
        </w:tc>
        <w:tc>
          <w:tcPr>
            <w:tcW w:w="1679" w:type="dxa"/>
            <w:tcBorders>
              <w:top w:val="nil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1.00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8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6.5-8.9</w:t>
            </w: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237</w:t>
            </w:r>
          </w:p>
        </w:tc>
        <w:tc>
          <w:tcPr>
            <w:tcW w:w="885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415</w:t>
            </w: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0.79 (0.63-0.98)</w:t>
            </w:r>
          </w:p>
        </w:tc>
        <w:tc>
          <w:tcPr>
            <w:tcW w:w="795" w:type="dxa"/>
            <w:gridSpan w:val="2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124</w:t>
            </w:r>
          </w:p>
        </w:tc>
        <w:tc>
          <w:tcPr>
            <w:tcW w:w="898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285</w:t>
            </w:r>
          </w:p>
        </w:tc>
        <w:tc>
          <w:tcPr>
            <w:tcW w:w="1579" w:type="dxa"/>
            <w:gridSpan w:val="2"/>
            <w:tcBorders>
              <w:righ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0.69 (0.51-0.94)</w:t>
            </w:r>
          </w:p>
        </w:tc>
        <w:tc>
          <w:tcPr>
            <w:tcW w:w="804" w:type="dxa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107</w:t>
            </w:r>
          </w:p>
        </w:tc>
        <w:tc>
          <w:tcPr>
            <w:tcW w:w="986" w:type="dxa"/>
            <w:gridSpan w:val="2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144</w:t>
            </w:r>
          </w:p>
        </w:tc>
        <w:tc>
          <w:tcPr>
            <w:tcW w:w="1679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0.94 (0.66-1.32)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8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8.9-11.5</w:t>
            </w: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183</w:t>
            </w:r>
          </w:p>
        </w:tc>
        <w:tc>
          <w:tcPr>
            <w:tcW w:w="885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495</w:t>
            </w: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0.51 (0.41-0.64)</w:t>
            </w:r>
          </w:p>
        </w:tc>
        <w:tc>
          <w:tcPr>
            <w:tcW w:w="795" w:type="dxa"/>
            <w:gridSpan w:val="2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91</w:t>
            </w:r>
          </w:p>
        </w:tc>
        <w:tc>
          <w:tcPr>
            <w:tcW w:w="898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321</w:t>
            </w:r>
          </w:p>
        </w:tc>
        <w:tc>
          <w:tcPr>
            <w:tcW w:w="1579" w:type="dxa"/>
            <w:gridSpan w:val="2"/>
            <w:tcBorders>
              <w:righ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0.50 (0.36-0.70)</w:t>
            </w:r>
          </w:p>
        </w:tc>
        <w:tc>
          <w:tcPr>
            <w:tcW w:w="804" w:type="dxa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89</w:t>
            </w:r>
          </w:p>
        </w:tc>
        <w:tc>
          <w:tcPr>
            <w:tcW w:w="986" w:type="dxa"/>
            <w:gridSpan w:val="2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171</w:t>
            </w:r>
          </w:p>
        </w:tc>
        <w:tc>
          <w:tcPr>
            <w:tcW w:w="1679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0.65 (0.46-0.93)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8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11.6-15.1</w:t>
            </w: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143</w:t>
            </w:r>
          </w:p>
        </w:tc>
        <w:tc>
          <w:tcPr>
            <w:tcW w:w="885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553</w:t>
            </w: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0.36 (0.28-0.45)</w:t>
            </w:r>
          </w:p>
        </w:tc>
        <w:tc>
          <w:tcPr>
            <w:tcW w:w="795" w:type="dxa"/>
            <w:gridSpan w:val="2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69</w:t>
            </w:r>
          </w:p>
        </w:tc>
        <w:tc>
          <w:tcPr>
            <w:tcW w:w="898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353</w:t>
            </w:r>
          </w:p>
        </w:tc>
        <w:tc>
          <w:tcPr>
            <w:tcW w:w="1579" w:type="dxa"/>
            <w:gridSpan w:val="2"/>
            <w:tcBorders>
              <w:righ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0.38 (0.26-0.54)</w:t>
            </w:r>
          </w:p>
        </w:tc>
        <w:tc>
          <w:tcPr>
            <w:tcW w:w="804" w:type="dxa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79</w:t>
            </w:r>
          </w:p>
        </w:tc>
        <w:tc>
          <w:tcPr>
            <w:tcW w:w="986" w:type="dxa"/>
            <w:gridSpan w:val="2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193</w:t>
            </w:r>
          </w:p>
        </w:tc>
        <w:tc>
          <w:tcPr>
            <w:tcW w:w="1679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0.52 (0.36-0.73)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8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15.2-70.5</w:t>
            </w: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122</w:t>
            </w:r>
          </w:p>
        </w:tc>
        <w:tc>
          <w:tcPr>
            <w:tcW w:w="885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612</w:t>
            </w: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0.27 (0.21-0.35)</w:t>
            </w:r>
          </w:p>
        </w:tc>
        <w:tc>
          <w:tcPr>
            <w:tcW w:w="795" w:type="dxa"/>
            <w:gridSpan w:val="2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58</w:t>
            </w:r>
          </w:p>
        </w:tc>
        <w:tc>
          <w:tcPr>
            <w:tcW w:w="898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395</w:t>
            </w:r>
          </w:p>
        </w:tc>
        <w:tc>
          <w:tcPr>
            <w:tcW w:w="1579" w:type="dxa"/>
            <w:gridSpan w:val="2"/>
            <w:tcBorders>
              <w:righ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0.30 (0.20-0.45)</w:t>
            </w:r>
          </w:p>
        </w:tc>
        <w:tc>
          <w:tcPr>
            <w:tcW w:w="804" w:type="dxa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66</w:t>
            </w:r>
          </w:p>
        </w:tc>
        <w:tc>
          <w:tcPr>
            <w:tcW w:w="986" w:type="dxa"/>
            <w:gridSpan w:val="2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216</w:t>
            </w:r>
          </w:p>
        </w:tc>
        <w:tc>
          <w:tcPr>
            <w:tcW w:w="1679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0.38 (0.27-0.55)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8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Continuous (per SD increment)</w:t>
            </w: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978</w:t>
            </w:r>
          </w:p>
        </w:tc>
        <w:tc>
          <w:tcPr>
            <w:tcW w:w="885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2,479</w:t>
            </w: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0.61</w:t>
            </w:r>
            <w:bookmarkStart w:id="0" w:name="_GoBack"/>
            <w:bookmarkEnd w:id="0"/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(0.55-0.66)</w:t>
            </w:r>
          </w:p>
        </w:tc>
        <w:tc>
          <w:tcPr>
            <w:tcW w:w="795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517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1,604</w:t>
            </w:r>
          </w:p>
        </w:tc>
        <w:tc>
          <w:tcPr>
            <w:tcW w:w="1579" w:type="dxa"/>
            <w:gridSpan w:val="2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0.65 (0.55-0.76)</w:t>
            </w:r>
          </w:p>
        </w:tc>
        <w:tc>
          <w:tcPr>
            <w:tcW w:w="804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461</w:t>
            </w:r>
          </w:p>
        </w:tc>
        <w:tc>
          <w:tcPr>
            <w:tcW w:w="986" w:type="dxa"/>
            <w:gridSpan w:val="2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875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0.70 (0.62-0.80)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8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  <w:t>P</w:t>
            </w:r>
            <w:r w:rsidRPr="00CB470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bscript"/>
                <w:lang w:eastAsia="ja-JP"/>
              </w:rPr>
              <w:t>trend</w:t>
            </w: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885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&lt;0.001</w:t>
            </w:r>
          </w:p>
        </w:tc>
        <w:tc>
          <w:tcPr>
            <w:tcW w:w="795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1579" w:type="dxa"/>
            <w:gridSpan w:val="2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&lt;0.001</w:t>
            </w:r>
          </w:p>
        </w:tc>
        <w:tc>
          <w:tcPr>
            <w:tcW w:w="804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986" w:type="dxa"/>
            <w:gridSpan w:val="2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&lt;0.001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History of Type 2 Diabetes</w:t>
            </w: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885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795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1579" w:type="dxa"/>
            <w:gridSpan w:val="2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804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986" w:type="dxa"/>
            <w:gridSpan w:val="2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1679" w:type="dxa"/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8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2-6.5</w:t>
            </w: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885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27</w:t>
            </w: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1.00</w:t>
            </w:r>
          </w:p>
        </w:tc>
        <w:tc>
          <w:tcPr>
            <w:tcW w:w="795" w:type="dxa"/>
            <w:gridSpan w:val="2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3</w:t>
            </w:r>
          </w:p>
        </w:tc>
        <w:tc>
          <w:tcPr>
            <w:tcW w:w="898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1579" w:type="dxa"/>
            <w:gridSpan w:val="2"/>
            <w:tcBorders>
              <w:righ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1.00</w:t>
            </w:r>
          </w:p>
        </w:tc>
        <w:tc>
          <w:tcPr>
            <w:tcW w:w="804" w:type="dxa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6</w:t>
            </w:r>
          </w:p>
        </w:tc>
        <w:tc>
          <w:tcPr>
            <w:tcW w:w="986" w:type="dxa"/>
            <w:gridSpan w:val="2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15</w:t>
            </w:r>
          </w:p>
        </w:tc>
        <w:tc>
          <w:tcPr>
            <w:tcW w:w="1679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1.00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8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6.6-8.9</w:t>
            </w: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4</w:t>
            </w:r>
          </w:p>
        </w:tc>
        <w:tc>
          <w:tcPr>
            <w:tcW w:w="885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32</w:t>
            </w: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0.41 (0.10-1.73)</w:t>
            </w:r>
          </w:p>
        </w:tc>
        <w:tc>
          <w:tcPr>
            <w:tcW w:w="795" w:type="dxa"/>
            <w:gridSpan w:val="2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898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579" w:type="dxa"/>
            <w:gridSpan w:val="2"/>
            <w:tcBorders>
              <w:righ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804" w:type="dxa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986" w:type="dxa"/>
            <w:gridSpan w:val="2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18</w:t>
            </w:r>
          </w:p>
        </w:tc>
        <w:tc>
          <w:tcPr>
            <w:tcW w:w="1679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0.43 (0.06-3.29)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8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9-11.5</w:t>
            </w: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9</w:t>
            </w:r>
          </w:p>
        </w:tc>
        <w:tc>
          <w:tcPr>
            <w:tcW w:w="885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35</w:t>
            </w: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0.85 (0.23-3.17)</w:t>
            </w:r>
          </w:p>
        </w:tc>
        <w:tc>
          <w:tcPr>
            <w:tcW w:w="795" w:type="dxa"/>
            <w:gridSpan w:val="2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898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15</w:t>
            </w:r>
          </w:p>
        </w:tc>
        <w:tc>
          <w:tcPr>
            <w:tcW w:w="1579" w:type="dxa"/>
            <w:gridSpan w:val="2"/>
            <w:tcBorders>
              <w:righ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804" w:type="dxa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8</w:t>
            </w:r>
          </w:p>
        </w:tc>
        <w:tc>
          <w:tcPr>
            <w:tcW w:w="986" w:type="dxa"/>
            <w:gridSpan w:val="2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21</w:t>
            </w:r>
          </w:p>
        </w:tc>
        <w:tc>
          <w:tcPr>
            <w:tcW w:w="1679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1.07 (0.19-5.85)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8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11.6-15.1</w:t>
            </w: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885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36</w:t>
            </w: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0.16 (0.02-1.06)</w:t>
            </w:r>
          </w:p>
        </w:tc>
        <w:tc>
          <w:tcPr>
            <w:tcW w:w="795" w:type="dxa"/>
            <w:gridSpan w:val="2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0</w:t>
            </w:r>
          </w:p>
        </w:tc>
        <w:tc>
          <w:tcPr>
            <w:tcW w:w="898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579" w:type="dxa"/>
            <w:gridSpan w:val="2"/>
            <w:tcBorders>
              <w:righ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804" w:type="dxa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4</w:t>
            </w:r>
          </w:p>
        </w:tc>
        <w:tc>
          <w:tcPr>
            <w:tcW w:w="986" w:type="dxa"/>
            <w:gridSpan w:val="2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24</w:t>
            </w:r>
          </w:p>
        </w:tc>
        <w:tc>
          <w:tcPr>
            <w:tcW w:w="1679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0.49 (0.07-3.37)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8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15.3-33.4</w:t>
            </w: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4</w:t>
            </w:r>
          </w:p>
        </w:tc>
        <w:tc>
          <w:tcPr>
            <w:tcW w:w="885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41</w:t>
            </w: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0.32 (0.06-1.78)</w:t>
            </w:r>
          </w:p>
        </w:tc>
        <w:tc>
          <w:tcPr>
            <w:tcW w:w="795" w:type="dxa"/>
            <w:gridSpan w:val="2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898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19</w:t>
            </w:r>
          </w:p>
        </w:tc>
        <w:tc>
          <w:tcPr>
            <w:tcW w:w="1579" w:type="dxa"/>
            <w:gridSpan w:val="2"/>
            <w:tcBorders>
              <w:righ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804" w:type="dxa"/>
            <w:tcBorders>
              <w:left w:val="single" w:sz="4" w:space="0" w:color="auto"/>
            </w:tcBorders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986" w:type="dxa"/>
            <w:gridSpan w:val="2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24</w:t>
            </w:r>
          </w:p>
        </w:tc>
        <w:tc>
          <w:tcPr>
            <w:tcW w:w="1679" w:type="dxa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0.23 (0.02-2.12)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8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Continuous (per SD increment)</w:t>
            </w: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29</w:t>
            </w:r>
          </w:p>
        </w:tc>
        <w:tc>
          <w:tcPr>
            <w:tcW w:w="885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171</w:t>
            </w: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0.69 (0.35-1.36)</w:t>
            </w:r>
          </w:p>
        </w:tc>
        <w:tc>
          <w:tcPr>
            <w:tcW w:w="795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7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69</w:t>
            </w:r>
          </w:p>
        </w:tc>
        <w:tc>
          <w:tcPr>
            <w:tcW w:w="1579" w:type="dxa"/>
            <w:gridSpan w:val="2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1.33 (0.21-8.59)</w:t>
            </w:r>
          </w:p>
        </w:tc>
        <w:tc>
          <w:tcPr>
            <w:tcW w:w="804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22</w:t>
            </w:r>
          </w:p>
        </w:tc>
        <w:tc>
          <w:tcPr>
            <w:tcW w:w="986" w:type="dxa"/>
            <w:gridSpan w:val="2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102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</w:rPr>
              <w:t>0.51 (0.21-1.21)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8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  <w:t>P</w:t>
            </w:r>
            <w:r w:rsidRPr="00CB470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bscript"/>
                <w:lang w:eastAsia="ja-JP"/>
              </w:rPr>
              <w:t>trend</w:t>
            </w: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885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0.28</w:t>
            </w:r>
          </w:p>
        </w:tc>
        <w:tc>
          <w:tcPr>
            <w:tcW w:w="795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1579" w:type="dxa"/>
            <w:gridSpan w:val="2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0.76</w:t>
            </w:r>
          </w:p>
        </w:tc>
        <w:tc>
          <w:tcPr>
            <w:tcW w:w="804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986" w:type="dxa"/>
            <w:gridSpan w:val="2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1679" w:type="dxa"/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0.13</w:t>
            </w:r>
          </w:p>
        </w:tc>
      </w:tr>
      <w:tr w:rsidR="006E5FB7" w:rsidRPr="00CB470C" w:rsidTr="00DE3B11">
        <w:tc>
          <w:tcPr>
            <w:tcW w:w="30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8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  <w:t>P</w:t>
            </w:r>
            <w:r w:rsidRPr="00CB470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bscript"/>
                <w:lang w:eastAsia="ja-JP"/>
              </w:rPr>
              <w:t>heterogeneity</w:t>
            </w:r>
          </w:p>
        </w:tc>
        <w:tc>
          <w:tcPr>
            <w:tcW w:w="89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885" w:type="dxa"/>
            <w:tcBorders>
              <w:bottom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166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0.007</w:t>
            </w:r>
          </w:p>
        </w:tc>
        <w:tc>
          <w:tcPr>
            <w:tcW w:w="795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898" w:type="dxa"/>
            <w:tcBorders>
              <w:bottom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157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986" w:type="dxa"/>
            <w:gridSpan w:val="2"/>
            <w:tcBorders>
              <w:bottom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1679" w:type="dxa"/>
            <w:tcBorders>
              <w:bottom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0.56</w:t>
            </w:r>
          </w:p>
        </w:tc>
      </w:tr>
      <w:tr w:rsidR="006E5FB7" w:rsidRPr="00CB470C" w:rsidTr="00DE3B11">
        <w:tc>
          <w:tcPr>
            <w:tcW w:w="30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ja-JP"/>
              </w:rPr>
              <w:t>H. Pylori</w:t>
            </w: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 Negative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3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7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98" w:type="dxa"/>
            <w:tcBorders>
              <w:top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679" w:type="dxa"/>
            <w:tcBorders>
              <w:top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80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0.3-6.4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69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104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1.00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44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64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1.00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24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38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1.00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80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6.5-8.9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61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121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1.02 (0.62-1.68)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35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89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0.60 (0.30-1.18)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28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38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1.33 (0.61-2.92)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80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8.9-11.5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60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131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1.39 (0.82-2.36)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29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88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1.04 (0.50-2.18)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26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41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1.88 (0.80-4.44)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80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11.6-15.1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45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113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1.22 (0.66-2.25)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25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62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1.09 (0.45-2.67)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23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47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1.39 (0.57-3.43)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80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15.2-36.2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30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93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1.67 (0.82-3.38)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17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64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1.84 (0.67-5.05)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14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31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1.68 (0.57-4.96)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80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Continuous (per SD increment)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265 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562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1.19 (0.92-1.53)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150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367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1.31 (0.91-1.89)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115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195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1.11 (0.75-1.64)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80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  <w:t>P</w:t>
            </w:r>
            <w:r w:rsidRPr="00CB470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bscript"/>
                <w:lang w:eastAsia="ja-JP"/>
              </w:rPr>
              <w:t>trend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39" w:type="dxa"/>
            <w:tcBorders>
              <w:right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0.16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0.24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1679" w:type="dxa"/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0.40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ja-JP"/>
              </w:rPr>
              <w:t>H. Pylori</w:t>
            </w: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 Positive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679" w:type="dxa"/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80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1.1-6.5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101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169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1.00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56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101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1.00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43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68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1.00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80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6.5-8.9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108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155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1.54 (1.04-2.28)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62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95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1.51 (0.89-2.57)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49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59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1.76 (0.97-3.19)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80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8.9-11.5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86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172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1.81 (1.17-2.81)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46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105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1.77 (0.98-3.19)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40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71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1.42 (0.75-2.72)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80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11.6-15.1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69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191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1.62 (1.00-2.63)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37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126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1.45 (0.76-2.77)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33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63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2.01 (0.95-4.26)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80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15.2-32.3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36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149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1.54 (0.86-2.76)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21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102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1.50 (0.69-3.26)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13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46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1.17 (0.45-3.04)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80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Continuous (per SD increment)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400 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836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1.10 (0.88-1.37)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222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529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1.15 (0.85-1.54)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178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307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0.99 (0.69-1.43)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80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  <w:t>P</w:t>
            </w:r>
            <w:r w:rsidRPr="00CB470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bscript"/>
                <w:lang w:eastAsia="ja-JP"/>
              </w:rPr>
              <w:t>trend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0.07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0.24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1679" w:type="dxa"/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0.34</w:t>
            </w:r>
          </w:p>
        </w:tc>
      </w:tr>
      <w:tr w:rsidR="006E5FB7" w:rsidRPr="00CB470C" w:rsidTr="00DE3B11">
        <w:tc>
          <w:tcPr>
            <w:tcW w:w="30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80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  <w:t>P</w:t>
            </w:r>
            <w:r w:rsidRPr="00CB470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bscript"/>
                <w:lang w:eastAsia="ja-JP"/>
              </w:rPr>
              <w:t>heterogeneity</w:t>
            </w:r>
          </w:p>
        </w:tc>
        <w:tc>
          <w:tcPr>
            <w:tcW w:w="73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39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0.01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990" w:type="dxa"/>
            <w:gridSpan w:val="3"/>
            <w:tcBorders>
              <w:bottom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1571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0.01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1679" w:type="dxa"/>
            <w:tcBorders>
              <w:bottom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0.35</w:t>
            </w:r>
          </w:p>
        </w:tc>
      </w:tr>
      <w:tr w:rsidR="006E5FB7" w:rsidRPr="00CB470C" w:rsidTr="00DE3B11">
        <w:tc>
          <w:tcPr>
            <w:tcW w:w="3045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Blood Group A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39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71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679" w:type="dxa"/>
            <w:tcBorders>
              <w:top w:val="single" w:sz="4" w:space="0" w:color="auto"/>
              <w:bottom w:val="nil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6E5FB7" w:rsidRPr="00CB470C" w:rsidTr="00DE3B11">
        <w:tc>
          <w:tcPr>
            <w:tcW w:w="3045" w:type="dxa"/>
            <w:tcBorders>
              <w:top w:val="nil"/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1.1-6.4</w:t>
            </w:r>
          </w:p>
        </w:tc>
        <w:tc>
          <w:tcPr>
            <w:tcW w:w="735" w:type="dxa"/>
            <w:tcBorders>
              <w:top w:val="nil"/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84</w:t>
            </w:r>
          </w:p>
        </w:tc>
        <w:tc>
          <w:tcPr>
            <w:tcW w:w="1170" w:type="dxa"/>
            <w:gridSpan w:val="3"/>
            <w:tcBorders>
              <w:top w:val="nil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79</w:t>
            </w:r>
          </w:p>
        </w:tc>
        <w:tc>
          <w:tcPr>
            <w:tcW w:w="1539" w:type="dxa"/>
            <w:tcBorders>
              <w:top w:val="nil"/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1.00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49</w:t>
            </w:r>
          </w:p>
        </w:tc>
        <w:tc>
          <w:tcPr>
            <w:tcW w:w="990" w:type="dxa"/>
            <w:gridSpan w:val="3"/>
            <w:tcBorders>
              <w:top w:val="nil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39</w:t>
            </w:r>
          </w:p>
        </w:tc>
        <w:tc>
          <w:tcPr>
            <w:tcW w:w="1571" w:type="dxa"/>
            <w:tcBorders>
              <w:top w:val="nil"/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1.00</w:t>
            </w:r>
          </w:p>
        </w:tc>
        <w:tc>
          <w:tcPr>
            <w:tcW w:w="892" w:type="dxa"/>
            <w:gridSpan w:val="2"/>
            <w:tcBorders>
              <w:top w:val="nil"/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36</w:t>
            </w:r>
          </w:p>
        </w:tc>
        <w:tc>
          <w:tcPr>
            <w:tcW w:w="898" w:type="dxa"/>
            <w:tcBorders>
              <w:top w:val="nil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37</w:t>
            </w:r>
          </w:p>
        </w:tc>
        <w:tc>
          <w:tcPr>
            <w:tcW w:w="1679" w:type="dxa"/>
            <w:tcBorders>
              <w:top w:val="nil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1.00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6.5-8.9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56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74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0.83 (0.50-1.36)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30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56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0.45 (0.23-0.90)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26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21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1.51 (0.68-3.36)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8.9-11.5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51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116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0.56 (0.34-0.94)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21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73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0.29 (0.14-0.62)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28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40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0.76 (0.36-1.61)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11.6-15.1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38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105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0.49 (0.28-0.86)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18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59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0.33 (0.15-0.74)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21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47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0.52 (0.23-1.17)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15.2-38.8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29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103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0.49 (0.26-0.93)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19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67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0.46 (0.20-1.06)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10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38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0.30 (0.11-0.81)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Continuous (per SD increment)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258 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477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0.71 (0.56-0.91)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137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294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0.75 (0.54-1.04)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121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183</w:t>
            </w:r>
          </w:p>
        </w:tc>
        <w:tc>
          <w:tcPr>
            <w:tcW w:w="1679" w:type="dxa"/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0.62 (0.43-0.90)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  <w:t>P</w:t>
            </w:r>
            <w:r w:rsidRPr="00CB470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bscript"/>
                <w:lang w:eastAsia="ja-JP"/>
              </w:rPr>
              <w:t>trend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39" w:type="dxa"/>
            <w:tcBorders>
              <w:right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0.006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0.03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1679" w:type="dxa"/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0.007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Blood Group AB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39" w:type="dxa"/>
            <w:tcBorders>
              <w:right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71" w:type="dxa"/>
            <w:tcBorders>
              <w:right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679" w:type="dxa"/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1.9-6.5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15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14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1.00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8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8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1.00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8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1.00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6.6-8.9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29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0.37 (0.11-1.27)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8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16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0.24 (0.03-2.11)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11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0.05 (0.02-0.63)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8.9-11.5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10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22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0.74 (0.20-2.71)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4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0.74 (0.08-6.44)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4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13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0.05 (0.03-0.69)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11.8-15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8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20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0.44 (0.11-1.84)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16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0.09 (0.01-1.15)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7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1.03 (0.07-16.13)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15.3-63.4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10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26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0.53 (0.11-2.54)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4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15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0.16 (0.01-1.91)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6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12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0.41 (0.03-6.29)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Continuous (per SD increment)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55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111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1.22 (0.87-1.72)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27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64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1.20 (0.62-2.34)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28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47</w:t>
            </w:r>
          </w:p>
        </w:tc>
        <w:tc>
          <w:tcPr>
            <w:tcW w:w="1679" w:type="dxa"/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1.27 (0.80-2.01)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  <w:t>P</w:t>
            </w:r>
            <w:r w:rsidRPr="00CB470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bscript"/>
                <w:lang w:eastAsia="ja-JP"/>
              </w:rPr>
              <w:t>trend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39" w:type="dxa"/>
            <w:tcBorders>
              <w:right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0.61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0.14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1679" w:type="dxa"/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0.85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Blood Group B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39" w:type="dxa"/>
            <w:tcBorders>
              <w:right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71" w:type="dxa"/>
            <w:tcBorders>
              <w:right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679" w:type="dxa"/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1.3-6.5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79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94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1.00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45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59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1.00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33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37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1.00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6.5-8.9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77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89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1.21 (0.76-1.93)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37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58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1.13 (0.60-2.13)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40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31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1.38 (0.65-2.92)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8.9-11.5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56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149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0.66 (0.41-1.08)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34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92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0.76 (0.40-1.43)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21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53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0.46 (0.21-1.04)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11.6-15.1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38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156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0.51 (0.30-0.87)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18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104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0.47 (0.22-0.98)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20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60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0.51 (0.22-1.19)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15.2-39.4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28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183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0.38 (0.20-0.69)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8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127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0.23 (0.09-0.60)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22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50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0.77 (0.31-1.91)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Continuous (per SD increment)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278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671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0.61 (0.48-0.77)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142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440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0.53 (0.37-0.74)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136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231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0.79 (0.56-1.12)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  <w:t>P</w:t>
            </w:r>
            <w:r w:rsidRPr="00CB470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bscript"/>
                <w:lang w:eastAsia="ja-JP"/>
              </w:rPr>
              <w:t>trend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&lt;0.001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&lt;0.001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1679" w:type="dxa"/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0.12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Blood Group O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39" w:type="dxa"/>
            <w:tcBorders>
              <w:right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71" w:type="dxa"/>
            <w:tcBorders>
              <w:right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679" w:type="dxa"/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0.3-6.5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108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147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1.00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71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95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1.00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38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51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1.00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6.5-8.9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100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178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0.92 (0.63-1.34)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57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119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0.70 (0.43-1.16)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40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65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1.05 (0.56-1.96)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8.9-11.5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69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190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0.75 (0.49-1.15)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35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132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0.52 (0.30-0.91)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31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63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1.01 (0.50-2.03)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11.6-15.1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60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248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0.55 (0.35-0.86)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33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152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0.48 (0.27-0.87)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30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82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0.75 (0.37-1.53)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15.2-70.5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43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274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0.39 (0.23-0.65)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19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167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0.30 (0.14-0.61)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26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111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0.59 (0.26-1.32)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Continuous (per SD increment)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380 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1,037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0.71 (0.59-0.86)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215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665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0.66 (0.51-0.87)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165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372</w:t>
            </w:r>
          </w:p>
        </w:tc>
        <w:tc>
          <w:tcPr>
            <w:tcW w:w="1679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0.75 (0.57-0.98)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  <w:t>P</w:t>
            </w:r>
            <w:r w:rsidRPr="00CB470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bscript"/>
                <w:lang w:eastAsia="ja-JP"/>
              </w:rPr>
              <w:t>trend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117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&lt;0.001</w:t>
            </w: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990" w:type="dxa"/>
            <w:gridSpan w:val="3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0.001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1679" w:type="dxa"/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0.03</w:t>
            </w:r>
          </w:p>
        </w:tc>
      </w:tr>
      <w:tr w:rsidR="006E5FB7" w:rsidRPr="00CB470C" w:rsidTr="00DE3B11">
        <w:tc>
          <w:tcPr>
            <w:tcW w:w="3045" w:type="dxa"/>
            <w:tcBorders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ind w:left="155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ja-JP"/>
              </w:rPr>
              <w:t>P</w:t>
            </w:r>
            <w:r w:rsidRPr="00CB470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bscript"/>
                <w:lang w:eastAsia="ja-JP"/>
              </w:rPr>
              <w:t>heterogeneity</w:t>
            </w:r>
          </w:p>
        </w:tc>
        <w:tc>
          <w:tcPr>
            <w:tcW w:w="73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5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&lt;0.001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990" w:type="dxa"/>
            <w:gridSpan w:val="3"/>
            <w:tcBorders>
              <w:bottom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157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&lt;0.001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898" w:type="dxa"/>
            <w:vAlign w:val="center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1679" w:type="dxa"/>
            <w:vAlign w:val="bottom"/>
          </w:tcPr>
          <w:p w:rsidR="006E5FB7" w:rsidRPr="00CB470C" w:rsidRDefault="006E5FB7" w:rsidP="00DE3B11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0.101</w:t>
            </w:r>
          </w:p>
        </w:tc>
      </w:tr>
    </w:tbl>
    <w:p w:rsidR="006E5FB7" w:rsidRPr="00CB470C" w:rsidRDefault="006E5FB7" w:rsidP="006E5FB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CB470C">
        <w:rPr>
          <w:rFonts w:ascii="Arial" w:eastAsia="Times New Roman" w:hAnsi="Arial" w:cs="Arial"/>
          <w:b/>
          <w:bCs/>
          <w:color w:val="000000"/>
          <w:sz w:val="14"/>
          <w:szCs w:val="14"/>
          <w:vertAlign w:val="superscript"/>
          <w:lang w:eastAsia="ja-JP"/>
        </w:rPr>
        <w:t>*</w:t>
      </w:r>
      <w:r w:rsidRPr="00CB470C">
        <w:rPr>
          <w:rFonts w:ascii="Arial" w:hAnsi="Arial" w:cs="Arial"/>
          <w:sz w:val="14"/>
          <w:szCs w:val="14"/>
        </w:rPr>
        <w:t xml:space="preserve"> </w:t>
      </w:r>
      <w:r w:rsidRPr="00CB470C">
        <w:rPr>
          <w:rFonts w:ascii="Arial" w:hAnsi="Arial" w:cs="Arial"/>
          <w:sz w:val="16"/>
          <w:szCs w:val="16"/>
        </w:rPr>
        <w:t>Model adjusted for age (</w:t>
      </w:r>
      <w:r w:rsidRPr="00CB470C">
        <w:rPr>
          <w:rFonts w:cs="Calibri"/>
          <w:sz w:val="16"/>
          <w:szCs w:val="16"/>
        </w:rPr>
        <w:t>15-39, 40-49, 50-59, 60-69, and ≥70</w:t>
      </w:r>
      <w:r w:rsidRPr="00CB470C">
        <w:rPr>
          <w:rFonts w:ascii="Arial" w:hAnsi="Arial" w:cs="Arial"/>
          <w:sz w:val="16"/>
          <w:szCs w:val="16"/>
        </w:rPr>
        <w:t>) (if applicable), sex, education</w:t>
      </w:r>
      <w:r w:rsidRPr="00CB470C">
        <w:rPr>
          <w:rFonts w:ascii="Arial" w:eastAsia="Aptos" w:hAnsi="Arial" w:cs="Arial"/>
          <w:sz w:val="16"/>
          <w:szCs w:val="16"/>
        </w:rPr>
        <w:t>al level (primary, secondary, high school or higher), BMI (kg/m</w:t>
      </w:r>
      <w:r w:rsidRPr="00CB470C">
        <w:rPr>
          <w:rFonts w:ascii="Arial" w:hAnsi="Arial" w:cs="Arial"/>
          <w:sz w:val="16"/>
          <w:szCs w:val="16"/>
          <w:vertAlign w:val="superscript"/>
        </w:rPr>
        <w:t>2</w:t>
      </w:r>
      <w:r w:rsidRPr="00CB470C">
        <w:rPr>
          <w:rFonts w:ascii="Arial" w:hAnsi="Arial" w:cs="Arial"/>
          <w:sz w:val="16"/>
          <w:szCs w:val="16"/>
        </w:rPr>
        <w:t>, &lt;18.5, 18.5-</w:t>
      </w:r>
      <w:r w:rsidRPr="00CB470C">
        <w:rPr>
          <w:rFonts w:ascii="Arial" w:eastAsia="Aptos" w:hAnsi="Arial" w:cs="Arial"/>
          <w:sz w:val="16"/>
          <w:szCs w:val="16"/>
        </w:rPr>
        <w:t xml:space="preserve">to &lt;23, ≥23), alcohol consumption (yes/no), family history of cancer (yes/no), smoking status (ever/never), history of type 2 diabetes (yes/no) </w:t>
      </w:r>
      <w:r w:rsidRPr="00CB470C">
        <w:rPr>
          <w:rFonts w:ascii="Arial" w:hAnsi="Arial" w:cs="Arial"/>
          <w:sz w:val="16"/>
          <w:szCs w:val="16"/>
        </w:rPr>
        <w:t>(if applicable)</w:t>
      </w:r>
      <w:r w:rsidRPr="00CB470C">
        <w:rPr>
          <w:rFonts w:ascii="Arial" w:eastAsia="Aptos" w:hAnsi="Arial" w:cs="Arial"/>
          <w:sz w:val="16"/>
          <w:szCs w:val="16"/>
        </w:rPr>
        <w:t xml:space="preserve">, coffee drinking (yes/no), total energy intake (kcal/day, tertile), </w:t>
      </w:r>
      <w:r w:rsidRPr="00CB470C">
        <w:rPr>
          <w:rFonts w:ascii="Arial" w:hAnsi="Arial" w:cs="Arial"/>
          <w:sz w:val="16"/>
          <w:szCs w:val="16"/>
        </w:rPr>
        <w:t xml:space="preserve">fridge at home, blood group (A, AB, B, O) (if applicable), four periods of data collection, and </w:t>
      </w:r>
      <w:r w:rsidRPr="00CB470C">
        <w:rPr>
          <w:rFonts w:ascii="Arial" w:hAnsi="Arial" w:cs="Arial"/>
          <w:i/>
          <w:iCs/>
          <w:sz w:val="16"/>
          <w:szCs w:val="16"/>
        </w:rPr>
        <w:t>H. Pylori</w:t>
      </w:r>
      <w:r w:rsidRPr="00CB470C">
        <w:rPr>
          <w:rFonts w:ascii="Arial" w:hAnsi="Arial" w:cs="Arial"/>
          <w:sz w:val="16"/>
          <w:szCs w:val="16"/>
        </w:rPr>
        <w:t xml:space="preserve"> status (if applicable). </w:t>
      </w:r>
    </w:p>
    <w:p w:rsidR="006E5FB7" w:rsidRPr="00CB470C" w:rsidRDefault="006E5FB7" w:rsidP="006E5FB7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CB470C">
        <w:rPr>
          <w:rFonts w:ascii="Arial" w:eastAsia="Times New Roman" w:hAnsi="Arial" w:cs="Arial"/>
          <w:color w:val="000000"/>
          <w:sz w:val="16"/>
          <w:szCs w:val="16"/>
          <w:vertAlign w:val="superscript"/>
          <w:lang w:eastAsia="ja-JP"/>
        </w:rPr>
        <w:t>¶</w:t>
      </w:r>
      <w:r w:rsidRPr="00CB470C">
        <w:rPr>
          <w:rFonts w:ascii="Arial" w:eastAsia="Times New Roman" w:hAnsi="Arial" w:cs="Arial"/>
          <w:color w:val="000000"/>
          <w:sz w:val="16"/>
          <w:szCs w:val="16"/>
          <w:lang w:eastAsia="ja-JP"/>
        </w:rPr>
        <w:t xml:space="preserve">The mean (range) for each quintile of MUFA intake was as follows: 1) overall population: quintile 1: 4.7 (0.3-6.5); quintile 2:7.8 (6.5-8.9); quintile 3:10.3 (8.9-11.5); quintile 4:13.1 (11.6-15.1); and quintile 5:19.4 (15.2-70.5); 2) participants &lt;60 years old: quintile 1:4.9 (0.3-6.8); quintile 2: 8.0 (6.8-9.3); quintile 3: 10.6 (9.3-11.9); quintile 4: 13.5 (11.9-15.5); and quintile 5: 21.3 (15.5-70.5) (2) Participants </w:t>
      </w:r>
      <w:r w:rsidRPr="00CB470C">
        <w:rPr>
          <w:rFonts w:ascii="Symbol" w:eastAsia="Times New Roman" w:hAnsi="Symbol" w:cs="Arial"/>
          <w:color w:val="000000"/>
          <w:sz w:val="16"/>
          <w:szCs w:val="16"/>
          <w:lang w:eastAsia="ja-JP"/>
        </w:rPr>
        <w:sym w:font="Symbol" w:char="F0B3"/>
      </w:r>
      <w:r w:rsidRPr="00CB470C">
        <w:rPr>
          <w:rFonts w:ascii="Arial" w:eastAsia="Times New Roman" w:hAnsi="Arial" w:cs="Arial"/>
          <w:color w:val="000000"/>
          <w:sz w:val="16"/>
          <w:szCs w:val="16"/>
          <w:lang w:eastAsia="ja-JP"/>
        </w:rPr>
        <w:t>60 years old: Quintile 1: 4.3 (0.8-6.1); quintile 2: 7.3 (6.1-8.5); quintile 3: 9.7 (8.6-10.9); quintile 4: 12.5 (10.9-14.3); and quintile 5: 20.6 (14.4-63.4). It was rounded number</w:t>
      </w:r>
    </w:p>
    <w:p w:rsidR="006E5FB7" w:rsidRPr="00CB470C" w:rsidRDefault="006E5FB7" w:rsidP="006E5FB7">
      <w:pPr>
        <w:spacing w:after="0" w:line="240" w:lineRule="auto"/>
        <w:rPr>
          <w:rFonts w:ascii="Arial" w:hAnsi="Arial" w:cs="Arial"/>
          <w:sz w:val="14"/>
          <w:szCs w:val="14"/>
        </w:rPr>
      </w:pPr>
    </w:p>
    <w:p w:rsidR="006E5FB7" w:rsidRPr="00CB470C" w:rsidRDefault="006E5FB7" w:rsidP="006E5FB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6E5FB7" w:rsidRPr="00CB470C" w:rsidRDefault="006E5FB7" w:rsidP="006E5FB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CB470C">
        <w:rPr>
          <w:rFonts w:ascii="Arial" w:hAnsi="Arial" w:cs="Arial"/>
          <w:sz w:val="16"/>
          <w:szCs w:val="16"/>
        </w:rPr>
        <w:t xml:space="preserve">Abbreviations: CI, confidence interval; OR, odds ratio; </w:t>
      </w:r>
      <w:r w:rsidRPr="00CB470C">
        <w:rPr>
          <w:rFonts w:ascii="Arial" w:hAnsi="Arial" w:cs="Arial"/>
          <w:bCs/>
          <w:color w:val="000000" w:themeColor="text1"/>
          <w:sz w:val="16"/>
          <w:szCs w:val="16"/>
        </w:rPr>
        <w:t>SD: Standard deviation.</w:t>
      </w:r>
    </w:p>
    <w:p w:rsidR="006E5FB7" w:rsidRPr="00CB470C" w:rsidRDefault="006E5FB7" w:rsidP="006E5FB7">
      <w:pPr>
        <w:spacing w:after="0" w:line="240" w:lineRule="auto"/>
        <w:rPr>
          <w:rFonts w:ascii="Arial" w:hAnsi="Arial" w:cs="Arial"/>
          <w:bCs/>
          <w:sz w:val="16"/>
          <w:szCs w:val="16"/>
        </w:rPr>
      </w:pPr>
    </w:p>
    <w:p w:rsidR="006E5FB7" w:rsidRPr="00CB470C" w:rsidRDefault="006E5FB7" w:rsidP="006E5FB7">
      <w:pPr>
        <w:spacing w:after="0" w:line="240" w:lineRule="auto"/>
        <w:rPr>
          <w:rFonts w:ascii="Arial" w:hAnsi="Arial" w:cs="Arial"/>
          <w:bCs/>
          <w:sz w:val="16"/>
          <w:szCs w:val="16"/>
        </w:rPr>
        <w:sectPr w:rsidR="006E5FB7" w:rsidRPr="00CB470C" w:rsidSect="00E332EB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6E5FB7" w:rsidRPr="00CB470C" w:rsidRDefault="006E5FB7" w:rsidP="006E5FB7">
      <w:pPr>
        <w:spacing w:after="0" w:line="240" w:lineRule="auto"/>
        <w:ind w:left="180"/>
        <w:jc w:val="center"/>
        <w:rPr>
          <w:rFonts w:ascii="Arial" w:hAnsi="Arial" w:cs="Arial"/>
          <w:b/>
          <w:bCs/>
        </w:rPr>
      </w:pPr>
      <w:r w:rsidRPr="00CB470C">
        <w:rPr>
          <w:rFonts w:ascii="Arial" w:hAnsi="Arial" w:cs="Arial"/>
          <w:b/>
          <w:bCs/>
        </w:rPr>
        <w:lastRenderedPageBreak/>
        <w:t xml:space="preserve">Supplementary Table 2. Population Attributable Fraction (%) of MUFA in Gastric Cancer Risk  </w:t>
      </w:r>
    </w:p>
    <w:p w:rsidR="006E5FB7" w:rsidRPr="00CB470C" w:rsidRDefault="006E5FB7" w:rsidP="006E5FB7">
      <w:pPr>
        <w:spacing w:after="0" w:line="240" w:lineRule="auto"/>
        <w:rPr>
          <w:rFonts w:ascii="Arial" w:hAnsi="Arial" w:cs="Arial"/>
        </w:rPr>
      </w:pPr>
    </w:p>
    <w:tbl>
      <w:tblPr>
        <w:tblW w:w="1022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69"/>
        <w:gridCol w:w="1110"/>
        <w:gridCol w:w="574"/>
        <w:gridCol w:w="784"/>
        <w:gridCol w:w="1112"/>
        <w:gridCol w:w="567"/>
        <w:gridCol w:w="826"/>
        <w:gridCol w:w="1110"/>
        <w:gridCol w:w="616"/>
        <w:gridCol w:w="868"/>
        <w:gridCol w:w="1190"/>
      </w:tblGrid>
      <w:tr w:rsidR="006E5FB7" w:rsidRPr="00CB470C" w:rsidTr="00DE3B11">
        <w:trPr>
          <w:trHeight w:val="296"/>
        </w:trPr>
        <w:tc>
          <w:tcPr>
            <w:tcW w:w="1469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MUFA(Range (from highest to lowest quintile)) daily intake, g/day</w:t>
            </w:r>
          </w:p>
        </w:tc>
        <w:tc>
          <w:tcPr>
            <w:tcW w:w="24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Entire Study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Participants&lt;60 years old</w:t>
            </w:r>
          </w:p>
        </w:tc>
        <w:tc>
          <w:tcPr>
            <w:tcW w:w="2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Participants</w:t>
            </w: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sym w:font="Symbol" w:char="F0B3"/>
            </w:r>
            <w:r w:rsidRPr="00CB47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60 years old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Differences </w:t>
            </w:r>
          </w:p>
        </w:tc>
      </w:tr>
      <w:tr w:rsidR="006E5FB7" w:rsidRPr="00CB470C" w:rsidTr="00DE3B11">
        <w:trPr>
          <w:trHeight w:val="361"/>
        </w:trPr>
        <w:tc>
          <w:tcPr>
            <w:tcW w:w="146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Prevalence (%)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OR</w:t>
            </w: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vertAlign w:val="superscript"/>
                <w:lang w:eastAsia="ja-JP"/>
              </w:rPr>
              <w:t>a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PAF, (%)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Prevalence (%)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OR</w:t>
            </w: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vertAlign w:val="superscript"/>
                <w:lang w:eastAsia="ja-JP"/>
              </w:rPr>
              <w:t>a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PAF (%) (1)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Prevalence (%)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OR</w:t>
            </w: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vertAlign w:val="superscript"/>
                <w:lang w:eastAsia="ja-JP"/>
              </w:rPr>
              <w:t>a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PAF (%) (2)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(2)-(1)</w:t>
            </w:r>
          </w:p>
        </w:tc>
      </w:tr>
      <w:tr w:rsidR="006E5FB7" w:rsidRPr="00CB470C" w:rsidTr="00DE3B11">
        <w:trPr>
          <w:trHeight w:val="296"/>
        </w:trPr>
        <w:tc>
          <w:tcPr>
            <w:tcW w:w="146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15.2-70.5</w:t>
            </w: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ja-JP"/>
              </w:rPr>
              <w:t>b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19.97</w:t>
            </w:r>
          </w:p>
        </w:tc>
        <w:tc>
          <w:tcPr>
            <w:tcW w:w="57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1.00</w:t>
            </w:r>
          </w:p>
        </w:tc>
        <w:tc>
          <w:tcPr>
            <w:tcW w:w="78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0.00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20.00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1.00</w:t>
            </w:r>
          </w:p>
        </w:tc>
        <w:tc>
          <w:tcPr>
            <w:tcW w:w="82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0.00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19.98</w:t>
            </w:r>
          </w:p>
        </w:tc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1.00</w:t>
            </w:r>
          </w:p>
        </w:tc>
        <w:tc>
          <w:tcPr>
            <w:tcW w:w="86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0.00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0.00</w:t>
            </w:r>
          </w:p>
        </w:tc>
      </w:tr>
      <w:tr w:rsidR="006E5FB7" w:rsidRPr="00CB470C" w:rsidTr="00DE3B11">
        <w:trPr>
          <w:trHeight w:val="296"/>
        </w:trPr>
        <w:tc>
          <w:tcPr>
            <w:tcW w:w="146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11.6-15.1</w:t>
            </w:r>
          </w:p>
        </w:tc>
        <w:tc>
          <w:tcPr>
            <w:tcW w:w="111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20.01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1.23</w:t>
            </w:r>
          </w:p>
        </w:tc>
        <w:tc>
          <w:tcPr>
            <w:tcW w:w="78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4.34</w:t>
            </w:r>
          </w:p>
        </w:tc>
        <w:tc>
          <w:tcPr>
            <w:tcW w:w="111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19.96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1.18</w:t>
            </w:r>
          </w:p>
        </w:tc>
        <w:tc>
          <w:tcPr>
            <w:tcW w:w="82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3.53</w:t>
            </w:r>
          </w:p>
        </w:tc>
        <w:tc>
          <w:tcPr>
            <w:tcW w:w="111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19.98</w:t>
            </w:r>
          </w:p>
        </w:tc>
        <w:tc>
          <w:tcPr>
            <w:tcW w:w="616" w:type="dxa"/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1.33</w:t>
            </w:r>
          </w:p>
        </w:tc>
        <w:tc>
          <w:tcPr>
            <w:tcW w:w="86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6.25</w:t>
            </w:r>
          </w:p>
        </w:tc>
        <w:tc>
          <w:tcPr>
            <w:tcW w:w="119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2.72</w:t>
            </w:r>
          </w:p>
        </w:tc>
      </w:tr>
      <w:tr w:rsidR="006E5FB7" w:rsidRPr="00CB470C" w:rsidTr="00DE3B11">
        <w:trPr>
          <w:trHeight w:val="296"/>
        </w:trPr>
        <w:tc>
          <w:tcPr>
            <w:tcW w:w="146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8.9-11.5</w:t>
            </w:r>
          </w:p>
        </w:tc>
        <w:tc>
          <w:tcPr>
            <w:tcW w:w="111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19.99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1.51</w:t>
            </w:r>
          </w:p>
        </w:tc>
        <w:tc>
          <w:tcPr>
            <w:tcW w:w="78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9.20</w:t>
            </w:r>
          </w:p>
        </w:tc>
        <w:tc>
          <w:tcPr>
            <w:tcW w:w="111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20.04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1.25</w:t>
            </w:r>
          </w:p>
        </w:tc>
        <w:tc>
          <w:tcPr>
            <w:tcW w:w="82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4.84</w:t>
            </w:r>
          </w:p>
        </w:tc>
        <w:tc>
          <w:tcPr>
            <w:tcW w:w="111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19.98</w:t>
            </w:r>
          </w:p>
        </w:tc>
        <w:tc>
          <w:tcPr>
            <w:tcW w:w="616" w:type="dxa"/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1.71</w:t>
            </w:r>
          </w:p>
        </w:tc>
        <w:tc>
          <w:tcPr>
            <w:tcW w:w="86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12.40</w:t>
            </w:r>
          </w:p>
        </w:tc>
        <w:tc>
          <w:tcPr>
            <w:tcW w:w="119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7.56</w:t>
            </w:r>
          </w:p>
        </w:tc>
      </w:tr>
      <w:tr w:rsidR="006E5FB7" w:rsidRPr="00CB470C" w:rsidTr="00DE3B11">
        <w:trPr>
          <w:trHeight w:val="296"/>
        </w:trPr>
        <w:tc>
          <w:tcPr>
            <w:tcW w:w="146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6.5-8.9</w:t>
            </w:r>
          </w:p>
        </w:tc>
        <w:tc>
          <w:tcPr>
            <w:tcW w:w="111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19.97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1.94</w:t>
            </w:r>
          </w:p>
        </w:tc>
        <w:tc>
          <w:tcPr>
            <w:tcW w:w="78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15.83</w:t>
            </w:r>
          </w:p>
        </w:tc>
        <w:tc>
          <w:tcPr>
            <w:tcW w:w="111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20.00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1.70</w:t>
            </w:r>
          </w:p>
        </w:tc>
        <w:tc>
          <w:tcPr>
            <w:tcW w:w="82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12.26</w:t>
            </w:r>
          </w:p>
        </w:tc>
        <w:tc>
          <w:tcPr>
            <w:tcW w:w="111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19.98</w:t>
            </w:r>
          </w:p>
        </w:tc>
        <w:tc>
          <w:tcPr>
            <w:tcW w:w="616" w:type="dxa"/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2.18</w:t>
            </w:r>
          </w:p>
        </w:tc>
        <w:tc>
          <w:tcPr>
            <w:tcW w:w="86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19.14</w:t>
            </w:r>
          </w:p>
        </w:tc>
        <w:tc>
          <w:tcPr>
            <w:tcW w:w="119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6.88</w:t>
            </w:r>
          </w:p>
        </w:tc>
      </w:tr>
      <w:tr w:rsidR="006E5FB7" w:rsidRPr="00CB470C" w:rsidTr="00DE3B11">
        <w:trPr>
          <w:trHeight w:val="296"/>
        </w:trPr>
        <w:tc>
          <w:tcPr>
            <w:tcW w:w="14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0.3-6.5</w:t>
            </w:r>
            <w:r w:rsidRPr="00CB470C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ja-JP"/>
              </w:rPr>
              <w:t>c</w:t>
            </w:r>
          </w:p>
        </w:tc>
        <w:tc>
          <w:tcPr>
            <w:tcW w:w="11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20.06</w:t>
            </w:r>
          </w:p>
        </w:tc>
        <w:tc>
          <w:tcPr>
            <w:tcW w:w="57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2.32</w:t>
            </w:r>
          </w:p>
        </w:tc>
        <w:tc>
          <w:tcPr>
            <w:tcW w:w="7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20.99</w:t>
            </w:r>
          </w:p>
        </w:tc>
        <w:tc>
          <w:tcPr>
            <w:tcW w:w="111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20.00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2.32</w:t>
            </w:r>
          </w:p>
        </w:tc>
        <w:tc>
          <w:tcPr>
            <w:tcW w:w="8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20.85</w:t>
            </w:r>
          </w:p>
        </w:tc>
        <w:tc>
          <w:tcPr>
            <w:tcW w:w="11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20.10</w:t>
            </w:r>
          </w:p>
        </w:tc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2.29</w:t>
            </w:r>
          </w:p>
        </w:tc>
        <w:tc>
          <w:tcPr>
            <w:tcW w:w="8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20.56</w:t>
            </w:r>
          </w:p>
        </w:tc>
        <w:tc>
          <w:tcPr>
            <w:tcW w:w="11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sz w:val="18"/>
                <w:szCs w:val="18"/>
                <w:lang w:eastAsia="ja-JP"/>
              </w:rPr>
              <w:t>-0.29</w:t>
            </w:r>
          </w:p>
        </w:tc>
      </w:tr>
      <w:tr w:rsidR="006E5FB7" w:rsidRPr="00CB470C" w:rsidTr="00DE3B11">
        <w:trPr>
          <w:trHeight w:val="296"/>
        </w:trPr>
        <w:tc>
          <w:tcPr>
            <w:tcW w:w="1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 xml:space="preserve"> Total 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50.36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41.48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58.35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FB7" w:rsidRPr="00CB470C" w:rsidRDefault="006E5FB7" w:rsidP="00DE3B11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</w:pPr>
            <w:r w:rsidRPr="00CB47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ja-JP"/>
              </w:rPr>
              <w:t>16.87</w:t>
            </w:r>
          </w:p>
        </w:tc>
      </w:tr>
    </w:tbl>
    <w:p w:rsidR="006E5FB7" w:rsidRPr="00CB470C" w:rsidRDefault="006E5FB7" w:rsidP="006E5FB7">
      <w:pPr>
        <w:spacing w:after="0" w:line="240" w:lineRule="auto"/>
        <w:rPr>
          <w:rFonts w:ascii="Arial" w:hAnsi="Arial" w:cs="Arial"/>
        </w:rPr>
      </w:pPr>
    </w:p>
    <w:p w:rsidR="006E5FB7" w:rsidRPr="00CB470C" w:rsidRDefault="006E5FB7" w:rsidP="006E5FB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CB470C">
        <w:rPr>
          <w:rFonts w:ascii="Arial" w:hAnsi="Arial" w:cs="Arial"/>
          <w:sz w:val="16"/>
          <w:szCs w:val="16"/>
        </w:rPr>
        <w:t>Abbreviations: PAF population attributable fraction (%)</w:t>
      </w:r>
      <w:r w:rsidRPr="00CB470C">
        <w:rPr>
          <w:rFonts w:ascii="Arial" w:eastAsia="Times New Roman" w:hAnsi="Arial" w:cs="Arial"/>
          <w:sz w:val="16"/>
          <w:szCs w:val="16"/>
        </w:rPr>
        <w:t xml:space="preserve">, </w:t>
      </w:r>
      <w:r w:rsidRPr="00CB470C">
        <w:rPr>
          <w:rFonts w:ascii="Arial" w:hAnsi="Arial" w:cs="Arial"/>
          <w:bCs/>
          <w:color w:val="000000" w:themeColor="text1"/>
          <w:sz w:val="16"/>
          <w:szCs w:val="16"/>
        </w:rPr>
        <w:t>OR: odds ratio</w:t>
      </w:r>
      <w:r w:rsidRPr="00CB470C">
        <w:rPr>
          <w:rFonts w:ascii="Arial" w:eastAsia="Times New Roman" w:hAnsi="Arial" w:cs="Arial"/>
          <w:sz w:val="16"/>
          <w:szCs w:val="16"/>
        </w:rPr>
        <w:t xml:space="preserve">  </w:t>
      </w:r>
    </w:p>
    <w:p w:rsidR="006E5FB7" w:rsidRPr="00CB470C" w:rsidRDefault="006E5FB7" w:rsidP="006E5FB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CB470C">
        <w:rPr>
          <w:rFonts w:ascii="Arial" w:hAnsi="Arial" w:cs="Arial"/>
          <w:sz w:val="16"/>
          <w:szCs w:val="16"/>
          <w:vertAlign w:val="superscript"/>
        </w:rPr>
        <w:t>a</w:t>
      </w:r>
      <w:r w:rsidRPr="00CB470C">
        <w:rPr>
          <w:rFonts w:ascii="Arial" w:hAnsi="Arial" w:cs="Arial"/>
          <w:sz w:val="16"/>
          <w:szCs w:val="16"/>
        </w:rPr>
        <w:t xml:space="preserve"> Model adjusted for age (</w:t>
      </w:r>
      <w:r w:rsidRPr="00CB470C">
        <w:rPr>
          <w:rFonts w:cs="Calibri"/>
          <w:sz w:val="16"/>
          <w:szCs w:val="16"/>
        </w:rPr>
        <w:t>15-39, 40-49, 50-59, 60-69, and ≥70</w:t>
      </w:r>
      <w:r w:rsidRPr="00CB470C">
        <w:rPr>
          <w:rFonts w:ascii="Arial" w:hAnsi="Arial" w:cs="Arial"/>
          <w:sz w:val="16"/>
          <w:szCs w:val="16"/>
        </w:rPr>
        <w:t>) (if applicable), sex, education level (primary, secondary, high school or higher), BMI (kg/m</w:t>
      </w:r>
      <w:r w:rsidRPr="00CB470C">
        <w:rPr>
          <w:rFonts w:ascii="Arial" w:hAnsi="Arial" w:cs="Arial"/>
          <w:sz w:val="16"/>
          <w:szCs w:val="16"/>
          <w:vertAlign w:val="superscript"/>
        </w:rPr>
        <w:t>2</w:t>
      </w:r>
      <w:r w:rsidRPr="00CB470C">
        <w:rPr>
          <w:rFonts w:ascii="Arial" w:hAnsi="Arial" w:cs="Arial"/>
          <w:sz w:val="16"/>
          <w:szCs w:val="16"/>
        </w:rPr>
        <w:t>, &lt;18.5, 18.5-</w:t>
      </w:r>
      <w:r w:rsidRPr="00CB470C">
        <w:rPr>
          <w:rFonts w:ascii="Arial" w:eastAsia="Aptos" w:hAnsi="Arial" w:cs="Arial"/>
          <w:sz w:val="16"/>
          <w:szCs w:val="16"/>
        </w:rPr>
        <w:t xml:space="preserve">to &lt;23, ≥23), alcohol consumption (yes/no), family history of cancer (yes/no), smoking status (ever/never), history of type 2 diabetes (yes/no), coffee drinking (yes/no), total energy intake (kcal/day, tertile), </w:t>
      </w:r>
      <w:r w:rsidRPr="00CB470C">
        <w:rPr>
          <w:rFonts w:ascii="Arial" w:hAnsi="Arial" w:cs="Arial"/>
          <w:sz w:val="16"/>
          <w:szCs w:val="16"/>
        </w:rPr>
        <w:t xml:space="preserve">fridge at home, blood group (A, AB, B, O), four periods of data collection, and </w:t>
      </w:r>
      <w:r w:rsidRPr="00CB470C">
        <w:rPr>
          <w:rFonts w:ascii="Arial" w:hAnsi="Arial" w:cs="Arial"/>
          <w:i/>
          <w:iCs/>
          <w:sz w:val="16"/>
          <w:szCs w:val="16"/>
        </w:rPr>
        <w:t>H. Pylori</w:t>
      </w:r>
      <w:r w:rsidRPr="00CB470C">
        <w:rPr>
          <w:rFonts w:ascii="Arial" w:hAnsi="Arial" w:cs="Arial"/>
          <w:sz w:val="16"/>
          <w:szCs w:val="16"/>
        </w:rPr>
        <w:t xml:space="preserve"> status. </w:t>
      </w:r>
    </w:p>
    <w:p w:rsidR="006E5FB7" w:rsidRPr="00CB470C" w:rsidRDefault="006E5FB7" w:rsidP="006E5FB7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CB470C">
        <w:rPr>
          <w:rFonts w:ascii="Arial" w:hAnsi="Arial" w:cs="Arial"/>
          <w:sz w:val="16"/>
          <w:szCs w:val="16"/>
          <w:vertAlign w:val="superscript"/>
        </w:rPr>
        <w:t>b</w:t>
      </w:r>
      <w:r w:rsidRPr="00CB470C">
        <w:rPr>
          <w:rFonts w:ascii="Arial" w:hAnsi="Arial" w:cs="Arial"/>
          <w:sz w:val="16"/>
          <w:szCs w:val="16"/>
        </w:rPr>
        <w:t xml:space="preserve"> the highest quintile of t</w:t>
      </w:r>
      <w:r w:rsidRPr="00CB470C">
        <w:rPr>
          <w:rFonts w:ascii="Arial" w:eastAsia="Times New Roman" w:hAnsi="Arial" w:cs="Arial"/>
          <w:sz w:val="16"/>
          <w:szCs w:val="16"/>
        </w:rPr>
        <w:t xml:space="preserve">otal monounsaturated fatty acid intake as the reference group to estimate the odds ratio and 95% confidence interval. </w:t>
      </w:r>
      <w:r w:rsidRPr="00CB470C">
        <w:rPr>
          <w:rFonts w:ascii="Arial" w:eastAsia="Times New Roman" w:hAnsi="Arial" w:cs="Arial"/>
          <w:color w:val="000000"/>
          <w:sz w:val="16"/>
          <w:szCs w:val="16"/>
          <w:lang w:eastAsia="ja-JP"/>
        </w:rPr>
        <w:t>It was rounded number</w:t>
      </w:r>
    </w:p>
    <w:p w:rsidR="006E5FB7" w:rsidRPr="00CB470C" w:rsidRDefault="006E5FB7" w:rsidP="006E5FB7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</w:p>
    <w:p w:rsidR="006E5FB7" w:rsidRPr="008D69D9" w:rsidRDefault="006E5FB7" w:rsidP="006E5FB7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CB470C">
        <w:rPr>
          <w:rFonts w:ascii="Arial" w:eastAsia="Times New Roman" w:hAnsi="Arial" w:cs="Arial"/>
          <w:sz w:val="16"/>
          <w:szCs w:val="16"/>
          <w:vertAlign w:val="superscript"/>
        </w:rPr>
        <w:t>c</w:t>
      </w:r>
      <w:r w:rsidRPr="00CB470C">
        <w:rPr>
          <w:rFonts w:ascii="Arial" w:eastAsia="Times New Roman" w:hAnsi="Arial" w:cs="Arial"/>
          <w:sz w:val="16"/>
          <w:szCs w:val="16"/>
        </w:rPr>
        <w:t xml:space="preserve"> the lowest </w:t>
      </w:r>
      <w:r w:rsidRPr="00CB470C">
        <w:rPr>
          <w:rFonts w:ascii="Arial" w:hAnsi="Arial" w:cs="Arial"/>
          <w:sz w:val="16"/>
          <w:szCs w:val="16"/>
        </w:rPr>
        <w:t>quintile of t</w:t>
      </w:r>
      <w:r w:rsidRPr="00CB470C">
        <w:rPr>
          <w:rFonts w:ascii="Arial" w:eastAsia="Times New Roman" w:hAnsi="Arial" w:cs="Arial"/>
          <w:sz w:val="16"/>
          <w:szCs w:val="16"/>
        </w:rPr>
        <w:t xml:space="preserve">otal monounsaturated fatty acid intake. </w:t>
      </w:r>
      <w:r w:rsidRPr="00CB470C">
        <w:rPr>
          <w:rFonts w:ascii="Arial" w:eastAsia="Times New Roman" w:hAnsi="Arial" w:cs="Arial"/>
          <w:color w:val="000000"/>
          <w:sz w:val="16"/>
          <w:szCs w:val="16"/>
          <w:lang w:eastAsia="ja-JP"/>
        </w:rPr>
        <w:t>It was rounded number</w:t>
      </w:r>
    </w:p>
    <w:p w:rsidR="006E5FB7" w:rsidRPr="00DC7DFA" w:rsidRDefault="006E5FB7" w:rsidP="006E5FB7">
      <w:pPr>
        <w:spacing w:after="0" w:line="240" w:lineRule="auto"/>
        <w:rPr>
          <w:rFonts w:ascii="Arial" w:hAnsi="Arial" w:cs="Arial"/>
          <w:bCs/>
          <w:sz w:val="16"/>
          <w:szCs w:val="16"/>
        </w:rPr>
      </w:pPr>
    </w:p>
    <w:p w:rsidR="006E5FB7" w:rsidRPr="00DC7DFA" w:rsidRDefault="006E5FB7" w:rsidP="006E5FB7">
      <w:pPr>
        <w:spacing w:after="0" w:line="240" w:lineRule="auto"/>
        <w:rPr>
          <w:rFonts w:ascii="Arial" w:hAnsi="Arial" w:cs="Arial"/>
          <w:bCs/>
          <w:color w:val="000000" w:themeColor="text1"/>
          <w:sz w:val="16"/>
          <w:szCs w:val="16"/>
        </w:rPr>
      </w:pPr>
    </w:p>
    <w:p w:rsidR="006E5FB7" w:rsidRPr="00DC7DFA" w:rsidRDefault="006E5FB7" w:rsidP="006E5FB7">
      <w:pPr>
        <w:spacing w:after="0" w:line="240" w:lineRule="auto"/>
        <w:rPr>
          <w:rFonts w:ascii="Arial" w:hAnsi="Arial" w:cs="Arial"/>
        </w:rPr>
      </w:pPr>
    </w:p>
    <w:p w:rsidR="006E5FB7" w:rsidRDefault="006E5FB7" w:rsidP="006E5FB7">
      <w:pPr>
        <w:rPr>
          <w:rFonts w:ascii="Arial" w:hAnsi="Arial" w:cs="Arial"/>
          <w:b/>
          <w:bCs/>
          <w:iCs/>
          <w:sz w:val="18"/>
          <w:szCs w:val="18"/>
        </w:rPr>
      </w:pPr>
      <w:r>
        <w:rPr>
          <w:rFonts w:ascii="Arial" w:hAnsi="Arial" w:cs="Arial"/>
          <w:b/>
          <w:bCs/>
          <w:iCs/>
          <w:sz w:val="18"/>
          <w:szCs w:val="18"/>
        </w:rPr>
        <w:br w:type="page"/>
      </w:r>
    </w:p>
    <w:p w:rsidR="006E5FB7" w:rsidRPr="00DC7DFA" w:rsidRDefault="006E5FB7" w:rsidP="006E5FB7">
      <w:pPr>
        <w:spacing w:after="0" w:line="240" w:lineRule="auto"/>
        <w:rPr>
          <w:rFonts w:ascii="Arial" w:hAnsi="Arial" w:cs="Arial"/>
        </w:rPr>
      </w:pPr>
    </w:p>
    <w:p w:rsidR="006E5FB7" w:rsidRPr="00DC7DFA" w:rsidRDefault="006E5FB7" w:rsidP="006E5FB7">
      <w:pPr>
        <w:spacing w:after="0" w:line="158" w:lineRule="auto"/>
        <w:rPr>
          <w:rFonts w:ascii="Arial" w:hAnsi="Arial" w:cs="Arial"/>
          <w:bCs/>
          <w:color w:val="000000" w:themeColor="text1"/>
          <w:sz w:val="16"/>
          <w:szCs w:val="16"/>
          <w:vertAlign w:val="superscript"/>
        </w:rPr>
      </w:pPr>
    </w:p>
    <w:p w:rsidR="006E5FB7" w:rsidRPr="00DC7DFA" w:rsidRDefault="006E5FB7" w:rsidP="006E5FB7">
      <w:pPr>
        <w:spacing w:after="0" w:line="240" w:lineRule="auto"/>
        <w:rPr>
          <w:rFonts w:ascii="Arial" w:hAnsi="Arial" w:cs="Arial"/>
        </w:rPr>
      </w:pPr>
    </w:p>
    <w:p w:rsidR="008A4A7E" w:rsidRDefault="008A4A7E"/>
    <w:sectPr w:rsidR="008A4A7E" w:rsidSect="00AC48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FB7"/>
    <w:rsid w:val="00000FB3"/>
    <w:rsid w:val="00041DB2"/>
    <w:rsid w:val="00062D22"/>
    <w:rsid w:val="001237A4"/>
    <w:rsid w:val="001724FC"/>
    <w:rsid w:val="001A43E9"/>
    <w:rsid w:val="00271781"/>
    <w:rsid w:val="003020E0"/>
    <w:rsid w:val="00393F5D"/>
    <w:rsid w:val="003A1A51"/>
    <w:rsid w:val="003A7959"/>
    <w:rsid w:val="003F7378"/>
    <w:rsid w:val="0041618F"/>
    <w:rsid w:val="00440B0B"/>
    <w:rsid w:val="004831B1"/>
    <w:rsid w:val="00575455"/>
    <w:rsid w:val="005D6729"/>
    <w:rsid w:val="006D053D"/>
    <w:rsid w:val="006E5FB7"/>
    <w:rsid w:val="0076220D"/>
    <w:rsid w:val="00790D64"/>
    <w:rsid w:val="007A05FB"/>
    <w:rsid w:val="007D3A91"/>
    <w:rsid w:val="007F13BD"/>
    <w:rsid w:val="00803FD4"/>
    <w:rsid w:val="008A4A7E"/>
    <w:rsid w:val="009043F3"/>
    <w:rsid w:val="00967F7D"/>
    <w:rsid w:val="00973842"/>
    <w:rsid w:val="009F1E9E"/>
    <w:rsid w:val="00A633D4"/>
    <w:rsid w:val="00B47418"/>
    <w:rsid w:val="00BA109B"/>
    <w:rsid w:val="00BB5EB4"/>
    <w:rsid w:val="00BC284B"/>
    <w:rsid w:val="00C120AE"/>
    <w:rsid w:val="00C46168"/>
    <w:rsid w:val="00C60AFF"/>
    <w:rsid w:val="00C639C8"/>
    <w:rsid w:val="00C959D2"/>
    <w:rsid w:val="00CF38E2"/>
    <w:rsid w:val="00D020F7"/>
    <w:rsid w:val="00D525F0"/>
    <w:rsid w:val="00D552B1"/>
    <w:rsid w:val="00D712AA"/>
    <w:rsid w:val="00DB6D22"/>
    <w:rsid w:val="00E33212"/>
    <w:rsid w:val="00EF6B3C"/>
    <w:rsid w:val="00F1308C"/>
    <w:rsid w:val="00FA611B"/>
    <w:rsid w:val="00FC3BC5"/>
    <w:rsid w:val="00FD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DBDD37-374D-49F1-835B-03B36C8F5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5F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5F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5FB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5F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5FB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5F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5F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5F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5F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5FB7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5FB7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6E5FB7"/>
    <w:rPr>
      <w:rFonts w:eastAsiaTheme="majorEastAsia" w:cstheme="majorBidi"/>
      <w:color w:val="2E74B5" w:themeColor="accent1" w:themeShade="BF"/>
      <w:kern w:val="2"/>
      <w:sz w:val="28"/>
      <w:szCs w:val="28"/>
      <w:lang w:val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5FB7"/>
    <w:rPr>
      <w:rFonts w:eastAsiaTheme="majorEastAsia" w:cstheme="majorBidi"/>
      <w:i/>
      <w:iCs/>
      <w:color w:val="2E74B5" w:themeColor="accent1" w:themeShade="BF"/>
      <w:kern w:val="2"/>
      <w:lang w:val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5FB7"/>
    <w:rPr>
      <w:rFonts w:eastAsiaTheme="majorEastAsia" w:cstheme="majorBidi"/>
      <w:color w:val="2E74B5" w:themeColor="accent1" w:themeShade="BF"/>
      <w:kern w:val="2"/>
      <w:lang w:val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5FB7"/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5FB7"/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5FB7"/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5FB7"/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6E5F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E5FB7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5F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E5FB7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6E5FB7"/>
    <w:pPr>
      <w:spacing w:before="160"/>
      <w:jc w:val="center"/>
    </w:pPr>
    <w:rPr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E5FB7"/>
    <w:rPr>
      <w:i/>
      <w:iCs/>
      <w:color w:val="404040" w:themeColor="text1" w:themeTint="BF"/>
      <w:kern w:val="2"/>
      <w:lang w:val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6E5FB7"/>
    <w:pPr>
      <w:ind w:left="720"/>
      <w:contextualSpacing/>
    </w:pPr>
    <w:rPr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E5FB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FB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FB7"/>
    <w:rPr>
      <w:i/>
      <w:iCs/>
      <w:color w:val="2E74B5" w:themeColor="accent1" w:themeShade="BF"/>
      <w:kern w:val="2"/>
      <w:lang w:val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6E5FB7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6E5FB7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E5FB7"/>
    <w:pPr>
      <w:tabs>
        <w:tab w:val="center" w:pos="4680"/>
        <w:tab w:val="right" w:pos="9360"/>
      </w:tabs>
      <w:spacing w:after="0" w:line="240" w:lineRule="auto"/>
    </w:pPr>
    <w:rPr>
      <w:kern w:val="2"/>
      <w:lang w:val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6E5FB7"/>
    <w:rPr>
      <w:kern w:val="2"/>
      <w:lang w:val="en-US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6E5FB7"/>
    <w:pPr>
      <w:tabs>
        <w:tab w:val="center" w:pos="4680"/>
        <w:tab w:val="right" w:pos="9360"/>
      </w:tabs>
      <w:spacing w:after="0" w:line="240" w:lineRule="auto"/>
    </w:pPr>
    <w:rPr>
      <w:kern w:val="2"/>
      <w:lang w:val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6E5FB7"/>
    <w:rPr>
      <w:kern w:val="2"/>
      <w:lang w:val="en-US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6E5FB7"/>
    <w:rPr>
      <w:color w:val="0563C1"/>
      <w:u w:val="single"/>
    </w:rPr>
  </w:style>
  <w:style w:type="character" w:styleId="Emphasis">
    <w:name w:val="Emphasis"/>
    <w:basedOn w:val="DefaultParagraphFont"/>
    <w:uiPriority w:val="20"/>
    <w:qFormat/>
    <w:rsid w:val="006E5FB7"/>
    <w:rPr>
      <w:i/>
      <w:iCs/>
    </w:rPr>
  </w:style>
  <w:style w:type="character" w:customStyle="1" w:styleId="cf01">
    <w:name w:val="cf01"/>
    <w:basedOn w:val="DefaultParagraphFont"/>
    <w:rsid w:val="006E5FB7"/>
    <w:rPr>
      <w:rFonts w:ascii="Segoe UI" w:hAnsi="Segoe UI" w:cs="Segoe UI" w:hint="default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6E5FB7"/>
    <w:pPr>
      <w:tabs>
        <w:tab w:val="left" w:pos="504"/>
      </w:tabs>
      <w:spacing w:after="240" w:line="240" w:lineRule="auto"/>
      <w:ind w:left="504" w:hanging="504"/>
    </w:pPr>
    <w:rPr>
      <w:kern w:val="2"/>
      <w:lang w:val="en-US"/>
      <w14:ligatures w14:val="standardContextual"/>
    </w:rPr>
  </w:style>
  <w:style w:type="paragraph" w:customStyle="1" w:styleId="Normal1">
    <w:name w:val="Normal1"/>
    <w:basedOn w:val="Normal"/>
    <w:rsid w:val="006E5FB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Revision">
    <w:name w:val="Revision"/>
    <w:hidden/>
    <w:uiPriority w:val="99"/>
    <w:semiHidden/>
    <w:rsid w:val="006E5FB7"/>
    <w:pPr>
      <w:spacing w:after="0" w:line="240" w:lineRule="auto"/>
    </w:pPr>
    <w:rPr>
      <w:kern w:val="2"/>
      <w:lang w:val="en-US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6E5F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5FB7"/>
    <w:pPr>
      <w:spacing w:line="240" w:lineRule="auto"/>
    </w:pPr>
    <w:rPr>
      <w:kern w:val="2"/>
      <w:sz w:val="20"/>
      <w:szCs w:val="20"/>
      <w:lang w:val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5FB7"/>
    <w:rPr>
      <w:kern w:val="2"/>
      <w:sz w:val="20"/>
      <w:szCs w:val="20"/>
      <w:lang w:val="en-US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5F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5FB7"/>
    <w:rPr>
      <w:b/>
      <w:bCs/>
      <w:kern w:val="2"/>
      <w:sz w:val="20"/>
      <w:szCs w:val="20"/>
      <w:lang w:val="en-US"/>
      <w14:ligatures w14:val="standardContextual"/>
    </w:rPr>
  </w:style>
  <w:style w:type="paragraph" w:customStyle="1" w:styleId="preflight-heading">
    <w:name w:val="preflight-heading"/>
    <w:rsid w:val="006E5FB7"/>
    <w:pPr>
      <w:spacing w:before="60" w:after="60"/>
    </w:pPr>
    <w:rPr>
      <w:b/>
      <w:color w:val="000000"/>
      <w:kern w:val="2"/>
      <w:sz w:val="20"/>
      <w:lang w:val="en-US"/>
      <w14:ligatures w14:val="standardContextual"/>
    </w:rPr>
  </w:style>
  <w:style w:type="paragraph" w:customStyle="1" w:styleId="preflight-description">
    <w:name w:val="preflight-description"/>
    <w:rsid w:val="006E5FB7"/>
    <w:pPr>
      <w:spacing w:before="60" w:after="60"/>
    </w:pPr>
    <w:rPr>
      <w:color w:val="000000"/>
      <w:kern w:val="2"/>
      <w:sz w:val="20"/>
      <w:lang w:val="en-US"/>
      <w14:ligatures w14:val="standardContextual"/>
    </w:rPr>
  </w:style>
  <w:style w:type="paragraph" w:customStyle="1" w:styleId="preflight-link">
    <w:name w:val="preflight-link"/>
    <w:rsid w:val="006E5FB7"/>
    <w:pPr>
      <w:spacing w:before="60" w:after="60"/>
    </w:pPr>
    <w:rPr>
      <w:color w:val="0000FF"/>
      <w:kern w:val="2"/>
      <w:sz w:val="20"/>
      <w:u w:val="single"/>
      <w:lang w:val="en-US"/>
      <w14:ligatures w14:val="standardContextual"/>
    </w:rPr>
  </w:style>
  <w:style w:type="paragraph" w:customStyle="1" w:styleId="preflight-example">
    <w:name w:val="preflight-example"/>
    <w:rsid w:val="006E5FB7"/>
    <w:pPr>
      <w:spacing w:before="180" w:after="60"/>
    </w:pPr>
    <w:rPr>
      <w:i/>
      <w:color w:val="000000"/>
      <w:kern w:val="2"/>
      <w:sz w:val="20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1111</Words>
  <Characters>6335</Characters>
  <Application>Microsoft Office Word</Application>
  <DocSecurity>0</DocSecurity>
  <Lines>52</Lines>
  <Paragraphs>14</Paragraphs>
  <ScaleCrop>false</ScaleCrop>
  <Company/>
  <LinksUpToDate>false</LinksUpToDate>
  <CharactersWithSpaces>7432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Indumathi V</dc:creator>
  <cp:keywords/>
  <dc:description/>
  <cp:lastModifiedBy>Indumathi V</cp:lastModifiedBy>
  <cp:revision>1</cp:revision>
  <dcterms:created xsi:type="dcterms:W3CDTF">2025-08-09T04:25:00Z</dcterms:created>
  <dcterms:modified xsi:type="dcterms:W3CDTF">2025-08-09T04:25:00Z</dcterms:modified>
</cp:coreProperties>
</file>