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D6F83" w14:textId="77777777" w:rsidR="002D6A62" w:rsidRDefault="002D6A62" w:rsidP="00D54BA9">
      <w:pPr>
        <w:spacing w:after="0" w:line="240" w:lineRule="auto"/>
        <w:rPr>
          <w:rFonts w:ascii="Times New Roman" w:eastAsia="Times New Roman" w:hAnsi="Times New Roman" w:cs="Times New Roman"/>
          <w:color w:val="000000" w:themeColor="text1"/>
          <w:sz w:val="20"/>
          <w:szCs w:val="20"/>
        </w:rPr>
      </w:pPr>
      <w:r w:rsidRPr="00FE2E1C">
        <w:rPr>
          <w:rFonts w:ascii="Times New Roman" w:eastAsia="Times New Roman" w:hAnsi="Times New Roman" w:cs="Times New Roman"/>
          <w:b/>
          <w:bCs/>
          <w:color w:val="000000" w:themeColor="text1"/>
          <w:sz w:val="20"/>
          <w:szCs w:val="20"/>
        </w:rPr>
        <w:t>Article title:</w:t>
      </w:r>
      <w:r w:rsidRPr="00FE2E1C">
        <w:rPr>
          <w:rFonts w:ascii="Times New Roman" w:eastAsia="Times New Roman" w:hAnsi="Times New Roman" w:cs="Times New Roman"/>
          <w:color w:val="000000" w:themeColor="text1"/>
          <w:sz w:val="20"/>
          <w:szCs w:val="20"/>
        </w:rPr>
        <w:t xml:space="preserve"> Macronutrient intakes and associations with psoriasis severity: a cross-sectional analysis of the Asking People with Psoriasis about Lifestyle and Eating (APPLE) study. </w:t>
      </w:r>
    </w:p>
    <w:p w14:paraId="1ABCAB32" w14:textId="77777777" w:rsidR="00D54BA9" w:rsidRDefault="00D54BA9" w:rsidP="00D54BA9">
      <w:pPr>
        <w:spacing w:after="0" w:line="240" w:lineRule="auto"/>
        <w:rPr>
          <w:rFonts w:ascii="Times New Roman" w:eastAsia="Times New Roman" w:hAnsi="Times New Roman" w:cs="Times New Roman"/>
          <w:color w:val="000000" w:themeColor="text1"/>
          <w:sz w:val="20"/>
          <w:szCs w:val="20"/>
        </w:rPr>
      </w:pPr>
      <w:r w:rsidRPr="00A72D51">
        <w:rPr>
          <w:rFonts w:ascii="Times New Roman" w:eastAsia="Times New Roman" w:hAnsi="Times New Roman" w:cs="Times New Roman"/>
          <w:b/>
          <w:bCs/>
          <w:color w:val="000000" w:themeColor="text1"/>
          <w:sz w:val="20"/>
          <w:szCs w:val="20"/>
        </w:rPr>
        <w:t>Journal name:</w:t>
      </w:r>
      <w:r>
        <w:rPr>
          <w:rFonts w:ascii="Times New Roman" w:eastAsia="Times New Roman" w:hAnsi="Times New Roman" w:cs="Times New Roman"/>
          <w:b/>
          <w:bCs/>
          <w:color w:val="000000" w:themeColor="text1"/>
          <w:sz w:val="20"/>
          <w:szCs w:val="20"/>
        </w:rPr>
        <w:t xml:space="preserve"> </w:t>
      </w:r>
      <w:r>
        <w:rPr>
          <w:rFonts w:ascii="Times New Roman" w:eastAsia="Times New Roman" w:hAnsi="Times New Roman" w:cs="Times New Roman"/>
          <w:color w:val="000000" w:themeColor="text1"/>
          <w:sz w:val="20"/>
          <w:szCs w:val="20"/>
        </w:rPr>
        <w:t>European Journal of Nutrition.</w:t>
      </w:r>
    </w:p>
    <w:p w14:paraId="5BEBF371" w14:textId="2D11B0E9" w:rsidR="002D6A62" w:rsidRPr="00D54BA9" w:rsidRDefault="002D6A62" w:rsidP="00D54BA9">
      <w:pPr>
        <w:spacing w:after="0" w:line="240" w:lineRule="auto"/>
        <w:rPr>
          <w:rFonts w:ascii="Times New Roman" w:eastAsia="Times New Roman" w:hAnsi="Times New Roman" w:cs="Times New Roman"/>
          <w:color w:val="000000" w:themeColor="text1"/>
          <w:sz w:val="20"/>
          <w:szCs w:val="20"/>
        </w:rPr>
      </w:pPr>
      <w:r w:rsidRPr="00FE2E1C">
        <w:rPr>
          <w:rFonts w:ascii="Times New Roman" w:eastAsia="Times New Roman" w:hAnsi="Times New Roman" w:cs="Times New Roman"/>
          <w:b/>
          <w:bCs/>
          <w:color w:val="000000" w:themeColor="text1"/>
          <w:sz w:val="20"/>
          <w:szCs w:val="20"/>
        </w:rPr>
        <w:t xml:space="preserve">Authors: </w:t>
      </w:r>
      <w:r w:rsidRPr="00FE2E1C">
        <w:rPr>
          <w:rFonts w:ascii="Times New Roman" w:eastAsia="Times New Roman" w:hAnsi="Times New Roman" w:cs="Times New Roman"/>
          <w:color w:val="000000" w:themeColor="text1"/>
          <w:sz w:val="20"/>
          <w:szCs w:val="20"/>
        </w:rPr>
        <w:t xml:space="preserve">Sylvia Zanesco, Thiviyani Maruthappu, Christopher E.M. Griffiths, </w:t>
      </w:r>
      <w:proofErr w:type="spellStart"/>
      <w:r w:rsidRPr="00FE2E1C">
        <w:rPr>
          <w:rFonts w:ascii="Times New Roman" w:eastAsia="Times New Roman" w:hAnsi="Times New Roman" w:cs="Times New Roman"/>
          <w:color w:val="000000" w:themeColor="text1"/>
          <w:sz w:val="20"/>
          <w:szCs w:val="20"/>
        </w:rPr>
        <w:t>Ruotong</w:t>
      </w:r>
      <w:proofErr w:type="spellEnd"/>
      <w:r w:rsidRPr="00FE2E1C">
        <w:rPr>
          <w:rFonts w:ascii="Times New Roman" w:eastAsia="Times New Roman" w:hAnsi="Times New Roman" w:cs="Times New Roman"/>
          <w:color w:val="000000" w:themeColor="text1"/>
          <w:sz w:val="20"/>
          <w:szCs w:val="20"/>
        </w:rPr>
        <w:t xml:space="preserve"> Zhang, Kathryn V. Dalrymple, Rachel Gibson, and Wendy L. Hall.</w:t>
      </w:r>
    </w:p>
    <w:p w14:paraId="6DFD75C5" w14:textId="39E8CB2A" w:rsidR="00AC33BF" w:rsidRDefault="002D6A62" w:rsidP="00D54BA9">
      <w:pPr>
        <w:pStyle w:val="Heading1"/>
        <w:spacing w:before="0" w:after="0" w:line="240" w:lineRule="auto"/>
        <w:rPr>
          <w:rFonts w:ascii="Times New Roman" w:eastAsia="Times New Roman" w:hAnsi="Times New Roman" w:cs="Times New Roman"/>
          <w:color w:val="000000" w:themeColor="text1"/>
          <w:sz w:val="20"/>
          <w:szCs w:val="20"/>
        </w:rPr>
      </w:pPr>
      <w:r w:rsidRPr="00FE2E1C">
        <w:rPr>
          <w:rFonts w:ascii="Times New Roman" w:eastAsia="Times New Roman" w:hAnsi="Times New Roman" w:cs="Times New Roman"/>
          <w:b/>
          <w:bCs/>
          <w:color w:val="000000" w:themeColor="text1"/>
          <w:sz w:val="20"/>
          <w:szCs w:val="20"/>
        </w:rPr>
        <w:t xml:space="preserve">Corresponding author: </w:t>
      </w:r>
      <w:r w:rsidRPr="00FE2E1C">
        <w:rPr>
          <w:rFonts w:ascii="Times New Roman" w:eastAsia="Times New Roman" w:hAnsi="Times New Roman" w:cs="Times New Roman"/>
          <w:color w:val="000000" w:themeColor="text1"/>
          <w:sz w:val="20"/>
          <w:szCs w:val="20"/>
        </w:rPr>
        <w:t>Sylvia Zanesco</w:t>
      </w:r>
      <w:r>
        <w:rPr>
          <w:rFonts w:ascii="Times New Roman" w:eastAsia="Times New Roman" w:hAnsi="Times New Roman" w:cs="Times New Roman"/>
          <w:sz w:val="20"/>
          <w:szCs w:val="20"/>
        </w:rPr>
        <w:t xml:space="preserve">, </w:t>
      </w:r>
      <w:r w:rsidRPr="00FE2E1C">
        <w:rPr>
          <w:rFonts w:ascii="Times New Roman" w:eastAsia="Times New Roman" w:hAnsi="Times New Roman" w:cs="Times New Roman"/>
          <w:color w:val="000000" w:themeColor="text1"/>
          <w:sz w:val="20"/>
          <w:szCs w:val="20"/>
        </w:rPr>
        <w:t xml:space="preserve">Department of Nutritional Sciences, King's College </w:t>
      </w:r>
      <w:r w:rsidRPr="002D6A62">
        <w:rPr>
          <w:rFonts w:ascii="Times New Roman" w:eastAsia="Times New Roman" w:hAnsi="Times New Roman" w:cs="Times New Roman"/>
          <w:color w:val="000000" w:themeColor="text1"/>
          <w:sz w:val="20"/>
          <w:szCs w:val="20"/>
        </w:rPr>
        <w:t>London, UK, (</w:t>
      </w:r>
      <w:r w:rsidR="00D54BA9" w:rsidRPr="00D27D63">
        <w:rPr>
          <w:rFonts w:ascii="Times New Roman" w:eastAsia="Times New Roman" w:hAnsi="Times New Roman" w:cs="Times New Roman"/>
          <w:color w:val="000000" w:themeColor="text1"/>
          <w:sz w:val="20"/>
          <w:szCs w:val="20"/>
        </w:rPr>
        <w:t>sylvia.1.zanesco@kcl.ac.uk</w:t>
      </w:r>
      <w:r w:rsidRPr="002D6A62">
        <w:rPr>
          <w:rFonts w:ascii="Times New Roman" w:eastAsia="Times New Roman" w:hAnsi="Times New Roman" w:cs="Times New Roman"/>
          <w:color w:val="000000" w:themeColor="text1"/>
          <w:sz w:val="20"/>
          <w:szCs w:val="20"/>
        </w:rPr>
        <w:t>).</w:t>
      </w:r>
    </w:p>
    <w:p w14:paraId="05857D1E" w14:textId="77777777" w:rsidR="00D54BA9" w:rsidRPr="00D54BA9" w:rsidRDefault="00D54BA9" w:rsidP="00D54BA9"/>
    <w:tbl>
      <w:tblPr>
        <w:tblStyle w:val="TableGrid"/>
        <w:tblW w:w="5000" w:type="pct"/>
        <w:tblLook w:val="04A0" w:firstRow="1" w:lastRow="0" w:firstColumn="1" w:lastColumn="0" w:noHBand="0" w:noVBand="1"/>
      </w:tblPr>
      <w:tblGrid>
        <w:gridCol w:w="3329"/>
        <w:gridCol w:w="9950"/>
        <w:gridCol w:w="277"/>
        <w:gridCol w:w="1842"/>
      </w:tblGrid>
      <w:tr w:rsidR="006237F3" w:rsidRPr="00AC33BF" w14:paraId="17925F3A" w14:textId="3A3AA1A6" w:rsidTr="124E84FA">
        <w:trPr>
          <w:gridAfter w:val="1"/>
          <w:wAfter w:w="598" w:type="pct"/>
          <w:trHeight w:val="278"/>
        </w:trPr>
        <w:tc>
          <w:tcPr>
            <w:tcW w:w="4402" w:type="pct"/>
            <w:gridSpan w:val="3"/>
            <w:tcBorders>
              <w:top w:val="nil"/>
              <w:left w:val="nil"/>
              <w:bottom w:val="nil"/>
              <w:right w:val="nil"/>
            </w:tcBorders>
          </w:tcPr>
          <w:p w14:paraId="76583CFC" w14:textId="7A13F705" w:rsidR="006371F4" w:rsidRPr="00AC33BF" w:rsidRDefault="006371F4" w:rsidP="124E84FA">
            <w:pPr>
              <w:spacing w:line="480" w:lineRule="auto"/>
              <w:rPr>
                <w:rFonts w:ascii="Times New Roman" w:eastAsia="Times New Roman" w:hAnsi="Times New Roman" w:cs="Times New Roman"/>
                <w:b/>
                <w:bCs/>
                <w:color w:val="000000" w:themeColor="text1"/>
                <w:sz w:val="20"/>
                <w:szCs w:val="20"/>
              </w:rPr>
            </w:pPr>
            <w:r w:rsidRPr="00AC33BF">
              <w:rPr>
                <w:rFonts w:ascii="Times New Roman" w:eastAsia="Times New Roman" w:hAnsi="Times New Roman" w:cs="Times New Roman"/>
                <w:b/>
                <w:bCs/>
                <w:color w:val="000000" w:themeColor="text1"/>
                <w:sz w:val="20"/>
                <w:szCs w:val="20"/>
              </w:rPr>
              <w:t xml:space="preserve">Supplementary </w:t>
            </w:r>
            <w:r w:rsidR="00EF0212">
              <w:rPr>
                <w:rFonts w:ascii="Times New Roman" w:eastAsia="Times New Roman" w:hAnsi="Times New Roman" w:cs="Times New Roman"/>
                <w:b/>
                <w:bCs/>
                <w:color w:val="000000" w:themeColor="text1"/>
                <w:sz w:val="20"/>
                <w:szCs w:val="20"/>
              </w:rPr>
              <w:t>Table</w:t>
            </w:r>
            <w:r w:rsidR="00B54252" w:rsidRPr="00AC33BF">
              <w:rPr>
                <w:rFonts w:ascii="Times New Roman" w:eastAsia="Times New Roman" w:hAnsi="Times New Roman" w:cs="Times New Roman"/>
                <w:b/>
                <w:bCs/>
                <w:color w:val="000000" w:themeColor="text1"/>
                <w:sz w:val="20"/>
                <w:szCs w:val="20"/>
              </w:rPr>
              <w:t xml:space="preserve"> </w:t>
            </w:r>
            <w:r w:rsidR="00C26063" w:rsidRPr="00AC33BF">
              <w:rPr>
                <w:rFonts w:ascii="Times New Roman" w:eastAsia="Times New Roman" w:hAnsi="Times New Roman" w:cs="Times New Roman"/>
                <w:b/>
                <w:bCs/>
                <w:color w:val="000000" w:themeColor="text1"/>
                <w:sz w:val="20"/>
                <w:szCs w:val="20"/>
              </w:rPr>
              <w:t>2</w:t>
            </w:r>
            <w:r w:rsidR="000D05C7">
              <w:rPr>
                <w:rFonts w:ascii="Times New Roman" w:eastAsia="Times New Roman" w:hAnsi="Times New Roman" w:cs="Times New Roman"/>
                <w:b/>
                <w:bCs/>
                <w:color w:val="000000" w:themeColor="text1"/>
                <w:sz w:val="20"/>
                <w:szCs w:val="20"/>
              </w:rPr>
              <w:t>.</w:t>
            </w:r>
            <w:r w:rsidRPr="00AC33BF">
              <w:rPr>
                <w:rFonts w:ascii="Times New Roman" w:eastAsia="Times New Roman" w:hAnsi="Times New Roman" w:cs="Times New Roman"/>
                <w:b/>
                <w:bCs/>
                <w:color w:val="000000" w:themeColor="text1"/>
                <w:sz w:val="20"/>
                <w:szCs w:val="20"/>
              </w:rPr>
              <w:t xml:space="preserve"> </w:t>
            </w:r>
            <w:r w:rsidR="0034755C" w:rsidRPr="00C63461">
              <w:rPr>
                <w:rFonts w:ascii="Times New Roman" w:eastAsia="Times New Roman" w:hAnsi="Times New Roman" w:cs="Times New Roman"/>
                <w:sz w:val="20"/>
                <w:szCs w:val="20"/>
              </w:rPr>
              <w:t xml:space="preserve">Strengthening the Reporting of Observational Studies in Epidemiology </w:t>
            </w:r>
            <w:r w:rsidR="0034755C">
              <w:rPr>
                <w:rFonts w:ascii="Times New Roman" w:eastAsia="Times New Roman" w:hAnsi="Times New Roman" w:cs="Times New Roman"/>
                <w:sz w:val="20"/>
                <w:szCs w:val="20"/>
              </w:rPr>
              <w:t xml:space="preserve">- </w:t>
            </w:r>
            <w:r w:rsidR="00D96EE1">
              <w:rPr>
                <w:rFonts w:ascii="Times New Roman" w:eastAsia="Times New Roman" w:hAnsi="Times New Roman" w:cs="Times New Roman"/>
                <w:color w:val="000000" w:themeColor="text1"/>
                <w:sz w:val="20"/>
                <w:szCs w:val="20"/>
              </w:rPr>
              <w:t>C</w:t>
            </w:r>
            <w:r w:rsidRPr="00AC33BF">
              <w:rPr>
                <w:rFonts w:ascii="Times New Roman" w:eastAsia="Times New Roman" w:hAnsi="Times New Roman" w:cs="Times New Roman"/>
                <w:color w:val="000000" w:themeColor="text1"/>
                <w:sz w:val="20"/>
                <w:szCs w:val="20"/>
              </w:rPr>
              <w:t>hecklist for Reporting Results of Internet E-Surveys (CHERRIES).</w:t>
            </w:r>
          </w:p>
        </w:tc>
      </w:tr>
      <w:tr w:rsidR="006237F3" w:rsidRPr="00AC33BF" w14:paraId="4B54E54B" w14:textId="32288E07" w:rsidTr="124E84FA">
        <w:trPr>
          <w:trHeight w:val="597"/>
        </w:trPr>
        <w:tc>
          <w:tcPr>
            <w:tcW w:w="1081" w:type="pct"/>
            <w:tcBorders>
              <w:top w:val="single" w:sz="4" w:space="0" w:color="auto"/>
              <w:left w:val="single" w:sz="4" w:space="0" w:color="auto"/>
              <w:bottom w:val="single" w:sz="4" w:space="0" w:color="auto"/>
              <w:right w:val="nil"/>
            </w:tcBorders>
          </w:tcPr>
          <w:p w14:paraId="38CDA7F2" w14:textId="2CAE5541" w:rsidR="006371F4" w:rsidRPr="00AC33BF" w:rsidRDefault="006371F4" w:rsidP="124E84FA">
            <w:pPr>
              <w:spacing w:line="480" w:lineRule="auto"/>
              <w:jc w:val="center"/>
              <w:rPr>
                <w:rFonts w:ascii="Times New Roman" w:eastAsia="Times New Roman" w:hAnsi="Times New Roman" w:cs="Times New Roman"/>
                <w:b/>
                <w:bCs/>
                <w:color w:val="000000" w:themeColor="text1"/>
                <w:sz w:val="20"/>
                <w:szCs w:val="20"/>
              </w:rPr>
            </w:pPr>
            <w:r w:rsidRPr="00AC33BF">
              <w:rPr>
                <w:rFonts w:ascii="Times New Roman" w:eastAsia="Times New Roman" w:hAnsi="Times New Roman" w:cs="Times New Roman"/>
                <w:b/>
                <w:bCs/>
                <w:color w:val="000000" w:themeColor="text1"/>
                <w:sz w:val="20"/>
                <w:szCs w:val="20"/>
              </w:rPr>
              <w:t>Checklist Item</w:t>
            </w:r>
          </w:p>
        </w:tc>
        <w:tc>
          <w:tcPr>
            <w:tcW w:w="3231" w:type="pct"/>
            <w:tcBorders>
              <w:top w:val="single" w:sz="4" w:space="0" w:color="auto"/>
              <w:left w:val="nil"/>
              <w:bottom w:val="single" w:sz="4" w:space="0" w:color="auto"/>
              <w:right w:val="nil"/>
            </w:tcBorders>
          </w:tcPr>
          <w:p w14:paraId="44B0BD24" w14:textId="686F5302" w:rsidR="006371F4" w:rsidRPr="00AC33BF" w:rsidRDefault="006371F4" w:rsidP="124E84FA">
            <w:pPr>
              <w:spacing w:line="480" w:lineRule="auto"/>
              <w:jc w:val="center"/>
              <w:rPr>
                <w:rFonts w:ascii="Times New Roman" w:eastAsia="Times New Roman" w:hAnsi="Times New Roman" w:cs="Times New Roman"/>
                <w:b/>
                <w:bCs/>
                <w:color w:val="000000" w:themeColor="text1"/>
                <w:sz w:val="20"/>
                <w:szCs w:val="20"/>
              </w:rPr>
            </w:pPr>
            <w:r w:rsidRPr="00AC33BF">
              <w:rPr>
                <w:rFonts w:ascii="Times New Roman" w:eastAsia="Times New Roman" w:hAnsi="Times New Roman" w:cs="Times New Roman"/>
                <w:b/>
                <w:bCs/>
                <w:color w:val="000000" w:themeColor="text1"/>
                <w:sz w:val="20"/>
                <w:szCs w:val="20"/>
              </w:rPr>
              <w:t>Explanation</w:t>
            </w:r>
          </w:p>
        </w:tc>
        <w:tc>
          <w:tcPr>
            <w:tcW w:w="688" w:type="pct"/>
            <w:gridSpan w:val="2"/>
            <w:tcBorders>
              <w:top w:val="single" w:sz="4" w:space="0" w:color="auto"/>
              <w:left w:val="nil"/>
              <w:bottom w:val="single" w:sz="4" w:space="0" w:color="auto"/>
              <w:right w:val="single" w:sz="4" w:space="0" w:color="auto"/>
            </w:tcBorders>
            <w:vAlign w:val="center"/>
          </w:tcPr>
          <w:p w14:paraId="58DD6D65" w14:textId="73A275B1" w:rsidR="006371F4" w:rsidRPr="00AC33BF" w:rsidRDefault="006371F4" w:rsidP="124E84FA">
            <w:pPr>
              <w:spacing w:line="480" w:lineRule="auto"/>
              <w:jc w:val="center"/>
              <w:rPr>
                <w:rFonts w:ascii="Times New Roman" w:eastAsia="Times New Roman" w:hAnsi="Times New Roman" w:cs="Times New Roman"/>
                <w:b/>
                <w:bCs/>
                <w:color w:val="000000" w:themeColor="text1"/>
                <w:sz w:val="20"/>
                <w:szCs w:val="20"/>
              </w:rPr>
            </w:pPr>
            <w:r w:rsidRPr="00AC33BF">
              <w:rPr>
                <w:rFonts w:ascii="Times New Roman" w:eastAsia="Times New Roman" w:hAnsi="Times New Roman" w:cs="Times New Roman"/>
                <w:b/>
                <w:bCs/>
                <w:color w:val="000000" w:themeColor="text1"/>
                <w:sz w:val="20"/>
                <w:szCs w:val="20"/>
              </w:rPr>
              <w:t>Page number</w:t>
            </w:r>
          </w:p>
        </w:tc>
      </w:tr>
      <w:tr w:rsidR="006237F3" w:rsidRPr="00AC33BF" w14:paraId="5CD7C0A3" w14:textId="41BAA724" w:rsidTr="124E84FA">
        <w:trPr>
          <w:trHeight w:val="291"/>
        </w:trPr>
        <w:tc>
          <w:tcPr>
            <w:tcW w:w="1081" w:type="pct"/>
            <w:tcBorders>
              <w:top w:val="single" w:sz="4" w:space="0" w:color="auto"/>
              <w:right w:val="nil"/>
            </w:tcBorders>
          </w:tcPr>
          <w:p w14:paraId="366BA937" w14:textId="6F2C2749"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Describe survey design</w:t>
            </w:r>
          </w:p>
        </w:tc>
        <w:tc>
          <w:tcPr>
            <w:tcW w:w="3231" w:type="pct"/>
            <w:tcBorders>
              <w:top w:val="single" w:sz="4" w:space="0" w:color="auto"/>
              <w:left w:val="nil"/>
              <w:right w:val="nil"/>
            </w:tcBorders>
          </w:tcPr>
          <w:p w14:paraId="5B476418" w14:textId="4DA065EC"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Describe target population, sample frame. Is the sample a convenience sample? (In “open” surveys this is most likely.)</w:t>
            </w:r>
          </w:p>
        </w:tc>
        <w:tc>
          <w:tcPr>
            <w:tcW w:w="688" w:type="pct"/>
            <w:gridSpan w:val="2"/>
            <w:tcBorders>
              <w:top w:val="single" w:sz="4" w:space="0" w:color="auto"/>
              <w:left w:val="nil"/>
            </w:tcBorders>
            <w:vAlign w:val="center"/>
          </w:tcPr>
          <w:p w14:paraId="30AAD5B0" w14:textId="0CAB7E91"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331E7C5F" w14:textId="24D490F7" w:rsidTr="124E84FA">
        <w:trPr>
          <w:trHeight w:val="305"/>
        </w:trPr>
        <w:tc>
          <w:tcPr>
            <w:tcW w:w="1081" w:type="pct"/>
            <w:tcBorders>
              <w:right w:val="nil"/>
            </w:tcBorders>
          </w:tcPr>
          <w:p w14:paraId="70CD58C9" w14:textId="2EB59FE2"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IRB approval</w:t>
            </w:r>
          </w:p>
        </w:tc>
        <w:tc>
          <w:tcPr>
            <w:tcW w:w="3231" w:type="pct"/>
            <w:tcBorders>
              <w:left w:val="nil"/>
              <w:right w:val="nil"/>
            </w:tcBorders>
          </w:tcPr>
          <w:p w14:paraId="10D41461" w14:textId="69AEB252"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Mention whether the study has been approved by an IRB.</w:t>
            </w:r>
          </w:p>
        </w:tc>
        <w:tc>
          <w:tcPr>
            <w:tcW w:w="688" w:type="pct"/>
            <w:gridSpan w:val="2"/>
            <w:tcBorders>
              <w:left w:val="nil"/>
            </w:tcBorders>
            <w:vAlign w:val="center"/>
          </w:tcPr>
          <w:p w14:paraId="09CA06E9" w14:textId="2A2325B1" w:rsidR="006371F4" w:rsidRPr="00AC33BF" w:rsidRDefault="002D3241" w:rsidP="124E84FA">
            <w:pPr>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3BF439B3" w14:textId="2677CE72" w:rsidTr="124E84FA">
        <w:trPr>
          <w:trHeight w:val="291"/>
        </w:trPr>
        <w:tc>
          <w:tcPr>
            <w:tcW w:w="1081" w:type="pct"/>
            <w:tcBorders>
              <w:right w:val="nil"/>
            </w:tcBorders>
          </w:tcPr>
          <w:p w14:paraId="1D63B9E7" w14:textId="6A60D0FC"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Informed consent</w:t>
            </w:r>
          </w:p>
        </w:tc>
        <w:tc>
          <w:tcPr>
            <w:tcW w:w="3231" w:type="pct"/>
            <w:tcBorders>
              <w:left w:val="nil"/>
              <w:right w:val="nil"/>
            </w:tcBorders>
          </w:tcPr>
          <w:p w14:paraId="15DF8B6B" w14:textId="7A69B2C2"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Describe the informed consent process. Where were the participants told the length of time of the survey, which data were stored and where and for how long, who the investigator was, and the purpose of the study?</w:t>
            </w:r>
          </w:p>
        </w:tc>
        <w:tc>
          <w:tcPr>
            <w:tcW w:w="688" w:type="pct"/>
            <w:gridSpan w:val="2"/>
            <w:tcBorders>
              <w:left w:val="nil"/>
            </w:tcBorders>
            <w:vAlign w:val="center"/>
          </w:tcPr>
          <w:p w14:paraId="5D37AEEC" w14:textId="3630FC86" w:rsidR="006371F4" w:rsidRPr="00FE30FC" w:rsidRDefault="00FE30FC" w:rsidP="124E84FA">
            <w:pPr>
              <w:autoSpaceDE w:val="0"/>
              <w:autoSpaceDN w:val="0"/>
              <w:adjustRightInd w:val="0"/>
              <w:spacing w:line="480" w:lineRule="auto"/>
              <w:jc w:val="center"/>
              <w:rPr>
                <w:rFonts w:ascii="Times New Roman" w:eastAsia="Times New Roman" w:hAnsi="Times New Roman" w:cs="Times New Roman"/>
                <w:b/>
                <w:bCs/>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34670F3E" w14:textId="3C3E86D3" w:rsidTr="124E84FA">
        <w:trPr>
          <w:trHeight w:val="291"/>
        </w:trPr>
        <w:tc>
          <w:tcPr>
            <w:tcW w:w="1081" w:type="pct"/>
            <w:tcBorders>
              <w:right w:val="nil"/>
            </w:tcBorders>
          </w:tcPr>
          <w:p w14:paraId="42C1C129" w14:textId="6B516075"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Data protection</w:t>
            </w:r>
          </w:p>
        </w:tc>
        <w:tc>
          <w:tcPr>
            <w:tcW w:w="3231" w:type="pct"/>
            <w:tcBorders>
              <w:left w:val="nil"/>
              <w:right w:val="nil"/>
            </w:tcBorders>
          </w:tcPr>
          <w:p w14:paraId="1E1C07E1" w14:textId="3A8595D7"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If any personal information was collected or stored, describe what mechanisms were used to protect unauthorized access.</w:t>
            </w:r>
          </w:p>
        </w:tc>
        <w:tc>
          <w:tcPr>
            <w:tcW w:w="688" w:type="pct"/>
            <w:gridSpan w:val="2"/>
            <w:tcBorders>
              <w:left w:val="nil"/>
            </w:tcBorders>
            <w:vAlign w:val="center"/>
          </w:tcPr>
          <w:p w14:paraId="45C7267E" w14:textId="16A4A12D" w:rsidR="006371F4" w:rsidRPr="00AC33BF" w:rsidRDefault="00FE30FC"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05AF4FB8" w14:textId="041C8173" w:rsidTr="124E84FA">
        <w:trPr>
          <w:trHeight w:val="291"/>
        </w:trPr>
        <w:tc>
          <w:tcPr>
            <w:tcW w:w="1081" w:type="pct"/>
            <w:tcBorders>
              <w:right w:val="nil"/>
            </w:tcBorders>
          </w:tcPr>
          <w:p w14:paraId="2459A08A" w14:textId="7A172F84"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Development and testing</w:t>
            </w:r>
          </w:p>
        </w:tc>
        <w:tc>
          <w:tcPr>
            <w:tcW w:w="3231" w:type="pct"/>
            <w:tcBorders>
              <w:left w:val="nil"/>
              <w:right w:val="nil"/>
            </w:tcBorders>
          </w:tcPr>
          <w:p w14:paraId="1D70A67A" w14:textId="4D086213"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State how the survey was developed, including whether the usability and technical functionality of the electronic questionnaire had been tested before fielding the questionnaire.</w:t>
            </w:r>
          </w:p>
        </w:tc>
        <w:tc>
          <w:tcPr>
            <w:tcW w:w="688" w:type="pct"/>
            <w:gridSpan w:val="2"/>
            <w:tcBorders>
              <w:left w:val="nil"/>
            </w:tcBorders>
            <w:vAlign w:val="center"/>
          </w:tcPr>
          <w:p w14:paraId="549ECBCD" w14:textId="44C80693" w:rsidR="006371F4" w:rsidRPr="00AC33BF" w:rsidRDefault="00FE30FC"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16431866" w14:textId="6AFD6C0F" w:rsidTr="124E84FA">
        <w:trPr>
          <w:trHeight w:val="305"/>
        </w:trPr>
        <w:tc>
          <w:tcPr>
            <w:tcW w:w="1081" w:type="pct"/>
            <w:tcBorders>
              <w:right w:val="nil"/>
            </w:tcBorders>
          </w:tcPr>
          <w:p w14:paraId="07A557AB" w14:textId="77777777"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Open survey versus closed</w:t>
            </w:r>
          </w:p>
          <w:p w14:paraId="48DFC768" w14:textId="6D20F39D"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kern w:val="0"/>
                <w:sz w:val="20"/>
                <w:szCs w:val="20"/>
              </w:rPr>
              <w:t>survey</w:t>
            </w:r>
          </w:p>
        </w:tc>
        <w:tc>
          <w:tcPr>
            <w:tcW w:w="3231" w:type="pct"/>
            <w:tcBorders>
              <w:left w:val="nil"/>
              <w:right w:val="nil"/>
            </w:tcBorders>
          </w:tcPr>
          <w:p w14:paraId="4BF1CC9A" w14:textId="15829084"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An “open survey” is a survey open for each visitor of a site, while a closed survey is only open to a sample which the investigator knows (password-protected survey).</w:t>
            </w:r>
          </w:p>
        </w:tc>
        <w:tc>
          <w:tcPr>
            <w:tcW w:w="688" w:type="pct"/>
            <w:gridSpan w:val="2"/>
            <w:tcBorders>
              <w:left w:val="nil"/>
            </w:tcBorders>
            <w:vAlign w:val="center"/>
          </w:tcPr>
          <w:p w14:paraId="17276D91" w14:textId="2A60A17A"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482337C0" w14:textId="5EA31FBA" w:rsidTr="124E84FA">
        <w:trPr>
          <w:trHeight w:val="291"/>
        </w:trPr>
        <w:tc>
          <w:tcPr>
            <w:tcW w:w="1081" w:type="pct"/>
            <w:tcBorders>
              <w:right w:val="nil"/>
            </w:tcBorders>
          </w:tcPr>
          <w:p w14:paraId="084A4960" w14:textId="48689CF1"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Contact mode</w:t>
            </w:r>
          </w:p>
        </w:tc>
        <w:tc>
          <w:tcPr>
            <w:tcW w:w="3231" w:type="pct"/>
            <w:tcBorders>
              <w:left w:val="nil"/>
              <w:bottom w:val="single" w:sz="4" w:space="0" w:color="auto"/>
              <w:right w:val="nil"/>
            </w:tcBorders>
          </w:tcPr>
          <w:p w14:paraId="24ED8C11" w14:textId="0866864B"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 xml:space="preserve">Indicate </w:t>
            </w:r>
            <w:proofErr w:type="gramStart"/>
            <w:r w:rsidRPr="00AC33BF">
              <w:rPr>
                <w:rFonts w:ascii="Times New Roman" w:eastAsia="Times New Roman" w:hAnsi="Times New Roman" w:cs="Times New Roman"/>
                <w:color w:val="000000" w:themeColor="text1"/>
                <w:kern w:val="0"/>
                <w:sz w:val="20"/>
                <w:szCs w:val="20"/>
              </w:rPr>
              <w:t>whether or not</w:t>
            </w:r>
            <w:proofErr w:type="gramEnd"/>
            <w:r w:rsidRPr="00AC33BF">
              <w:rPr>
                <w:rFonts w:ascii="Times New Roman" w:eastAsia="Times New Roman" w:hAnsi="Times New Roman" w:cs="Times New Roman"/>
                <w:color w:val="000000" w:themeColor="text1"/>
                <w:kern w:val="0"/>
                <w:sz w:val="20"/>
                <w:szCs w:val="20"/>
              </w:rPr>
              <w:t xml:space="preserve"> the initial contact with the potential participants was made on the Internet. (Investigators may also send out questionnaires by mail and allow for Web-based data entry.)</w:t>
            </w:r>
            <w:r w:rsidR="006371F4" w:rsidRPr="00AC33BF">
              <w:rPr>
                <w:rFonts w:ascii="Times New Roman" w:eastAsia="Times New Roman" w:hAnsi="Times New Roman" w:cs="Times New Roman"/>
                <w:color w:val="000000" w:themeColor="text1"/>
                <w:sz w:val="20"/>
                <w:szCs w:val="20"/>
                <w:lang w:val="en-US"/>
              </w:rPr>
              <w:t xml:space="preserve"> </w:t>
            </w:r>
          </w:p>
        </w:tc>
        <w:tc>
          <w:tcPr>
            <w:tcW w:w="688" w:type="pct"/>
            <w:gridSpan w:val="2"/>
            <w:tcBorders>
              <w:left w:val="nil"/>
              <w:bottom w:val="single" w:sz="4" w:space="0" w:color="auto"/>
            </w:tcBorders>
            <w:vAlign w:val="center"/>
          </w:tcPr>
          <w:p w14:paraId="33050A6C" w14:textId="581F9292"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1907563C" w14:textId="636DA1A1" w:rsidTr="124E84FA">
        <w:trPr>
          <w:trHeight w:val="291"/>
        </w:trPr>
        <w:tc>
          <w:tcPr>
            <w:tcW w:w="1081" w:type="pct"/>
            <w:tcBorders>
              <w:right w:val="nil"/>
            </w:tcBorders>
          </w:tcPr>
          <w:p w14:paraId="71986EF2" w14:textId="02749521"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Advertising the study</w:t>
            </w:r>
          </w:p>
        </w:tc>
        <w:tc>
          <w:tcPr>
            <w:tcW w:w="3231" w:type="pct"/>
            <w:tcBorders>
              <w:left w:val="nil"/>
              <w:right w:val="nil"/>
            </w:tcBorders>
          </w:tcPr>
          <w:p w14:paraId="7FE5414E" w14:textId="24FCF500"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How/where was the survey announced or advertised? Some examples are offline media (newspapers), or online (mailing lists – If yes, which ones?) or banner ads (Where were these banner ads posted and what did they look like?). It is important to know the wording of the announcement as it will heavily influence who chooses to participate. Ideally the survey announcement should be published as an appendix.</w:t>
            </w:r>
          </w:p>
        </w:tc>
        <w:tc>
          <w:tcPr>
            <w:tcW w:w="688" w:type="pct"/>
            <w:gridSpan w:val="2"/>
            <w:tcBorders>
              <w:left w:val="nil"/>
            </w:tcBorders>
            <w:vAlign w:val="center"/>
          </w:tcPr>
          <w:p w14:paraId="7FDE99DE" w14:textId="03D34A60" w:rsidR="006371F4" w:rsidRPr="00AC33BF" w:rsidRDefault="00C14E8D"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 xml:space="preserve"> </w:t>
            </w:r>
            <w:r w:rsidR="002D3241">
              <w:rPr>
                <w:rFonts w:ascii="Times New Roman" w:eastAsia="Times New Roman" w:hAnsi="Times New Roman" w:cs="Times New Roman"/>
                <w:color w:val="000000" w:themeColor="text1"/>
                <w:kern w:val="0"/>
                <w:sz w:val="20"/>
                <w:szCs w:val="20"/>
              </w:rPr>
              <w:t>4</w:t>
            </w:r>
          </w:p>
        </w:tc>
      </w:tr>
      <w:tr w:rsidR="006237F3" w:rsidRPr="00AC33BF" w14:paraId="05A63AF7" w14:textId="19C1C792" w:rsidTr="124E84FA">
        <w:trPr>
          <w:trHeight w:val="926"/>
        </w:trPr>
        <w:tc>
          <w:tcPr>
            <w:tcW w:w="1081" w:type="pct"/>
            <w:tcBorders>
              <w:right w:val="nil"/>
            </w:tcBorders>
          </w:tcPr>
          <w:p w14:paraId="78D33E47" w14:textId="0B06A163"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lastRenderedPageBreak/>
              <w:t>Web</w:t>
            </w:r>
          </w:p>
        </w:tc>
        <w:tc>
          <w:tcPr>
            <w:tcW w:w="3231" w:type="pct"/>
            <w:tcBorders>
              <w:left w:val="nil"/>
              <w:right w:val="nil"/>
            </w:tcBorders>
          </w:tcPr>
          <w:p w14:paraId="5B090F8B" w14:textId="6B91ED79"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State the type of e-survey (e.g., one posted on a Web site, or one sent out through e-mail). If it is an e-mail survey, were the responses entered manually into a database, or was there an automatic method for capturing responses?</w:t>
            </w:r>
          </w:p>
        </w:tc>
        <w:tc>
          <w:tcPr>
            <w:tcW w:w="688" w:type="pct"/>
            <w:gridSpan w:val="2"/>
            <w:tcBorders>
              <w:left w:val="nil"/>
            </w:tcBorders>
            <w:vAlign w:val="center"/>
          </w:tcPr>
          <w:p w14:paraId="3A11F180" w14:textId="5BD90503"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4CCB7729" w14:textId="5D6A7D96" w:rsidTr="124E84FA">
        <w:trPr>
          <w:trHeight w:val="291"/>
        </w:trPr>
        <w:tc>
          <w:tcPr>
            <w:tcW w:w="1081" w:type="pct"/>
            <w:tcBorders>
              <w:right w:val="nil"/>
            </w:tcBorders>
          </w:tcPr>
          <w:p w14:paraId="4FB55BA0" w14:textId="74FEB4B0"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Context</w:t>
            </w:r>
          </w:p>
        </w:tc>
        <w:tc>
          <w:tcPr>
            <w:tcW w:w="3231" w:type="pct"/>
            <w:tcBorders>
              <w:left w:val="nil"/>
              <w:right w:val="nil"/>
            </w:tcBorders>
          </w:tcPr>
          <w:p w14:paraId="7B88DE77" w14:textId="1B3419B9"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Describe the Web site (for mailing list/newsgroup) in which</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the survey was posted. What is the Web site about, who is</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visiting it, what are visitors normally looking for? Discuss to</w:t>
            </w:r>
            <w:r w:rsidR="001261E2">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what degree the content of the Web site could pre-select the</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sample or influence the results. For example, a survey about</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vaccination on an anti-immunization Web site will have</w:t>
            </w:r>
            <w:r w:rsidR="001261E2">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different results from a Web survey conducted on a</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government Web site</w:t>
            </w:r>
            <w:r w:rsidR="007B1D42" w:rsidRPr="00AC33BF">
              <w:rPr>
                <w:rFonts w:ascii="Times New Roman" w:eastAsia="Times New Roman" w:hAnsi="Times New Roman" w:cs="Times New Roman"/>
                <w:color w:val="000000" w:themeColor="text1"/>
                <w:kern w:val="0"/>
                <w:sz w:val="20"/>
                <w:szCs w:val="20"/>
              </w:rPr>
              <w:t>.</w:t>
            </w:r>
          </w:p>
        </w:tc>
        <w:tc>
          <w:tcPr>
            <w:tcW w:w="688" w:type="pct"/>
            <w:gridSpan w:val="2"/>
            <w:tcBorders>
              <w:left w:val="nil"/>
            </w:tcBorders>
            <w:vAlign w:val="center"/>
          </w:tcPr>
          <w:p w14:paraId="5960C546" w14:textId="2FA23083"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3D2D8631" w14:textId="707CE9D7" w:rsidTr="124E84FA">
        <w:trPr>
          <w:trHeight w:val="291"/>
        </w:trPr>
        <w:tc>
          <w:tcPr>
            <w:tcW w:w="1081" w:type="pct"/>
            <w:tcBorders>
              <w:right w:val="nil"/>
            </w:tcBorders>
          </w:tcPr>
          <w:p w14:paraId="5A0FD91A" w14:textId="72DD322B"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Voluntary</w:t>
            </w:r>
          </w:p>
        </w:tc>
        <w:tc>
          <w:tcPr>
            <w:tcW w:w="3231" w:type="pct"/>
            <w:tcBorders>
              <w:left w:val="nil"/>
              <w:right w:val="nil"/>
            </w:tcBorders>
          </w:tcPr>
          <w:p w14:paraId="2D089449" w14:textId="68374411"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Was it a mandatory survey to be filled in by every visitor who</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wanted to enter the Web site, or was it a voluntary survey?</w:t>
            </w:r>
          </w:p>
        </w:tc>
        <w:tc>
          <w:tcPr>
            <w:tcW w:w="688" w:type="pct"/>
            <w:gridSpan w:val="2"/>
            <w:tcBorders>
              <w:left w:val="nil"/>
            </w:tcBorders>
            <w:vAlign w:val="center"/>
          </w:tcPr>
          <w:p w14:paraId="0323CE07" w14:textId="2E4D0363"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2E8DB652" w14:textId="0FA38BD5" w:rsidTr="124E84FA">
        <w:trPr>
          <w:trHeight w:val="291"/>
        </w:trPr>
        <w:tc>
          <w:tcPr>
            <w:tcW w:w="1081" w:type="pct"/>
            <w:tcBorders>
              <w:right w:val="nil"/>
            </w:tcBorders>
          </w:tcPr>
          <w:p w14:paraId="38BF4FFA" w14:textId="267253BD"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Incentives</w:t>
            </w:r>
          </w:p>
        </w:tc>
        <w:tc>
          <w:tcPr>
            <w:tcW w:w="3231" w:type="pct"/>
            <w:tcBorders>
              <w:left w:val="nil"/>
              <w:bottom w:val="single" w:sz="4" w:space="0" w:color="auto"/>
              <w:right w:val="nil"/>
            </w:tcBorders>
          </w:tcPr>
          <w:p w14:paraId="1E6BF474" w14:textId="36FB1001"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Were any incentives offered (e.g., monetary, prizes, or nonmonetary</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incentives such as an offer to provide the survey</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results)?</w:t>
            </w:r>
          </w:p>
        </w:tc>
        <w:tc>
          <w:tcPr>
            <w:tcW w:w="688" w:type="pct"/>
            <w:gridSpan w:val="2"/>
            <w:tcBorders>
              <w:left w:val="nil"/>
              <w:bottom w:val="single" w:sz="4" w:space="0" w:color="auto"/>
            </w:tcBorders>
            <w:vAlign w:val="center"/>
          </w:tcPr>
          <w:p w14:paraId="10382115" w14:textId="48B11D54" w:rsidR="006371F4" w:rsidRPr="00AC33BF" w:rsidRDefault="00FE30FC"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1E2670C1" w14:textId="5459DDAC" w:rsidTr="124E84FA">
        <w:trPr>
          <w:trHeight w:val="291"/>
        </w:trPr>
        <w:tc>
          <w:tcPr>
            <w:tcW w:w="1081" w:type="pct"/>
            <w:tcBorders>
              <w:right w:val="nil"/>
            </w:tcBorders>
          </w:tcPr>
          <w:p w14:paraId="60B15465" w14:textId="7B0B4628"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Time/Date</w:t>
            </w:r>
          </w:p>
        </w:tc>
        <w:tc>
          <w:tcPr>
            <w:tcW w:w="3231" w:type="pct"/>
            <w:tcBorders>
              <w:left w:val="nil"/>
              <w:right w:val="nil"/>
            </w:tcBorders>
          </w:tcPr>
          <w:p w14:paraId="0DFF81E2" w14:textId="519D5053"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In what timeframe were the data collected?</w:t>
            </w:r>
          </w:p>
        </w:tc>
        <w:tc>
          <w:tcPr>
            <w:tcW w:w="688" w:type="pct"/>
            <w:gridSpan w:val="2"/>
            <w:tcBorders>
              <w:left w:val="nil"/>
            </w:tcBorders>
            <w:vAlign w:val="center"/>
          </w:tcPr>
          <w:p w14:paraId="1699EE6C" w14:textId="7C2BE50E" w:rsidR="006371F4" w:rsidRPr="00AC33BF" w:rsidRDefault="002D3241" w:rsidP="124E84FA">
            <w:pPr>
              <w:spacing w:line="480" w:lineRule="auto"/>
              <w:jc w:val="center"/>
              <w:rPr>
                <w:rFonts w:ascii="Times New Roman" w:eastAsia="Times New Roman" w:hAnsi="Times New Roman" w:cs="Times New Roman"/>
                <w:color w:val="000000" w:themeColor="text1"/>
                <w:kern w:val="0"/>
                <w:sz w:val="20"/>
                <w:szCs w:val="20"/>
              </w:rPr>
            </w:pPr>
            <w:r>
              <w:rPr>
                <w:rFonts w:ascii="Times New Roman" w:eastAsia="Times New Roman" w:hAnsi="Times New Roman" w:cs="Times New Roman"/>
                <w:color w:val="000000" w:themeColor="text1"/>
                <w:kern w:val="0"/>
                <w:sz w:val="20"/>
                <w:szCs w:val="20"/>
              </w:rPr>
              <w:t>4</w:t>
            </w:r>
          </w:p>
        </w:tc>
      </w:tr>
      <w:tr w:rsidR="006237F3" w:rsidRPr="00AC33BF" w14:paraId="2E006243" w14:textId="2A5C5E08" w:rsidTr="124E84FA">
        <w:trPr>
          <w:trHeight w:val="291"/>
        </w:trPr>
        <w:tc>
          <w:tcPr>
            <w:tcW w:w="1081" w:type="pct"/>
            <w:tcBorders>
              <w:right w:val="nil"/>
            </w:tcBorders>
          </w:tcPr>
          <w:p w14:paraId="7052984E" w14:textId="5415B726"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 xml:space="preserve">Randomisation of items </w:t>
            </w:r>
          </w:p>
        </w:tc>
        <w:tc>
          <w:tcPr>
            <w:tcW w:w="3231" w:type="pct"/>
            <w:tcBorders>
              <w:left w:val="nil"/>
              <w:right w:val="nil"/>
            </w:tcBorders>
          </w:tcPr>
          <w:p w14:paraId="2BA9D941" w14:textId="4E7B60BB"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To prevent biases items can be randomized or alternated.</w:t>
            </w:r>
          </w:p>
        </w:tc>
        <w:tc>
          <w:tcPr>
            <w:tcW w:w="688" w:type="pct"/>
            <w:gridSpan w:val="2"/>
            <w:tcBorders>
              <w:left w:val="nil"/>
            </w:tcBorders>
            <w:vAlign w:val="center"/>
          </w:tcPr>
          <w:p w14:paraId="3490269C" w14:textId="0D868762" w:rsidR="006371F4" w:rsidRPr="00AC33BF" w:rsidRDefault="00BE46E8" w:rsidP="124E84FA">
            <w:pPr>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N/A</w:t>
            </w:r>
          </w:p>
        </w:tc>
      </w:tr>
      <w:tr w:rsidR="006237F3" w:rsidRPr="00AC33BF" w14:paraId="2F1D0175" w14:textId="1925F003" w:rsidTr="124E84FA">
        <w:trPr>
          <w:trHeight w:val="291"/>
        </w:trPr>
        <w:tc>
          <w:tcPr>
            <w:tcW w:w="1081" w:type="pct"/>
            <w:tcBorders>
              <w:right w:val="nil"/>
            </w:tcBorders>
          </w:tcPr>
          <w:p w14:paraId="77EA011E" w14:textId="68BEB71A"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Adaptive questioning</w:t>
            </w:r>
          </w:p>
        </w:tc>
        <w:tc>
          <w:tcPr>
            <w:tcW w:w="3231" w:type="pct"/>
            <w:tcBorders>
              <w:left w:val="nil"/>
              <w:right w:val="nil"/>
            </w:tcBorders>
          </w:tcPr>
          <w:p w14:paraId="6739CA91" w14:textId="53ACCA83"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Use adaptive questioning (certain items, or only conditionally</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displayed based on responses to other items) to reduce number</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and complexity of the questions.</w:t>
            </w:r>
          </w:p>
        </w:tc>
        <w:tc>
          <w:tcPr>
            <w:tcW w:w="688" w:type="pct"/>
            <w:gridSpan w:val="2"/>
            <w:tcBorders>
              <w:left w:val="nil"/>
            </w:tcBorders>
            <w:vAlign w:val="center"/>
          </w:tcPr>
          <w:p w14:paraId="5F75658D" w14:textId="64192053" w:rsidR="006371F4" w:rsidRPr="00AC33BF" w:rsidRDefault="00BE46E8"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N/A</w:t>
            </w:r>
          </w:p>
        </w:tc>
      </w:tr>
      <w:tr w:rsidR="006237F3" w:rsidRPr="00AC33BF" w14:paraId="06E96EAD" w14:textId="35C5B07C" w:rsidTr="124E84FA">
        <w:trPr>
          <w:trHeight w:val="291"/>
        </w:trPr>
        <w:tc>
          <w:tcPr>
            <w:tcW w:w="1081" w:type="pct"/>
            <w:tcBorders>
              <w:right w:val="nil"/>
            </w:tcBorders>
          </w:tcPr>
          <w:p w14:paraId="58773A29" w14:textId="2963CE3B"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Number of items</w:t>
            </w:r>
          </w:p>
        </w:tc>
        <w:tc>
          <w:tcPr>
            <w:tcW w:w="3231" w:type="pct"/>
            <w:tcBorders>
              <w:left w:val="nil"/>
              <w:right w:val="nil"/>
            </w:tcBorders>
          </w:tcPr>
          <w:p w14:paraId="70FF22DD" w14:textId="32120E00"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What was the number of questionnaire items per page? The</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number of items is a</w:t>
            </w:r>
            <w:r w:rsidR="00FE30FC">
              <w:rPr>
                <w:rFonts w:ascii="Times New Roman" w:eastAsia="Times New Roman" w:hAnsi="Times New Roman" w:cs="Times New Roman"/>
                <w:color w:val="000000" w:themeColor="text1"/>
                <w:kern w:val="0"/>
                <w:sz w:val="20"/>
                <w:szCs w:val="20"/>
              </w:rPr>
              <w:t>n</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 xml:space="preserve"> important factor for the completion rate.</w:t>
            </w:r>
          </w:p>
        </w:tc>
        <w:tc>
          <w:tcPr>
            <w:tcW w:w="688" w:type="pct"/>
            <w:gridSpan w:val="2"/>
            <w:tcBorders>
              <w:left w:val="nil"/>
            </w:tcBorders>
            <w:vAlign w:val="center"/>
          </w:tcPr>
          <w:p w14:paraId="7C104BDA" w14:textId="4DBEF6E2" w:rsidR="006371F4" w:rsidRPr="00AC33BF" w:rsidRDefault="00FE30FC"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2EC1ECAC" w14:textId="183ADCFD" w:rsidTr="124E84FA">
        <w:trPr>
          <w:trHeight w:val="291"/>
        </w:trPr>
        <w:tc>
          <w:tcPr>
            <w:tcW w:w="1081" w:type="pct"/>
            <w:tcBorders>
              <w:right w:val="nil"/>
            </w:tcBorders>
          </w:tcPr>
          <w:p w14:paraId="50D158E6" w14:textId="20089606"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Number of screens</w:t>
            </w:r>
          </w:p>
        </w:tc>
        <w:tc>
          <w:tcPr>
            <w:tcW w:w="3231" w:type="pct"/>
            <w:tcBorders>
              <w:left w:val="nil"/>
              <w:right w:val="nil"/>
            </w:tcBorders>
          </w:tcPr>
          <w:p w14:paraId="0A4C5E14" w14:textId="668018BD"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Over how many pages was the questionnaire distributed? The</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number of items is an important factor for the completion rate.</w:t>
            </w:r>
          </w:p>
        </w:tc>
        <w:tc>
          <w:tcPr>
            <w:tcW w:w="688" w:type="pct"/>
            <w:gridSpan w:val="2"/>
            <w:tcBorders>
              <w:left w:val="nil"/>
            </w:tcBorders>
            <w:vAlign w:val="center"/>
          </w:tcPr>
          <w:p w14:paraId="253C93E1" w14:textId="24AEF96E"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69D0DFEE" w14:textId="2001DA89" w:rsidTr="124E84FA">
        <w:trPr>
          <w:trHeight w:val="291"/>
        </w:trPr>
        <w:tc>
          <w:tcPr>
            <w:tcW w:w="1081" w:type="pct"/>
            <w:tcBorders>
              <w:right w:val="nil"/>
            </w:tcBorders>
          </w:tcPr>
          <w:p w14:paraId="7B22C790" w14:textId="29E7EC6D"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Completeness check</w:t>
            </w:r>
          </w:p>
        </w:tc>
        <w:tc>
          <w:tcPr>
            <w:tcW w:w="3231" w:type="pct"/>
            <w:tcBorders>
              <w:left w:val="nil"/>
              <w:right w:val="nil"/>
            </w:tcBorders>
          </w:tcPr>
          <w:p w14:paraId="004ECB10" w14:textId="72BF224B"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It is technically possible to do consistency or completeness</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checks before the questionnaire is submitted. Was this done,</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 xml:space="preserve">and if “yes”, how (usually </w:t>
            </w:r>
            <w:proofErr w:type="spellStart"/>
            <w:r w:rsidRPr="00AC33BF">
              <w:rPr>
                <w:rFonts w:ascii="Times New Roman" w:eastAsia="Times New Roman" w:hAnsi="Times New Roman" w:cs="Times New Roman"/>
                <w:color w:val="000000" w:themeColor="text1"/>
                <w:kern w:val="0"/>
                <w:sz w:val="20"/>
                <w:szCs w:val="20"/>
              </w:rPr>
              <w:t>JAVAScript</w:t>
            </w:r>
            <w:proofErr w:type="spellEnd"/>
            <w:r w:rsidRPr="00AC33BF">
              <w:rPr>
                <w:rFonts w:ascii="Times New Roman" w:eastAsia="Times New Roman" w:hAnsi="Times New Roman" w:cs="Times New Roman"/>
                <w:color w:val="000000" w:themeColor="text1"/>
                <w:kern w:val="0"/>
                <w:sz w:val="20"/>
                <w:szCs w:val="20"/>
              </w:rPr>
              <w:t>)? An alternative is to</w:t>
            </w:r>
            <w:r w:rsidR="001261E2">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check for completeness after the questionnaire has been</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submitted (and highlight mandatory items). If this has been</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done, it should be reported. All items should provide a nonresponse</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option such as “not applicable” or “rather not say”,</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and selection of one response option should be enforced.</w:t>
            </w:r>
          </w:p>
        </w:tc>
        <w:tc>
          <w:tcPr>
            <w:tcW w:w="688" w:type="pct"/>
            <w:gridSpan w:val="2"/>
            <w:tcBorders>
              <w:left w:val="nil"/>
            </w:tcBorders>
            <w:vAlign w:val="center"/>
          </w:tcPr>
          <w:p w14:paraId="02296B4D" w14:textId="67A3B6CB"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1E976CAC" w14:textId="0A061EED" w:rsidTr="124E84FA">
        <w:trPr>
          <w:trHeight w:val="291"/>
        </w:trPr>
        <w:tc>
          <w:tcPr>
            <w:tcW w:w="1081" w:type="pct"/>
            <w:tcBorders>
              <w:right w:val="nil"/>
            </w:tcBorders>
          </w:tcPr>
          <w:p w14:paraId="15DCD108" w14:textId="022C0DDE"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lastRenderedPageBreak/>
              <w:t>Review step</w:t>
            </w:r>
          </w:p>
        </w:tc>
        <w:tc>
          <w:tcPr>
            <w:tcW w:w="3231" w:type="pct"/>
            <w:tcBorders>
              <w:left w:val="nil"/>
              <w:bottom w:val="single" w:sz="4" w:space="0" w:color="auto"/>
              <w:right w:val="nil"/>
            </w:tcBorders>
          </w:tcPr>
          <w:p w14:paraId="534BD0D5" w14:textId="1E6AE56C" w:rsidR="006371F4" w:rsidRPr="00AC33BF" w:rsidRDefault="006371F4" w:rsidP="001261E2">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State whether respondents were able to review and change</w:t>
            </w:r>
            <w:r w:rsidR="007B1D42" w:rsidRPr="00AC33BF">
              <w:rPr>
                <w:rFonts w:ascii="Times New Roman" w:eastAsia="Times New Roman" w:hAnsi="Times New Roman" w:cs="Times New Roman"/>
                <w:color w:val="000000" w:themeColor="text1"/>
                <w:kern w:val="0"/>
                <w:sz w:val="20"/>
                <w:szCs w:val="20"/>
              </w:rPr>
              <w:t xml:space="preserve"> t</w:t>
            </w:r>
            <w:r w:rsidRPr="00AC33BF">
              <w:rPr>
                <w:rFonts w:ascii="Times New Roman" w:eastAsia="Times New Roman" w:hAnsi="Times New Roman" w:cs="Times New Roman"/>
                <w:color w:val="000000" w:themeColor="text1"/>
                <w:kern w:val="0"/>
                <w:sz w:val="20"/>
                <w:szCs w:val="20"/>
              </w:rPr>
              <w:t>heir answers (e.g., through a Back button or a Review step which displays a summary of the responses and asks the</w:t>
            </w:r>
            <w:r w:rsidR="001261E2">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respondents if they are correct).</w:t>
            </w:r>
          </w:p>
        </w:tc>
        <w:tc>
          <w:tcPr>
            <w:tcW w:w="688" w:type="pct"/>
            <w:gridSpan w:val="2"/>
            <w:tcBorders>
              <w:left w:val="nil"/>
              <w:bottom w:val="single" w:sz="4" w:space="0" w:color="auto"/>
            </w:tcBorders>
            <w:vAlign w:val="center"/>
          </w:tcPr>
          <w:p w14:paraId="27DD1530" w14:textId="27BB66EB"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 xml:space="preserve">Appendix 1 </w:t>
            </w:r>
          </w:p>
        </w:tc>
      </w:tr>
      <w:tr w:rsidR="006237F3" w:rsidRPr="00AC33BF" w14:paraId="5C53C101" w14:textId="6782878D" w:rsidTr="124E84FA">
        <w:trPr>
          <w:trHeight w:val="291"/>
        </w:trPr>
        <w:tc>
          <w:tcPr>
            <w:tcW w:w="1081" w:type="pct"/>
            <w:tcBorders>
              <w:right w:val="nil"/>
            </w:tcBorders>
          </w:tcPr>
          <w:p w14:paraId="5AAF3871" w14:textId="77777777"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Unique site visitor</w:t>
            </w:r>
          </w:p>
          <w:p w14:paraId="1C3F458D" w14:textId="4C9CAE06" w:rsidR="006371F4" w:rsidRPr="00AC33BF" w:rsidRDefault="006371F4" w:rsidP="124E84FA">
            <w:pPr>
              <w:spacing w:line="480" w:lineRule="auto"/>
              <w:rPr>
                <w:rFonts w:ascii="Times New Roman" w:eastAsia="Times New Roman" w:hAnsi="Times New Roman" w:cs="Times New Roman"/>
                <w:color w:val="000000" w:themeColor="text1"/>
                <w:sz w:val="20"/>
                <w:szCs w:val="20"/>
              </w:rPr>
            </w:pPr>
          </w:p>
        </w:tc>
        <w:tc>
          <w:tcPr>
            <w:tcW w:w="3231" w:type="pct"/>
            <w:tcBorders>
              <w:left w:val="nil"/>
              <w:right w:val="nil"/>
            </w:tcBorders>
          </w:tcPr>
          <w:p w14:paraId="425BF1B0" w14:textId="6997F79A" w:rsidR="006371F4" w:rsidRPr="00AC33BF" w:rsidRDefault="006371F4" w:rsidP="001261E2">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If you provide view rates or participation rates, you need to</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define how you determined a unique visitor. There are</w:t>
            </w:r>
            <w:r w:rsidR="007B1D42"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different techniques available, based on IP addresses or</w:t>
            </w:r>
            <w:r w:rsidR="001261E2">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cookies or both.</w:t>
            </w:r>
          </w:p>
        </w:tc>
        <w:tc>
          <w:tcPr>
            <w:tcW w:w="688" w:type="pct"/>
            <w:gridSpan w:val="2"/>
            <w:tcBorders>
              <w:left w:val="nil"/>
            </w:tcBorders>
            <w:vAlign w:val="center"/>
          </w:tcPr>
          <w:p w14:paraId="159714DD" w14:textId="7A9E58A3"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5BB83FEC" w14:textId="60081BFA" w:rsidTr="124E84FA">
        <w:trPr>
          <w:trHeight w:val="291"/>
        </w:trPr>
        <w:tc>
          <w:tcPr>
            <w:tcW w:w="1081" w:type="pct"/>
            <w:tcBorders>
              <w:right w:val="nil"/>
            </w:tcBorders>
          </w:tcPr>
          <w:p w14:paraId="20CD1B0F" w14:textId="77777777"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View rate</w:t>
            </w:r>
          </w:p>
          <w:p w14:paraId="2B1EAD14" w14:textId="4B3FAAE4" w:rsidR="006371F4" w:rsidRPr="00AC33BF" w:rsidRDefault="006371F4" w:rsidP="124E84FA">
            <w:pPr>
              <w:spacing w:line="480" w:lineRule="auto"/>
              <w:rPr>
                <w:rFonts w:ascii="Times New Roman" w:eastAsia="Times New Roman" w:hAnsi="Times New Roman" w:cs="Times New Roman"/>
                <w:color w:val="000000" w:themeColor="text1"/>
                <w:sz w:val="20"/>
                <w:szCs w:val="20"/>
              </w:rPr>
            </w:pPr>
          </w:p>
        </w:tc>
        <w:tc>
          <w:tcPr>
            <w:tcW w:w="3231" w:type="pct"/>
            <w:tcBorders>
              <w:left w:val="nil"/>
              <w:right w:val="nil"/>
            </w:tcBorders>
          </w:tcPr>
          <w:p w14:paraId="52E2A3F1" w14:textId="4655197D" w:rsidR="006371F4" w:rsidRPr="00AC33BF" w:rsidRDefault="007B1D42"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Counting the unique visitors to the first page of the survey and divided by the number of unique site visitors.</w:t>
            </w:r>
          </w:p>
        </w:tc>
        <w:tc>
          <w:tcPr>
            <w:tcW w:w="688" w:type="pct"/>
            <w:gridSpan w:val="2"/>
            <w:tcBorders>
              <w:left w:val="nil"/>
            </w:tcBorders>
            <w:vAlign w:val="center"/>
          </w:tcPr>
          <w:p w14:paraId="322640C7" w14:textId="75A39898" w:rsidR="006371F4" w:rsidRPr="00AC33BF" w:rsidRDefault="002D3241" w:rsidP="124E84FA">
            <w:pPr>
              <w:spacing w:line="48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8</w:t>
            </w:r>
          </w:p>
        </w:tc>
      </w:tr>
      <w:tr w:rsidR="006237F3" w:rsidRPr="00AC33BF" w14:paraId="5726189F" w14:textId="008FEEE9" w:rsidTr="124E84FA">
        <w:trPr>
          <w:trHeight w:val="291"/>
        </w:trPr>
        <w:tc>
          <w:tcPr>
            <w:tcW w:w="1081" w:type="pct"/>
            <w:tcBorders>
              <w:right w:val="nil"/>
            </w:tcBorders>
          </w:tcPr>
          <w:p w14:paraId="07962785" w14:textId="77777777" w:rsidR="006371F4" w:rsidRPr="00AC33BF" w:rsidRDefault="006371F4"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Participation rate</w:t>
            </w:r>
          </w:p>
          <w:p w14:paraId="5A27FCD0" w14:textId="15E45D49"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sz w:val="20"/>
                <w:szCs w:val="20"/>
              </w:rPr>
            </w:pPr>
          </w:p>
        </w:tc>
        <w:tc>
          <w:tcPr>
            <w:tcW w:w="3231" w:type="pct"/>
            <w:tcBorders>
              <w:left w:val="nil"/>
              <w:right w:val="nil"/>
            </w:tcBorders>
          </w:tcPr>
          <w:p w14:paraId="4B1A9DD7" w14:textId="38EA3980"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Count the unique number of people who filled in the first survey page (or agreed to participate, for example by checking a checkbox), divided by visitors who visit the first page of the survey (or the informed consents page, if present). This can also be called</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“recruitment” rate.</w:t>
            </w:r>
          </w:p>
        </w:tc>
        <w:tc>
          <w:tcPr>
            <w:tcW w:w="688" w:type="pct"/>
            <w:gridSpan w:val="2"/>
            <w:tcBorders>
              <w:left w:val="nil"/>
            </w:tcBorders>
            <w:vAlign w:val="center"/>
          </w:tcPr>
          <w:p w14:paraId="2CCD013D" w14:textId="2021F66F" w:rsidR="006371F4" w:rsidRPr="00AC33BF" w:rsidRDefault="002D3241" w:rsidP="124E84FA">
            <w:pPr>
              <w:spacing w:line="480" w:lineRule="auto"/>
              <w:jc w:val="center"/>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8</w:t>
            </w:r>
          </w:p>
        </w:tc>
      </w:tr>
      <w:tr w:rsidR="006237F3" w:rsidRPr="00AC33BF" w14:paraId="724AE15A" w14:textId="4FB55B86" w:rsidTr="124E84FA">
        <w:trPr>
          <w:trHeight w:val="291"/>
        </w:trPr>
        <w:tc>
          <w:tcPr>
            <w:tcW w:w="1081" w:type="pct"/>
            <w:tcBorders>
              <w:right w:val="nil"/>
            </w:tcBorders>
          </w:tcPr>
          <w:p w14:paraId="0C85779B" w14:textId="36683882" w:rsidR="006371F4" w:rsidRPr="00AC33BF" w:rsidRDefault="00BE46E8" w:rsidP="124E84FA">
            <w:pPr>
              <w:spacing w:line="480" w:lineRule="auto"/>
              <w:rPr>
                <w:rFonts w:ascii="Times New Roman" w:eastAsia="Times New Roman" w:hAnsi="Times New Roman" w:cs="Times New Roman"/>
                <w:color w:val="000000" w:themeColor="text1"/>
                <w:sz w:val="20"/>
                <w:szCs w:val="20"/>
              </w:rPr>
            </w:pPr>
            <w:r w:rsidRPr="00AC33BF">
              <w:rPr>
                <w:rFonts w:ascii="Times New Roman" w:eastAsia="Times New Roman" w:hAnsi="Times New Roman" w:cs="Times New Roman"/>
                <w:color w:val="000000" w:themeColor="text1"/>
                <w:sz w:val="20"/>
                <w:szCs w:val="20"/>
              </w:rPr>
              <w:t>Completion rate</w:t>
            </w:r>
          </w:p>
        </w:tc>
        <w:tc>
          <w:tcPr>
            <w:tcW w:w="3231" w:type="pct"/>
            <w:tcBorders>
              <w:left w:val="nil"/>
              <w:right w:val="nil"/>
            </w:tcBorders>
          </w:tcPr>
          <w:p w14:paraId="774A23C3" w14:textId="2073BA72"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 xml:space="preserve">The number of people submitting the last questionnaire page, divided by the number of people who agreed to participate (or submitted the first survey page). </w:t>
            </w:r>
          </w:p>
        </w:tc>
        <w:tc>
          <w:tcPr>
            <w:tcW w:w="688" w:type="pct"/>
            <w:gridSpan w:val="2"/>
            <w:tcBorders>
              <w:left w:val="nil"/>
            </w:tcBorders>
            <w:vAlign w:val="center"/>
          </w:tcPr>
          <w:p w14:paraId="7B850B44" w14:textId="51F7B380" w:rsidR="006371F4" w:rsidRPr="00AC33BF" w:rsidRDefault="002D3241" w:rsidP="00AC33BF">
            <w:pPr>
              <w:spacing w:line="480" w:lineRule="auto"/>
              <w:jc w:val="center"/>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8</w:t>
            </w:r>
          </w:p>
        </w:tc>
      </w:tr>
      <w:tr w:rsidR="006237F3" w:rsidRPr="00AC33BF" w14:paraId="08F757F4" w14:textId="3A0E214C" w:rsidTr="124E84FA">
        <w:trPr>
          <w:trHeight w:val="1550"/>
        </w:trPr>
        <w:tc>
          <w:tcPr>
            <w:tcW w:w="1081" w:type="pct"/>
            <w:tcBorders>
              <w:right w:val="nil"/>
            </w:tcBorders>
          </w:tcPr>
          <w:p w14:paraId="4FCDCE81" w14:textId="263B98FD"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Cookies used</w:t>
            </w:r>
          </w:p>
        </w:tc>
        <w:tc>
          <w:tcPr>
            <w:tcW w:w="3231" w:type="pct"/>
            <w:tcBorders>
              <w:left w:val="nil"/>
              <w:bottom w:val="single" w:sz="4" w:space="0" w:color="auto"/>
              <w:right w:val="nil"/>
            </w:tcBorders>
          </w:tcPr>
          <w:p w14:paraId="257808D3" w14:textId="60FAFEB1" w:rsidR="00B11489"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Indicate whether cookies were used to assign a unique user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identifier to each client computer. If so, mention the page on</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which the cookie was set and read, and how long the cookie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was valid. Were duplicate entries avoided by preventing users’</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access to the survey twice; or were duplicate database entries</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having the same user ID eliminated before analysis? In the</w:t>
            </w:r>
            <w:r w:rsidR="00B11489" w:rsidRPr="00AC33BF">
              <w:rPr>
                <w:rFonts w:ascii="Times New Roman" w:eastAsia="Times New Roman" w:hAnsi="Times New Roman" w:cs="Times New Roman"/>
                <w:color w:val="000000" w:themeColor="text1"/>
                <w:kern w:val="0"/>
                <w:sz w:val="20"/>
                <w:szCs w:val="20"/>
              </w:rPr>
              <w:t xml:space="preserve"> l</w:t>
            </w:r>
            <w:r w:rsidRPr="00AC33BF">
              <w:rPr>
                <w:rFonts w:ascii="Times New Roman" w:eastAsia="Times New Roman" w:hAnsi="Times New Roman" w:cs="Times New Roman"/>
                <w:color w:val="000000" w:themeColor="text1"/>
                <w:kern w:val="0"/>
                <w:sz w:val="20"/>
                <w:szCs w:val="20"/>
              </w:rPr>
              <w:t>atter case, which entries were kept for analysis (e.g., the first</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entry or the most recent)?</w:t>
            </w:r>
          </w:p>
        </w:tc>
        <w:tc>
          <w:tcPr>
            <w:tcW w:w="688" w:type="pct"/>
            <w:gridSpan w:val="2"/>
            <w:tcBorders>
              <w:left w:val="nil"/>
              <w:bottom w:val="single" w:sz="4" w:space="0" w:color="auto"/>
            </w:tcBorders>
            <w:vAlign w:val="center"/>
          </w:tcPr>
          <w:p w14:paraId="4B20222C" w14:textId="412F5292"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6D06F881" w14:textId="2ACBC95A" w:rsidTr="124E84FA">
        <w:trPr>
          <w:trHeight w:val="291"/>
        </w:trPr>
        <w:tc>
          <w:tcPr>
            <w:tcW w:w="1081" w:type="pct"/>
            <w:tcBorders>
              <w:right w:val="nil"/>
            </w:tcBorders>
          </w:tcPr>
          <w:p w14:paraId="2B570652" w14:textId="0F73391C"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IP Check</w:t>
            </w:r>
          </w:p>
        </w:tc>
        <w:tc>
          <w:tcPr>
            <w:tcW w:w="3231" w:type="pct"/>
            <w:tcBorders>
              <w:left w:val="nil"/>
              <w:right w:val="nil"/>
            </w:tcBorders>
          </w:tcPr>
          <w:p w14:paraId="449A42F1" w14:textId="7E53F230"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Indicate whether the IP address of the client computer was</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used to identify potential duplicate entries from the same user.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 xml:space="preserve">If so, mention the </w:t>
            </w:r>
            <w:proofErr w:type="gramStart"/>
            <w:r w:rsidRPr="00AC33BF">
              <w:rPr>
                <w:rFonts w:ascii="Times New Roman" w:eastAsia="Times New Roman" w:hAnsi="Times New Roman" w:cs="Times New Roman"/>
                <w:color w:val="000000" w:themeColor="text1"/>
                <w:kern w:val="0"/>
                <w:sz w:val="20"/>
                <w:szCs w:val="20"/>
              </w:rPr>
              <w:t>period of time</w:t>
            </w:r>
            <w:proofErr w:type="gramEnd"/>
            <w:r w:rsidRPr="00AC33BF">
              <w:rPr>
                <w:rFonts w:ascii="Times New Roman" w:eastAsia="Times New Roman" w:hAnsi="Times New Roman" w:cs="Times New Roman"/>
                <w:color w:val="000000" w:themeColor="text1"/>
                <w:kern w:val="0"/>
                <w:sz w:val="20"/>
                <w:szCs w:val="20"/>
              </w:rPr>
              <w:t xml:space="preserve"> for which no two entries from</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the same IP address were allowed (e.g., 24 hours). Were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duplicate entries avoided by preventing users with the same IP</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address access to the survey twice; or were duplicate database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 xml:space="preserve">entries having the same IP address within a given </w:t>
            </w:r>
            <w:proofErr w:type="gramStart"/>
            <w:r w:rsidRPr="00AC33BF">
              <w:rPr>
                <w:rFonts w:ascii="Times New Roman" w:eastAsia="Times New Roman" w:hAnsi="Times New Roman" w:cs="Times New Roman"/>
                <w:color w:val="000000" w:themeColor="text1"/>
                <w:kern w:val="0"/>
                <w:sz w:val="20"/>
                <w:szCs w:val="20"/>
              </w:rPr>
              <w:t>period of</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time</w:t>
            </w:r>
            <w:proofErr w:type="gramEnd"/>
            <w:r w:rsidRPr="00AC33BF">
              <w:rPr>
                <w:rFonts w:ascii="Times New Roman" w:eastAsia="Times New Roman" w:hAnsi="Times New Roman" w:cs="Times New Roman"/>
                <w:color w:val="000000" w:themeColor="text1"/>
                <w:kern w:val="0"/>
                <w:sz w:val="20"/>
                <w:szCs w:val="20"/>
              </w:rPr>
              <w:t xml:space="preserve"> eliminated before analysis? If the latter, which entries</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were kept for analysis (e.g., the first entry or the most recent)?</w:t>
            </w:r>
          </w:p>
        </w:tc>
        <w:tc>
          <w:tcPr>
            <w:tcW w:w="688" w:type="pct"/>
            <w:gridSpan w:val="2"/>
            <w:tcBorders>
              <w:left w:val="nil"/>
            </w:tcBorders>
            <w:vAlign w:val="center"/>
          </w:tcPr>
          <w:p w14:paraId="66F85397" w14:textId="4F7F7CA3"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49374536" w14:textId="5FABB626" w:rsidTr="124E84FA">
        <w:trPr>
          <w:trHeight w:val="291"/>
        </w:trPr>
        <w:tc>
          <w:tcPr>
            <w:tcW w:w="1081" w:type="pct"/>
            <w:tcBorders>
              <w:right w:val="nil"/>
            </w:tcBorders>
          </w:tcPr>
          <w:p w14:paraId="3D4602E6" w14:textId="539C3423"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Log file analysis</w:t>
            </w:r>
          </w:p>
        </w:tc>
        <w:tc>
          <w:tcPr>
            <w:tcW w:w="3231" w:type="pct"/>
            <w:tcBorders>
              <w:left w:val="nil"/>
              <w:right w:val="nil"/>
            </w:tcBorders>
          </w:tcPr>
          <w:p w14:paraId="41EA010E" w14:textId="3F3C4F1C"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Indicate whether other techniques to analyse the log file for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 xml:space="preserve">identification of multiple entries were used. </w:t>
            </w:r>
          </w:p>
        </w:tc>
        <w:tc>
          <w:tcPr>
            <w:tcW w:w="688" w:type="pct"/>
            <w:gridSpan w:val="2"/>
            <w:tcBorders>
              <w:left w:val="nil"/>
            </w:tcBorders>
            <w:vAlign w:val="center"/>
          </w:tcPr>
          <w:p w14:paraId="5977B807" w14:textId="510E4CC5" w:rsidR="006371F4" w:rsidRPr="00AC33BF" w:rsidRDefault="00BE46E8"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N/A</w:t>
            </w:r>
          </w:p>
        </w:tc>
      </w:tr>
      <w:tr w:rsidR="006237F3" w:rsidRPr="00AC33BF" w14:paraId="69CB0E35" w14:textId="60DBD7C8" w:rsidTr="124E84FA">
        <w:trPr>
          <w:trHeight w:val="291"/>
        </w:trPr>
        <w:tc>
          <w:tcPr>
            <w:tcW w:w="1081" w:type="pct"/>
            <w:tcBorders>
              <w:right w:val="nil"/>
            </w:tcBorders>
          </w:tcPr>
          <w:p w14:paraId="12173BFF" w14:textId="03782F99"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lastRenderedPageBreak/>
              <w:t>Registration</w:t>
            </w:r>
          </w:p>
        </w:tc>
        <w:tc>
          <w:tcPr>
            <w:tcW w:w="3231" w:type="pct"/>
            <w:tcBorders>
              <w:left w:val="nil"/>
              <w:right w:val="nil"/>
            </w:tcBorders>
          </w:tcPr>
          <w:p w14:paraId="2065506C" w14:textId="3198BB98"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In “closed” (non-open) surveys, users need to login first and it</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is easier to prevent duplicate entries from the same user.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Describe how this was done. For example, was the survey</w:t>
            </w:r>
            <w:r w:rsidR="001261E2">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never displayed a second time once the user had filled it in, or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was the username stored together with the survey results and later eliminated? If the latter, which entries were kept</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for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analysis (e.g., the first entry or the most recent)?</w:t>
            </w:r>
          </w:p>
        </w:tc>
        <w:tc>
          <w:tcPr>
            <w:tcW w:w="688" w:type="pct"/>
            <w:gridSpan w:val="2"/>
            <w:tcBorders>
              <w:left w:val="nil"/>
            </w:tcBorders>
            <w:vAlign w:val="center"/>
          </w:tcPr>
          <w:p w14:paraId="6CF1FB6E" w14:textId="6C739472" w:rsidR="006371F4" w:rsidRPr="00AC33BF" w:rsidRDefault="00BE46E8"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N/A</w:t>
            </w:r>
          </w:p>
        </w:tc>
      </w:tr>
      <w:tr w:rsidR="006237F3" w:rsidRPr="00AC33BF" w14:paraId="0B78F99E" w14:textId="1A479AC2" w:rsidTr="124E84FA">
        <w:trPr>
          <w:trHeight w:val="291"/>
        </w:trPr>
        <w:tc>
          <w:tcPr>
            <w:tcW w:w="1081" w:type="pct"/>
            <w:tcBorders>
              <w:right w:val="nil"/>
            </w:tcBorders>
          </w:tcPr>
          <w:p w14:paraId="78D1C7B1" w14:textId="3BB68540"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Handling of incomplete surveys</w:t>
            </w:r>
          </w:p>
        </w:tc>
        <w:tc>
          <w:tcPr>
            <w:tcW w:w="3231" w:type="pct"/>
            <w:tcBorders>
              <w:left w:val="nil"/>
              <w:bottom w:val="single" w:sz="4" w:space="0" w:color="auto"/>
              <w:right w:val="nil"/>
            </w:tcBorders>
          </w:tcPr>
          <w:p w14:paraId="22E6CDFC" w14:textId="1795703C"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Were only completed questionnaires analysed? Were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questionnaires which terminated early (where, for example,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users did not go through all questionnaire pages) also</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analysed?</w:t>
            </w:r>
          </w:p>
        </w:tc>
        <w:tc>
          <w:tcPr>
            <w:tcW w:w="688" w:type="pct"/>
            <w:gridSpan w:val="2"/>
            <w:tcBorders>
              <w:left w:val="nil"/>
              <w:bottom w:val="single" w:sz="4" w:space="0" w:color="auto"/>
            </w:tcBorders>
            <w:vAlign w:val="center"/>
          </w:tcPr>
          <w:p w14:paraId="4808B840" w14:textId="68DD4BA2" w:rsidR="006371F4" w:rsidRPr="00AC33BF" w:rsidRDefault="002D3241"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FE30FC">
              <w:rPr>
                <w:rFonts w:ascii="Times New Roman" w:eastAsia="Times New Roman" w:hAnsi="Times New Roman" w:cs="Times New Roman"/>
                <w:b/>
                <w:bCs/>
                <w:color w:val="000000" w:themeColor="text1"/>
                <w:kern w:val="0"/>
                <w:sz w:val="20"/>
                <w:szCs w:val="20"/>
              </w:rPr>
              <w:t>Appendix 1</w:t>
            </w:r>
          </w:p>
        </w:tc>
      </w:tr>
      <w:tr w:rsidR="006237F3" w:rsidRPr="00AC33BF" w14:paraId="1DC42E0F" w14:textId="11915CCC" w:rsidTr="124E84FA">
        <w:trPr>
          <w:trHeight w:val="291"/>
        </w:trPr>
        <w:tc>
          <w:tcPr>
            <w:tcW w:w="1081" w:type="pct"/>
            <w:tcBorders>
              <w:right w:val="nil"/>
            </w:tcBorders>
          </w:tcPr>
          <w:p w14:paraId="278997D2" w14:textId="4B170D65"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Surveys submitted</w:t>
            </w:r>
          </w:p>
          <w:p w14:paraId="29CC0696" w14:textId="649224CF"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with an atypical timestamp</w:t>
            </w:r>
          </w:p>
        </w:tc>
        <w:tc>
          <w:tcPr>
            <w:tcW w:w="3231" w:type="pct"/>
            <w:tcBorders>
              <w:left w:val="nil"/>
              <w:right w:val="nil"/>
            </w:tcBorders>
          </w:tcPr>
          <w:p w14:paraId="13256C9B" w14:textId="19CABACF"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Some investigators may measure the time people needed to fill</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in a questionnaire and exclude questionnaires that were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submitted too soon. Specify the timeframe that was used as a</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 xml:space="preserve">cut-off </w:t>
            </w:r>
            <w:proofErr w:type="gramStart"/>
            <w:r w:rsidRPr="00AC33BF">
              <w:rPr>
                <w:rFonts w:ascii="Times New Roman" w:eastAsia="Times New Roman" w:hAnsi="Times New Roman" w:cs="Times New Roman"/>
                <w:color w:val="000000" w:themeColor="text1"/>
                <w:kern w:val="0"/>
                <w:sz w:val="20"/>
                <w:szCs w:val="20"/>
              </w:rPr>
              <w:t>point, and</w:t>
            </w:r>
            <w:proofErr w:type="gramEnd"/>
            <w:r w:rsidRPr="00AC33BF">
              <w:rPr>
                <w:rFonts w:ascii="Times New Roman" w:eastAsia="Times New Roman" w:hAnsi="Times New Roman" w:cs="Times New Roman"/>
                <w:color w:val="000000" w:themeColor="text1"/>
                <w:kern w:val="0"/>
                <w:sz w:val="20"/>
                <w:szCs w:val="20"/>
              </w:rPr>
              <w:t xml:space="preserve"> describe how this point was determined.</w:t>
            </w:r>
          </w:p>
        </w:tc>
        <w:tc>
          <w:tcPr>
            <w:tcW w:w="688" w:type="pct"/>
            <w:gridSpan w:val="2"/>
            <w:tcBorders>
              <w:left w:val="nil"/>
            </w:tcBorders>
            <w:vAlign w:val="center"/>
          </w:tcPr>
          <w:p w14:paraId="10A1C705" w14:textId="6AD4D805" w:rsidR="006371F4" w:rsidRPr="00AC33BF" w:rsidRDefault="00BE46E8"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N/A</w:t>
            </w:r>
          </w:p>
        </w:tc>
      </w:tr>
      <w:tr w:rsidR="006237F3" w:rsidRPr="00AC33BF" w14:paraId="1FEA2283" w14:textId="295CB42E" w:rsidTr="124E84FA">
        <w:trPr>
          <w:trHeight w:val="291"/>
        </w:trPr>
        <w:tc>
          <w:tcPr>
            <w:tcW w:w="1081" w:type="pct"/>
            <w:tcBorders>
              <w:right w:val="nil"/>
            </w:tcBorders>
          </w:tcPr>
          <w:p w14:paraId="090925C2" w14:textId="029567D7"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Statistical correction</w:t>
            </w:r>
          </w:p>
        </w:tc>
        <w:tc>
          <w:tcPr>
            <w:tcW w:w="3231" w:type="pct"/>
            <w:tcBorders>
              <w:left w:val="nil"/>
              <w:right w:val="nil"/>
            </w:tcBorders>
          </w:tcPr>
          <w:p w14:paraId="3EFA35AE" w14:textId="3A1E80B4" w:rsidR="006371F4" w:rsidRPr="00AC33BF" w:rsidRDefault="006371F4" w:rsidP="124E84FA">
            <w:pPr>
              <w:autoSpaceDE w:val="0"/>
              <w:autoSpaceDN w:val="0"/>
              <w:adjustRightInd w:val="0"/>
              <w:spacing w:line="480" w:lineRule="auto"/>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Indicate whether any methods such as weighting of items or</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propensity scores have been used to adjust for the nonrepresentative</w:t>
            </w:r>
            <w:r w:rsidR="00B11489" w:rsidRPr="00AC33BF">
              <w:rPr>
                <w:rFonts w:ascii="Times New Roman" w:eastAsia="Times New Roman" w:hAnsi="Times New Roman" w:cs="Times New Roman"/>
                <w:color w:val="000000" w:themeColor="text1"/>
                <w:kern w:val="0"/>
                <w:sz w:val="20"/>
                <w:szCs w:val="20"/>
              </w:rPr>
              <w:t xml:space="preserve"> </w:t>
            </w:r>
            <w:r w:rsidRPr="00AC33BF">
              <w:rPr>
                <w:rFonts w:ascii="Times New Roman" w:eastAsia="Times New Roman" w:hAnsi="Times New Roman" w:cs="Times New Roman"/>
                <w:color w:val="000000" w:themeColor="text1"/>
                <w:kern w:val="0"/>
                <w:sz w:val="20"/>
                <w:szCs w:val="20"/>
              </w:rPr>
              <w:t>sample; if so, please describe the methods.</w:t>
            </w:r>
          </w:p>
        </w:tc>
        <w:tc>
          <w:tcPr>
            <w:tcW w:w="688" w:type="pct"/>
            <w:gridSpan w:val="2"/>
            <w:tcBorders>
              <w:left w:val="nil"/>
            </w:tcBorders>
            <w:vAlign w:val="center"/>
          </w:tcPr>
          <w:p w14:paraId="64790660" w14:textId="6ECFA53F" w:rsidR="006371F4" w:rsidRPr="00AC33BF" w:rsidRDefault="00BE46E8" w:rsidP="124E84FA">
            <w:pPr>
              <w:autoSpaceDE w:val="0"/>
              <w:autoSpaceDN w:val="0"/>
              <w:adjustRightInd w:val="0"/>
              <w:spacing w:line="480" w:lineRule="auto"/>
              <w:jc w:val="center"/>
              <w:rPr>
                <w:rFonts w:ascii="Times New Roman" w:eastAsia="Times New Roman" w:hAnsi="Times New Roman" w:cs="Times New Roman"/>
                <w:color w:val="000000" w:themeColor="text1"/>
                <w:kern w:val="0"/>
                <w:sz w:val="20"/>
                <w:szCs w:val="20"/>
              </w:rPr>
            </w:pPr>
            <w:r w:rsidRPr="00AC33BF">
              <w:rPr>
                <w:rFonts w:ascii="Times New Roman" w:eastAsia="Times New Roman" w:hAnsi="Times New Roman" w:cs="Times New Roman"/>
                <w:color w:val="000000" w:themeColor="text1"/>
                <w:kern w:val="0"/>
                <w:sz w:val="20"/>
                <w:szCs w:val="20"/>
              </w:rPr>
              <w:t>N/A</w:t>
            </w:r>
          </w:p>
        </w:tc>
      </w:tr>
    </w:tbl>
    <w:p w14:paraId="03F544E5" w14:textId="77777777" w:rsidR="00A61472" w:rsidRPr="006237F3" w:rsidRDefault="00A61472" w:rsidP="124E84FA">
      <w:pPr>
        <w:spacing w:line="480" w:lineRule="auto"/>
        <w:rPr>
          <w:rFonts w:ascii="Times New Roman" w:eastAsia="Times New Roman" w:hAnsi="Times New Roman" w:cs="Times New Roman"/>
          <w:color w:val="000000" w:themeColor="text1"/>
        </w:rPr>
      </w:pPr>
    </w:p>
    <w:p w14:paraId="058070FB" w14:textId="728B7638" w:rsidR="00AC33BF" w:rsidRDefault="00C14E8D" w:rsidP="124E84FA">
      <w:pPr>
        <w:spacing w:line="480" w:lineRule="auto"/>
        <w:rPr>
          <w:rFonts w:ascii="Times New Roman" w:eastAsia="Times New Roman" w:hAnsi="Times New Roman" w:cs="Times New Roman"/>
          <w:color w:val="000000" w:themeColor="text1"/>
        </w:rPr>
      </w:pPr>
      <w:r w:rsidRPr="124E84FA">
        <w:rPr>
          <w:rFonts w:ascii="Times New Roman" w:eastAsia="Times New Roman" w:hAnsi="Times New Roman" w:cs="Times New Roman"/>
          <w:color w:val="000000" w:themeColor="text1"/>
        </w:rPr>
        <w:t>This checklist was adopted from</w:t>
      </w:r>
      <w:r w:rsidR="00AC33BF">
        <w:rPr>
          <w:rFonts w:ascii="Times New Roman" w:eastAsia="Times New Roman" w:hAnsi="Times New Roman" w:cs="Times New Roman"/>
          <w:color w:val="000000" w:themeColor="text1"/>
        </w:rPr>
        <w:t>:</w:t>
      </w:r>
      <w:r w:rsidR="00045492">
        <w:rPr>
          <w:rFonts w:ascii="Times New Roman" w:eastAsia="Times New Roman" w:hAnsi="Times New Roman" w:cs="Times New Roman"/>
          <w:color w:val="000000" w:themeColor="text1"/>
        </w:rPr>
        <w:t xml:space="preserve"> </w:t>
      </w:r>
      <w:sdt>
        <w:sdtPr>
          <w:rPr>
            <w:rFonts w:ascii="Times New Roman" w:eastAsia="Times New Roman" w:hAnsi="Times New Roman" w:cs="Times New Roman"/>
            <w:color w:val="000000" w:themeColor="text1"/>
          </w:rPr>
          <w:tag w:val="MENDELEY_CITATION_v3_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"/>
          <w:id w:val="-820731211"/>
          <w:placeholder>
            <w:docPart w:val="33EB8BC6762D1E4BAE3F5DEA5B1F7791"/>
          </w:placeholder>
        </w:sdtPr>
        <w:sdtContent>
          <w:proofErr w:type="spellStart"/>
          <w:r w:rsidR="00045492" w:rsidRPr="124E84FA">
            <w:rPr>
              <w:rFonts w:ascii="Times New Roman" w:eastAsia="Times New Roman" w:hAnsi="Times New Roman" w:cs="Times New Roman"/>
              <w:color w:val="000000" w:themeColor="text1"/>
            </w:rPr>
            <w:t>Eysenbach</w:t>
          </w:r>
          <w:proofErr w:type="spellEnd"/>
          <w:r w:rsidR="00045492" w:rsidRPr="124E84FA">
            <w:rPr>
              <w:rFonts w:ascii="Times New Roman" w:eastAsia="Times New Roman" w:hAnsi="Times New Roman" w:cs="Times New Roman"/>
              <w:color w:val="000000" w:themeColor="text1"/>
            </w:rPr>
            <w:t xml:space="preserve"> G. Improving the quality of web surveys: The Checklist for Reporting Results of Internet E-Surveys (CHERRIES). J Med Internet Res. 2004;6</w:t>
          </w:r>
          <w:r w:rsidR="00045492">
            <w:rPr>
              <w:rFonts w:ascii="Times New Roman" w:eastAsia="Times New Roman" w:hAnsi="Times New Roman" w:cs="Times New Roman"/>
              <w:color w:val="000000" w:themeColor="text1"/>
            </w:rPr>
            <w:t xml:space="preserve"> </w:t>
          </w:r>
          <w:r w:rsidR="00045492" w:rsidRPr="124E84FA">
            <w:rPr>
              <w:rFonts w:ascii="Times New Roman" w:eastAsia="Times New Roman" w:hAnsi="Times New Roman" w:cs="Times New Roman"/>
              <w:color w:val="000000" w:themeColor="text1"/>
            </w:rPr>
            <w:t xml:space="preserve">(3).  </w:t>
          </w:r>
        </w:sdtContent>
      </w:sdt>
    </w:p>
    <w:p w14:paraId="468E8793" w14:textId="39C668E6" w:rsidR="00C14E8D" w:rsidRPr="006237F3" w:rsidRDefault="00C14E8D" w:rsidP="124E84FA">
      <w:pPr>
        <w:spacing w:line="480" w:lineRule="auto"/>
        <w:rPr>
          <w:rFonts w:ascii="Times New Roman" w:eastAsia="Times New Roman" w:hAnsi="Times New Roman" w:cs="Times New Roman"/>
          <w:color w:val="000000" w:themeColor="text1"/>
        </w:rPr>
      </w:pPr>
    </w:p>
    <w:p w14:paraId="441E7D20" w14:textId="77777777" w:rsidR="001A14ED" w:rsidRPr="006237F3" w:rsidRDefault="001A14ED" w:rsidP="124E84FA">
      <w:pPr>
        <w:spacing w:line="480" w:lineRule="auto"/>
        <w:rPr>
          <w:rFonts w:ascii="Times New Roman" w:eastAsia="Times New Roman" w:hAnsi="Times New Roman" w:cs="Times New Roman"/>
          <w:color w:val="000000" w:themeColor="text1"/>
        </w:rPr>
      </w:pPr>
    </w:p>
    <w:sectPr w:rsidR="001A14ED" w:rsidRPr="006237F3" w:rsidSect="008511F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A60B5"/>
    <w:multiLevelType w:val="hybridMultilevel"/>
    <w:tmpl w:val="3C32B3F4"/>
    <w:lvl w:ilvl="0" w:tplc="25D826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568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472"/>
    <w:rsid w:val="000010FD"/>
    <w:rsid w:val="00003C21"/>
    <w:rsid w:val="00013005"/>
    <w:rsid w:val="00045492"/>
    <w:rsid w:val="000B3467"/>
    <w:rsid w:val="000D05C7"/>
    <w:rsid w:val="000D1ACA"/>
    <w:rsid w:val="000E7D94"/>
    <w:rsid w:val="001261E2"/>
    <w:rsid w:val="001303D7"/>
    <w:rsid w:val="001843A1"/>
    <w:rsid w:val="001904C5"/>
    <w:rsid w:val="001A14ED"/>
    <w:rsid w:val="001D4958"/>
    <w:rsid w:val="00231FA9"/>
    <w:rsid w:val="00293211"/>
    <w:rsid w:val="002D3241"/>
    <w:rsid w:val="002D6A62"/>
    <w:rsid w:val="003160CA"/>
    <w:rsid w:val="0034755C"/>
    <w:rsid w:val="00351C5E"/>
    <w:rsid w:val="003E522F"/>
    <w:rsid w:val="003E603B"/>
    <w:rsid w:val="003F0928"/>
    <w:rsid w:val="003F1893"/>
    <w:rsid w:val="0044222C"/>
    <w:rsid w:val="00467E77"/>
    <w:rsid w:val="004875FB"/>
    <w:rsid w:val="004D516D"/>
    <w:rsid w:val="00511E4C"/>
    <w:rsid w:val="00525C77"/>
    <w:rsid w:val="00553BC5"/>
    <w:rsid w:val="005622E3"/>
    <w:rsid w:val="00575A4A"/>
    <w:rsid w:val="006028ED"/>
    <w:rsid w:val="006237F3"/>
    <w:rsid w:val="00626CFC"/>
    <w:rsid w:val="006371F4"/>
    <w:rsid w:val="0064641C"/>
    <w:rsid w:val="00684BF9"/>
    <w:rsid w:val="006B12D7"/>
    <w:rsid w:val="00760664"/>
    <w:rsid w:val="00790738"/>
    <w:rsid w:val="007B1D42"/>
    <w:rsid w:val="007D24E5"/>
    <w:rsid w:val="007E4A1C"/>
    <w:rsid w:val="007F542E"/>
    <w:rsid w:val="008511F0"/>
    <w:rsid w:val="0087329F"/>
    <w:rsid w:val="008B202D"/>
    <w:rsid w:val="00926C91"/>
    <w:rsid w:val="009310DE"/>
    <w:rsid w:val="00A06BA0"/>
    <w:rsid w:val="00A1650F"/>
    <w:rsid w:val="00A61472"/>
    <w:rsid w:val="00A875EE"/>
    <w:rsid w:val="00AB15B3"/>
    <w:rsid w:val="00AC33BF"/>
    <w:rsid w:val="00AD7611"/>
    <w:rsid w:val="00AE2506"/>
    <w:rsid w:val="00B11489"/>
    <w:rsid w:val="00B4231E"/>
    <w:rsid w:val="00B54252"/>
    <w:rsid w:val="00BC1078"/>
    <w:rsid w:val="00BE1FF9"/>
    <w:rsid w:val="00BE46E8"/>
    <w:rsid w:val="00C14E8D"/>
    <w:rsid w:val="00C20CE1"/>
    <w:rsid w:val="00C26063"/>
    <w:rsid w:val="00C93521"/>
    <w:rsid w:val="00CA6CB9"/>
    <w:rsid w:val="00CE4984"/>
    <w:rsid w:val="00CF0747"/>
    <w:rsid w:val="00CF63C7"/>
    <w:rsid w:val="00D23EF8"/>
    <w:rsid w:val="00D25A30"/>
    <w:rsid w:val="00D27D63"/>
    <w:rsid w:val="00D302D3"/>
    <w:rsid w:val="00D456CF"/>
    <w:rsid w:val="00D5250D"/>
    <w:rsid w:val="00D54BA9"/>
    <w:rsid w:val="00D614D5"/>
    <w:rsid w:val="00D6232B"/>
    <w:rsid w:val="00D7198B"/>
    <w:rsid w:val="00D96EE1"/>
    <w:rsid w:val="00D975B2"/>
    <w:rsid w:val="00DE7EA8"/>
    <w:rsid w:val="00E341E4"/>
    <w:rsid w:val="00E35510"/>
    <w:rsid w:val="00E7566B"/>
    <w:rsid w:val="00EC1C9E"/>
    <w:rsid w:val="00EF0212"/>
    <w:rsid w:val="00F302C8"/>
    <w:rsid w:val="00F52A17"/>
    <w:rsid w:val="00F70B06"/>
    <w:rsid w:val="00F75572"/>
    <w:rsid w:val="00FA4134"/>
    <w:rsid w:val="00FA54FE"/>
    <w:rsid w:val="00FC4B66"/>
    <w:rsid w:val="00FC5905"/>
    <w:rsid w:val="00FE30FC"/>
    <w:rsid w:val="104240AC"/>
    <w:rsid w:val="124E84FA"/>
    <w:rsid w:val="24A6E127"/>
    <w:rsid w:val="285332E7"/>
    <w:rsid w:val="2AD9E152"/>
    <w:rsid w:val="2DD69EFE"/>
    <w:rsid w:val="31BBB688"/>
    <w:rsid w:val="3706FE1E"/>
    <w:rsid w:val="41A6E535"/>
    <w:rsid w:val="4F6C064E"/>
    <w:rsid w:val="51EF7072"/>
    <w:rsid w:val="5400DDE8"/>
    <w:rsid w:val="55957294"/>
    <w:rsid w:val="5A63046B"/>
    <w:rsid w:val="7818F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39CB54"/>
  <w15:chartTrackingRefBased/>
  <w15:docId w15:val="{E711ECBB-FBE9-1E4F-8F9B-AFEC72A3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A4A"/>
  </w:style>
  <w:style w:type="paragraph" w:styleId="Heading1">
    <w:name w:val="heading 1"/>
    <w:basedOn w:val="Normal"/>
    <w:next w:val="Normal"/>
    <w:link w:val="Heading1Char"/>
    <w:uiPriority w:val="9"/>
    <w:qFormat/>
    <w:rsid w:val="00A614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4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4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4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4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4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4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4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4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4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4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4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4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4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4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4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4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472"/>
    <w:rPr>
      <w:rFonts w:eastAsiaTheme="majorEastAsia" w:cstheme="majorBidi"/>
      <w:color w:val="272727" w:themeColor="text1" w:themeTint="D8"/>
    </w:rPr>
  </w:style>
  <w:style w:type="paragraph" w:styleId="Title">
    <w:name w:val="Title"/>
    <w:basedOn w:val="Normal"/>
    <w:next w:val="Normal"/>
    <w:link w:val="TitleChar"/>
    <w:uiPriority w:val="10"/>
    <w:qFormat/>
    <w:rsid w:val="00A61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4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4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4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472"/>
    <w:pPr>
      <w:spacing w:before="160"/>
      <w:jc w:val="center"/>
    </w:pPr>
    <w:rPr>
      <w:i/>
      <w:iCs/>
      <w:color w:val="404040" w:themeColor="text1" w:themeTint="BF"/>
    </w:rPr>
  </w:style>
  <w:style w:type="character" w:customStyle="1" w:styleId="QuoteChar">
    <w:name w:val="Quote Char"/>
    <w:basedOn w:val="DefaultParagraphFont"/>
    <w:link w:val="Quote"/>
    <w:uiPriority w:val="29"/>
    <w:rsid w:val="00A61472"/>
    <w:rPr>
      <w:i/>
      <w:iCs/>
      <w:color w:val="404040" w:themeColor="text1" w:themeTint="BF"/>
    </w:rPr>
  </w:style>
  <w:style w:type="paragraph" w:styleId="ListParagraph">
    <w:name w:val="List Paragraph"/>
    <w:basedOn w:val="Normal"/>
    <w:uiPriority w:val="34"/>
    <w:qFormat/>
    <w:rsid w:val="00A61472"/>
    <w:pPr>
      <w:ind w:left="720"/>
      <w:contextualSpacing/>
    </w:pPr>
  </w:style>
  <w:style w:type="character" w:styleId="IntenseEmphasis">
    <w:name w:val="Intense Emphasis"/>
    <w:basedOn w:val="DefaultParagraphFont"/>
    <w:uiPriority w:val="21"/>
    <w:qFormat/>
    <w:rsid w:val="00A61472"/>
    <w:rPr>
      <w:i/>
      <w:iCs/>
      <w:color w:val="0F4761" w:themeColor="accent1" w:themeShade="BF"/>
    </w:rPr>
  </w:style>
  <w:style w:type="paragraph" w:styleId="IntenseQuote">
    <w:name w:val="Intense Quote"/>
    <w:basedOn w:val="Normal"/>
    <w:next w:val="Normal"/>
    <w:link w:val="IntenseQuoteChar"/>
    <w:uiPriority w:val="30"/>
    <w:qFormat/>
    <w:rsid w:val="00A614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472"/>
    <w:rPr>
      <w:i/>
      <w:iCs/>
      <w:color w:val="0F4761" w:themeColor="accent1" w:themeShade="BF"/>
    </w:rPr>
  </w:style>
  <w:style w:type="character" w:styleId="IntenseReference">
    <w:name w:val="Intense Reference"/>
    <w:basedOn w:val="DefaultParagraphFont"/>
    <w:uiPriority w:val="32"/>
    <w:qFormat/>
    <w:rsid w:val="00A61472"/>
    <w:rPr>
      <w:b/>
      <w:bCs/>
      <w:smallCaps/>
      <w:color w:val="0F4761" w:themeColor="accent1" w:themeShade="BF"/>
      <w:spacing w:val="5"/>
    </w:rPr>
  </w:style>
  <w:style w:type="table" w:styleId="TableGrid">
    <w:name w:val="Table Grid"/>
    <w:basedOn w:val="TableNormal"/>
    <w:uiPriority w:val="39"/>
    <w:rsid w:val="00A61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1472"/>
    <w:rPr>
      <w:sz w:val="16"/>
      <w:szCs w:val="16"/>
    </w:rPr>
  </w:style>
  <w:style w:type="paragraph" w:styleId="CommentText">
    <w:name w:val="annotation text"/>
    <w:basedOn w:val="Normal"/>
    <w:link w:val="CommentTextChar"/>
    <w:uiPriority w:val="99"/>
    <w:semiHidden/>
    <w:unhideWhenUsed/>
    <w:rsid w:val="00A61472"/>
    <w:pPr>
      <w:spacing w:line="240" w:lineRule="auto"/>
    </w:pPr>
    <w:rPr>
      <w:sz w:val="20"/>
      <w:szCs w:val="20"/>
    </w:rPr>
  </w:style>
  <w:style w:type="character" w:customStyle="1" w:styleId="CommentTextChar">
    <w:name w:val="Comment Text Char"/>
    <w:basedOn w:val="DefaultParagraphFont"/>
    <w:link w:val="CommentText"/>
    <w:uiPriority w:val="99"/>
    <w:semiHidden/>
    <w:rsid w:val="00A61472"/>
    <w:rPr>
      <w:sz w:val="20"/>
      <w:szCs w:val="20"/>
    </w:rPr>
  </w:style>
  <w:style w:type="paragraph" w:styleId="CommentSubject">
    <w:name w:val="annotation subject"/>
    <w:basedOn w:val="CommentText"/>
    <w:next w:val="CommentText"/>
    <w:link w:val="CommentSubjectChar"/>
    <w:uiPriority w:val="99"/>
    <w:semiHidden/>
    <w:unhideWhenUsed/>
    <w:rsid w:val="00A61472"/>
    <w:rPr>
      <w:b/>
      <w:bCs/>
    </w:rPr>
  </w:style>
  <w:style w:type="character" w:customStyle="1" w:styleId="CommentSubjectChar">
    <w:name w:val="Comment Subject Char"/>
    <w:basedOn w:val="CommentTextChar"/>
    <w:link w:val="CommentSubject"/>
    <w:uiPriority w:val="99"/>
    <w:semiHidden/>
    <w:rsid w:val="00A61472"/>
    <w:rPr>
      <w:b/>
      <w:bCs/>
      <w:sz w:val="20"/>
      <w:szCs w:val="20"/>
    </w:rPr>
  </w:style>
  <w:style w:type="character" w:customStyle="1" w:styleId="normaltextrun">
    <w:name w:val="normaltextrun"/>
    <w:basedOn w:val="DefaultParagraphFont"/>
    <w:rsid w:val="00A61472"/>
  </w:style>
  <w:style w:type="paragraph" w:customStyle="1" w:styleId="paragraph">
    <w:name w:val="paragraph"/>
    <w:basedOn w:val="Normal"/>
    <w:rsid w:val="00553BC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uiPriority w:val="99"/>
    <w:unhideWhenUsed/>
    <w:rsid w:val="00553BC5"/>
    <w:rPr>
      <w:color w:val="0000FF"/>
      <w:u w:val="single"/>
    </w:rPr>
  </w:style>
  <w:style w:type="character" w:styleId="UnresolvedMention">
    <w:name w:val="Unresolved Mention"/>
    <w:basedOn w:val="DefaultParagraphFont"/>
    <w:uiPriority w:val="99"/>
    <w:semiHidden/>
    <w:unhideWhenUsed/>
    <w:rsid w:val="00553BC5"/>
    <w:rPr>
      <w:color w:val="605E5C"/>
      <w:shd w:val="clear" w:color="auto" w:fill="E1DFDD"/>
    </w:rPr>
  </w:style>
  <w:style w:type="character" w:styleId="PlaceholderText">
    <w:name w:val="Placeholder Text"/>
    <w:basedOn w:val="DefaultParagraphFont"/>
    <w:uiPriority w:val="99"/>
    <w:semiHidden/>
    <w:rsid w:val="00E341E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237116">
      <w:bodyDiv w:val="1"/>
      <w:marLeft w:val="0"/>
      <w:marRight w:val="0"/>
      <w:marTop w:val="0"/>
      <w:marBottom w:val="0"/>
      <w:divBdr>
        <w:top w:val="none" w:sz="0" w:space="0" w:color="auto"/>
        <w:left w:val="none" w:sz="0" w:space="0" w:color="auto"/>
        <w:bottom w:val="none" w:sz="0" w:space="0" w:color="auto"/>
        <w:right w:val="none" w:sz="0" w:space="0" w:color="auto"/>
      </w:divBdr>
      <w:divsChild>
        <w:div w:id="47900427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EB8BC6762D1E4BAE3F5DEA5B1F7791"/>
        <w:category>
          <w:name w:val="General"/>
          <w:gallery w:val="placeholder"/>
        </w:category>
        <w:types>
          <w:type w:val="bbPlcHdr"/>
        </w:types>
        <w:behaviors>
          <w:behavior w:val="content"/>
        </w:behaviors>
        <w:guid w:val="{9A37817E-B662-D04D-A424-5F2C8217F81C}"/>
      </w:docPartPr>
      <w:docPartBody>
        <w:p w:rsidR="00775416" w:rsidRDefault="004960FE" w:rsidP="004960FE">
          <w:pPr>
            <w:pStyle w:val="33EB8BC6762D1E4BAE3F5DEA5B1F7791"/>
          </w:pPr>
          <w:r w:rsidRPr="003873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06"/>
    <w:rsid w:val="000B3467"/>
    <w:rsid w:val="00140AD1"/>
    <w:rsid w:val="002E5F09"/>
    <w:rsid w:val="003E3337"/>
    <w:rsid w:val="0046399A"/>
    <w:rsid w:val="004960FE"/>
    <w:rsid w:val="004D52E9"/>
    <w:rsid w:val="00511E4C"/>
    <w:rsid w:val="005E6120"/>
    <w:rsid w:val="0064641C"/>
    <w:rsid w:val="006566C0"/>
    <w:rsid w:val="006B12D7"/>
    <w:rsid w:val="006F51A0"/>
    <w:rsid w:val="007141FD"/>
    <w:rsid w:val="007738A0"/>
    <w:rsid w:val="00775416"/>
    <w:rsid w:val="007815D6"/>
    <w:rsid w:val="007D24E5"/>
    <w:rsid w:val="0087329F"/>
    <w:rsid w:val="00926C91"/>
    <w:rsid w:val="009466CF"/>
    <w:rsid w:val="009D688A"/>
    <w:rsid w:val="00A377DE"/>
    <w:rsid w:val="00A41277"/>
    <w:rsid w:val="00A8130D"/>
    <w:rsid w:val="00AD46BA"/>
    <w:rsid w:val="00AE2506"/>
    <w:rsid w:val="00BE1FF9"/>
    <w:rsid w:val="00C413F7"/>
    <w:rsid w:val="00CA63F4"/>
    <w:rsid w:val="00CE4984"/>
    <w:rsid w:val="00F70B06"/>
    <w:rsid w:val="00FF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60FE"/>
    <w:rPr>
      <w:color w:val="666666"/>
    </w:rPr>
  </w:style>
  <w:style w:type="paragraph" w:customStyle="1" w:styleId="33EB8BC6762D1E4BAE3F5DEA5B1F7791">
    <w:name w:val="33EB8BC6762D1E4BAE3F5DEA5B1F7791"/>
    <w:rsid w:val="00496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8CAB699-CF9F-3B41-B159-56F55313E8D2}">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a5cd08da-212a-4637-a00c-04ac92b3f809&quot;,&quot;properties&quot;:{&quot;noteIndex&quot;:0},&quot;isEdited&quot;:false,&quot;manualOverride&quot;:{&quot;isManuallyOverridden&quot;:false,&quot;citeprocText&quot;:&quot;(1)&quot;,&quot;manualOverrideText&quot;:&quot;&quot;},&quot;citationTag&quot;:&quot;MENDELEY_CITATION_v3_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&quot;,&quot;citationItems&quot;:[{&quot;id&quot;:&quot;40154a54-7079-33b0-9761-46d59c6d2635&quot;,&quot;itemData&quot;:{&quot;type&quot;:&quot;article-journal&quot;,&quot;id&quot;:&quot;40154a54-7079-33b0-9761-46d59c6d2635&quot;,&quot;title&quot;:&quot;Improving the quality of web surveys: The Checklist for Reporting Results of Internet E-Surveys (CHERRIES)&quot;,&quot;author&quot;:[{&quot;family&quot;:&quot;Eysenbach&quot;,&quot;given&quot;:&quot;Gunther&quot;,&quot;parse-names&quot;:false,&quot;dropping-particle&quot;:&quot;&quot;,&quot;non-dropping-particle&quot;:&quot;&quot;}],&quot;container-title&quot;:&quot;Journal of Medical Internet Research&quot;,&quot;container-title-short&quot;:&quot;J Med Internet Res&quot;,&quot;DOI&quot;:&quot;10.2196/jmir.6.3.e34&quot;,&quot;ISSN&quot;:&quot;14388871&quot;,&quot;PMID&quot;:&quot;15471760&quot;,&quot;issued&quot;:{&quot;date-parts&quot;:[[2004]]},&quot;abstract&quot;:&quot;Analogous to checklists of recommendations such as the CONSORT statement (for randomized trials), or the QUORUM statement (for systematic reviews), which are designed to ensure the quality of reports in the medical literature, a checklist of recommendations for authors is being presented by the Journal of Medical Internet Research (JMIR) in an effort to ensure complete descriptions of Web-based surveys. Papers on Webbased surveys reported according to the CHERRIES statement will give readers a better understanding of the sample (self-)selection and its possible differences from a \&quot;representative\&quot; sample. It is hoped that author adherence to the checklist will increase the usefulness of such reports.&quot;,&quot;publisher&quot;:&quot;JMIR Publications Inc.&quot;,&quot;issue&quot;:&quot;3&quot;,&quot;volume&quot;:&quot;6&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B75B6-1756-A944-A3DE-05D73FA2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1287</Words>
  <Characters>6798</Characters>
  <Application>Microsoft Office Word</Application>
  <DocSecurity>0</DocSecurity>
  <Lines>151</Lines>
  <Paragraphs>126</Paragraphs>
  <ScaleCrop>false</ScaleCrop>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Zanesco</dc:creator>
  <cp:keywords/>
  <dc:description/>
  <cp:lastModifiedBy>Sylvia Zanesco</cp:lastModifiedBy>
  <cp:revision>91</cp:revision>
  <dcterms:created xsi:type="dcterms:W3CDTF">2024-01-31T11:37:00Z</dcterms:created>
  <dcterms:modified xsi:type="dcterms:W3CDTF">2026-01-12T09:28:00Z</dcterms:modified>
</cp:coreProperties>
</file>