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A43DC" w14:textId="0D7A6701" w:rsidR="00781C79" w:rsidRPr="00781C79" w:rsidRDefault="00781C79" w:rsidP="00C713FC">
      <w:pPr>
        <w:spacing w:before="120" w:after="120" w:line="240" w:lineRule="auto"/>
        <w:rPr>
          <w:rFonts w:ascii="Times New Roman" w:hAnsi="Times New Roman" w:cs="Times New Roman"/>
          <w:sz w:val="24"/>
          <w:szCs w:val="24"/>
        </w:rPr>
      </w:pPr>
      <w:r w:rsidRPr="00781C79">
        <w:rPr>
          <w:rFonts w:ascii="Times New Roman" w:hAnsi="Times New Roman" w:cs="Times New Roman"/>
          <w:b/>
          <w:bCs/>
          <w:sz w:val="24"/>
          <w:szCs w:val="24"/>
        </w:rPr>
        <w:t>O</w:t>
      </w:r>
      <w:r w:rsidRPr="00781C79">
        <w:rPr>
          <w:rFonts w:ascii="Times New Roman" w:hAnsi="Times New Roman" w:cs="Times New Roman"/>
          <w:b/>
          <w:bCs/>
          <w:sz w:val="24"/>
          <w:szCs w:val="24"/>
        </w:rPr>
        <w:t>riginal dated study protocol (DUTCHMILL002, Version 2, dated 22 October 2012)</w:t>
      </w:r>
    </w:p>
    <w:p w14:paraId="25ECF938" w14:textId="4082209F" w:rsidR="00C713FC" w:rsidRPr="00C713FC" w:rsidRDefault="00C713FC" w:rsidP="00C713FC">
      <w:pPr>
        <w:spacing w:before="120" w:after="120" w:line="240" w:lineRule="auto"/>
        <w:rPr>
          <w:rFonts w:ascii="Times New Roman" w:hAnsi="Times New Roman" w:cs="Times New Roman"/>
          <w:b/>
          <w:bCs/>
          <w:sz w:val="20"/>
          <w:szCs w:val="20"/>
        </w:rPr>
      </w:pPr>
      <w:r w:rsidRPr="00C713FC">
        <w:rPr>
          <w:rFonts w:ascii="Times New Roman" w:hAnsi="Times New Roman" w:cs="Times New Roman"/>
          <w:b/>
          <w:bCs/>
          <w:sz w:val="20"/>
          <w:szCs w:val="20"/>
        </w:rPr>
        <w:t>Objectives</w:t>
      </w:r>
    </w:p>
    <w:p w14:paraId="0F21AEFD"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The primary objective of this study was to compare the change in serum low-density lipoprotein cholesterol (LDL-C) concentration after 8 weeks of consumption of plant sterol and soluble fiber-enriched soymilk (SFSM) versus plain soymilk (SM) in adults with hypercholesterolemia.</w:t>
      </w:r>
    </w:p>
    <w:p w14:paraId="1A42EAFE"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The secondary objectives were to compare changes in other lipid parameters, including total cholesterol (TC), high-density lipoprotein cholesterol (HDL-C), and triglycerides (TG), and to evaluate the tolerability, safety, adverse events, and overall satisfaction associated with consumption of the two study products during the study period.</w:t>
      </w:r>
    </w:p>
    <w:p w14:paraId="143DC5E7" w14:textId="77777777" w:rsidR="00C713FC" w:rsidRPr="00C713FC" w:rsidRDefault="00C713FC" w:rsidP="00C713FC">
      <w:pPr>
        <w:spacing w:before="120" w:after="120" w:line="240" w:lineRule="auto"/>
        <w:rPr>
          <w:rFonts w:ascii="Times New Roman" w:hAnsi="Times New Roman" w:cs="Times New Roman"/>
          <w:b/>
          <w:bCs/>
          <w:sz w:val="20"/>
          <w:szCs w:val="20"/>
        </w:rPr>
      </w:pPr>
      <w:r w:rsidRPr="00C713FC">
        <w:rPr>
          <w:rFonts w:ascii="Times New Roman" w:hAnsi="Times New Roman" w:cs="Times New Roman"/>
          <w:b/>
          <w:bCs/>
          <w:sz w:val="20"/>
          <w:szCs w:val="20"/>
        </w:rPr>
        <w:t>Study Products</w:t>
      </w:r>
    </w:p>
    <w:p w14:paraId="20DDE82A"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The SFSM contained 1 g of free plant sterol, 5 g of inulin (soluble fiber), 5 g of soy protein, and 6.5 g of sugar per 180-mL package. Participants assigned to the SFSM group consumed two packages daily, providing a total of approximately 2 g of free plant sterol, 10 g of inulin, and 10 g of soy protein per day.</w:t>
      </w:r>
    </w:p>
    <w:p w14:paraId="7C206467"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The SM contained 5 g of soy protein and 6.5 g of sugar per 180-mL package. Participants assigned to the SM group consumed two packages daily.</w:t>
      </w:r>
    </w:p>
    <w:p w14:paraId="01B8B8C3"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The study products were administered orally for 8 weeks. Participants were instructed to consume one package in the morning and one package in the afternoon, either as a snack or around meals, preferably at a consistent time each day.</w:t>
      </w:r>
    </w:p>
    <w:p w14:paraId="2694AF56" w14:textId="77777777" w:rsidR="00C713FC" w:rsidRPr="00C713FC" w:rsidRDefault="00C713FC" w:rsidP="00C713FC">
      <w:pPr>
        <w:spacing w:before="120" w:after="120" w:line="240" w:lineRule="auto"/>
        <w:rPr>
          <w:rFonts w:ascii="Times New Roman" w:hAnsi="Times New Roman" w:cs="Times New Roman"/>
          <w:b/>
          <w:bCs/>
          <w:sz w:val="20"/>
          <w:szCs w:val="20"/>
        </w:rPr>
      </w:pPr>
      <w:r w:rsidRPr="00C713FC">
        <w:rPr>
          <w:rFonts w:ascii="Times New Roman" w:hAnsi="Times New Roman" w:cs="Times New Roman"/>
          <w:b/>
          <w:bCs/>
          <w:sz w:val="20"/>
          <w:szCs w:val="20"/>
        </w:rPr>
        <w:t>Subjects</w:t>
      </w:r>
    </w:p>
    <w:p w14:paraId="31174D50" w14:textId="77777777" w:rsidR="00C713FC" w:rsidRPr="00C713FC" w:rsidRDefault="00C713FC" w:rsidP="00C713FC">
      <w:pPr>
        <w:spacing w:before="120" w:after="120" w:line="240" w:lineRule="auto"/>
        <w:rPr>
          <w:rFonts w:ascii="Times New Roman" w:hAnsi="Times New Roman" w:cs="Times New Roman"/>
          <w:i/>
          <w:iCs/>
          <w:sz w:val="20"/>
          <w:szCs w:val="20"/>
        </w:rPr>
      </w:pPr>
      <w:r w:rsidRPr="00C713FC">
        <w:rPr>
          <w:rFonts w:ascii="Times New Roman" w:hAnsi="Times New Roman" w:cs="Times New Roman"/>
          <w:i/>
          <w:iCs/>
          <w:sz w:val="20"/>
          <w:szCs w:val="20"/>
        </w:rPr>
        <w:t>Inclusion Criteria</w:t>
      </w:r>
    </w:p>
    <w:p w14:paraId="65FDC316"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 xml:space="preserve">Participants were eligible for enrollment if they met </w:t>
      </w:r>
      <w:proofErr w:type="gramStart"/>
      <w:r w:rsidRPr="00C713FC">
        <w:rPr>
          <w:rFonts w:ascii="Times New Roman" w:hAnsi="Times New Roman" w:cs="Times New Roman"/>
          <w:sz w:val="20"/>
          <w:szCs w:val="20"/>
        </w:rPr>
        <w:t>all of</w:t>
      </w:r>
      <w:proofErr w:type="gramEnd"/>
      <w:r w:rsidRPr="00C713FC">
        <w:rPr>
          <w:rFonts w:ascii="Times New Roman" w:hAnsi="Times New Roman" w:cs="Times New Roman"/>
          <w:sz w:val="20"/>
          <w:szCs w:val="20"/>
        </w:rPr>
        <w:t xml:space="preserve"> the following criteria:</w:t>
      </w:r>
    </w:p>
    <w:p w14:paraId="533218B4" w14:textId="77777777" w:rsidR="00C713FC" w:rsidRPr="00C713FC" w:rsidRDefault="00C713FC" w:rsidP="00C713FC">
      <w:pPr>
        <w:numPr>
          <w:ilvl w:val="0"/>
          <w:numId w:val="2"/>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Male or female aged &gt;18 years and legally able to provide informed consent.</w:t>
      </w:r>
    </w:p>
    <w:p w14:paraId="43EA98F1" w14:textId="77777777" w:rsidR="00C713FC" w:rsidRPr="00C713FC" w:rsidRDefault="00C713FC" w:rsidP="00C713FC">
      <w:pPr>
        <w:numPr>
          <w:ilvl w:val="0"/>
          <w:numId w:val="2"/>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For female participants, either postmenopausal or surgically sterilized, or of childbearing potential with a negative urine pregnancy test within 7 days before enrollment and willing to use adequate contraception throughout the study.</w:t>
      </w:r>
    </w:p>
    <w:p w14:paraId="19FA3071" w14:textId="77777777" w:rsidR="00C713FC" w:rsidRPr="00C713FC" w:rsidRDefault="00C713FC" w:rsidP="00C713FC">
      <w:pPr>
        <w:numPr>
          <w:ilvl w:val="0"/>
          <w:numId w:val="2"/>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Serum LDL-C concentration &gt;130 mg/dL.</w:t>
      </w:r>
    </w:p>
    <w:p w14:paraId="2E211F31" w14:textId="77777777" w:rsidR="00C713FC" w:rsidRPr="00C713FC" w:rsidRDefault="00C713FC" w:rsidP="00C713FC">
      <w:pPr>
        <w:numPr>
          <w:ilvl w:val="0"/>
          <w:numId w:val="2"/>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If receiving lipid-lowering medication before enrollment, the participant must have been taking the medication regularly at a stable dose for at least 8 weeks.</w:t>
      </w:r>
    </w:p>
    <w:p w14:paraId="47B660DC" w14:textId="77777777" w:rsidR="00C713FC" w:rsidRPr="00C713FC" w:rsidRDefault="00C713FC" w:rsidP="00C713FC">
      <w:pPr>
        <w:numPr>
          <w:ilvl w:val="0"/>
          <w:numId w:val="2"/>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Provided written informed consent before participation in the study.</w:t>
      </w:r>
    </w:p>
    <w:p w14:paraId="3AAEAB65" w14:textId="77777777" w:rsidR="00C713FC" w:rsidRPr="00C713FC" w:rsidRDefault="00C713FC" w:rsidP="00C713FC">
      <w:pPr>
        <w:spacing w:before="120" w:after="120" w:line="240" w:lineRule="auto"/>
        <w:rPr>
          <w:rFonts w:ascii="Times New Roman" w:hAnsi="Times New Roman" w:cs="Times New Roman"/>
          <w:i/>
          <w:iCs/>
          <w:sz w:val="20"/>
          <w:szCs w:val="20"/>
        </w:rPr>
      </w:pPr>
      <w:r w:rsidRPr="00C713FC">
        <w:rPr>
          <w:rFonts w:ascii="Times New Roman" w:hAnsi="Times New Roman" w:cs="Times New Roman"/>
          <w:i/>
          <w:iCs/>
          <w:sz w:val="20"/>
          <w:szCs w:val="20"/>
        </w:rPr>
        <w:t>Exclusion Criteria</w:t>
      </w:r>
    </w:p>
    <w:p w14:paraId="59F20281"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Participants were excluded if they met any of the following criteria:</w:t>
      </w:r>
    </w:p>
    <w:p w14:paraId="3456ED46"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History of organ transplantation.</w:t>
      </w:r>
    </w:p>
    <w:p w14:paraId="05D96B2D"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Known hypersensitivity to soy or allergy to any ingredient listed on the study-product label.</w:t>
      </w:r>
    </w:p>
    <w:p w14:paraId="00F16189"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Use of medications known to affect serum cholesterol concentrations, including oral contraceptives, high-dose diuretics or beta-blockers, antiretroviral protease inhibitors, carbamazepine, or anabolic steroids, unless treatment had been maintained at a stable dose for at least 8 weeks before enrollment.</w:t>
      </w:r>
    </w:p>
    <w:p w14:paraId="4737837C"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Serum TG concentration ≥400 mg/dL.</w:t>
      </w:r>
    </w:p>
    <w:p w14:paraId="37BC0729"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 xml:space="preserve">Immunocompromised status, including </w:t>
      </w:r>
      <w:proofErr w:type="gramStart"/>
      <w:r w:rsidRPr="00C713FC">
        <w:rPr>
          <w:rFonts w:ascii="Times New Roman" w:hAnsi="Times New Roman" w:cs="Times New Roman"/>
          <w:sz w:val="20"/>
          <w:szCs w:val="20"/>
        </w:rPr>
        <w:t>a debilitated</w:t>
      </w:r>
      <w:proofErr w:type="gramEnd"/>
      <w:r w:rsidRPr="00C713FC">
        <w:rPr>
          <w:rFonts w:ascii="Times New Roman" w:hAnsi="Times New Roman" w:cs="Times New Roman"/>
          <w:sz w:val="20"/>
          <w:szCs w:val="20"/>
        </w:rPr>
        <w:t xml:space="preserve"> condition or malignancy.</w:t>
      </w:r>
    </w:p>
    <w:p w14:paraId="436B9067"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Current use of immunosuppressive agents, including cyclosporine, tacrolimus, azathioprine, or chemotherapeutic agents.</w:t>
      </w:r>
    </w:p>
    <w:p w14:paraId="108F9776"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Active liver, renal, or thyroid disease.</w:t>
      </w:r>
    </w:p>
    <w:p w14:paraId="6FB24DC0"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Myocardial infarction or stroke within the previous 3 months.</w:t>
      </w:r>
    </w:p>
    <w:p w14:paraId="265DAE52"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Hospitalization for any illness within the previous 2 months.</w:t>
      </w:r>
    </w:p>
    <w:p w14:paraId="72F54518"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lastRenderedPageBreak/>
        <w:t>Frequent alcohol consumption (&gt;2 times per week), exceeding 360 mL of beer, 45 mL of spirits, or 150 mL of wine per occasion for women, or 720 mL of beer, 90 mL of spirits, or 300 mL of wine per occasion for men.</w:t>
      </w:r>
    </w:p>
    <w:p w14:paraId="4668AA98"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Gastrointestinal symptoms, including nausea, vomiting, loss of appetite, early satiety, diarrhea, or chronic constipation.</w:t>
      </w:r>
    </w:p>
    <w:p w14:paraId="3865733E"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Pregnancy or breastfeeding.</w:t>
      </w:r>
    </w:p>
    <w:p w14:paraId="2702EC30"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Previous participation or randomization in this study.</w:t>
      </w:r>
    </w:p>
    <w:p w14:paraId="362BBF09"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Inability or unwillingness to provide informed consent.</w:t>
      </w:r>
    </w:p>
    <w:p w14:paraId="474C8EB1" w14:textId="77777777" w:rsidR="00C713FC" w:rsidRPr="00C713FC" w:rsidRDefault="00C713FC" w:rsidP="00C713FC">
      <w:pPr>
        <w:numPr>
          <w:ilvl w:val="0"/>
          <w:numId w:val="3"/>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Use of dietary supplements containing plant sterols, plant stanols, and/or fiber.</w:t>
      </w:r>
    </w:p>
    <w:p w14:paraId="3CF45A79" w14:textId="77777777" w:rsidR="00C713FC" w:rsidRDefault="00C713FC" w:rsidP="00C713FC">
      <w:pPr>
        <w:spacing w:before="120" w:after="120" w:line="240" w:lineRule="auto"/>
        <w:rPr>
          <w:rFonts w:ascii="Times New Roman" w:hAnsi="Times New Roman" w:cs="Times New Roman"/>
          <w:b/>
          <w:bCs/>
          <w:sz w:val="20"/>
          <w:szCs w:val="20"/>
        </w:rPr>
      </w:pPr>
    </w:p>
    <w:p w14:paraId="5F0AEEA5" w14:textId="5D025143" w:rsidR="00C713FC" w:rsidRPr="00C713FC" w:rsidRDefault="00C713FC" w:rsidP="00C713FC">
      <w:pPr>
        <w:spacing w:before="120" w:after="120" w:line="240" w:lineRule="auto"/>
        <w:rPr>
          <w:rFonts w:ascii="Times New Roman" w:hAnsi="Times New Roman" w:cs="Times New Roman"/>
          <w:b/>
          <w:bCs/>
          <w:sz w:val="20"/>
          <w:szCs w:val="20"/>
        </w:rPr>
      </w:pPr>
      <w:r w:rsidRPr="00C713FC">
        <w:rPr>
          <w:rFonts w:ascii="Times New Roman" w:hAnsi="Times New Roman" w:cs="Times New Roman"/>
          <w:b/>
          <w:bCs/>
          <w:sz w:val="20"/>
          <w:szCs w:val="20"/>
        </w:rPr>
        <w:t>Experimental Design</w:t>
      </w:r>
    </w:p>
    <w:p w14:paraId="417221AF"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This was a multicenter, prospective, randomized, double-blind, controlled, parallel-group clinical trial conducted in adults with hypercholesterolemia, defined as serum LDL-C &gt;130 mg/dL.</w:t>
      </w:r>
    </w:p>
    <w:p w14:paraId="52830613"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After the screening assessment, eligible participants were randomly assigned to receive either SFSM or SM for 8 weeks. Randomization was performed using a computer-generated randomization schedule. The study was conducted at two study centers, with approximately 240 participants planned for randomization.</w:t>
      </w:r>
    </w:p>
    <w:p w14:paraId="078CD608"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Participants consumed two 180-mL packages of the assigned study product daily (360 mL/day) for 8 weeks. Participants were instructed to consume one package in the morning and one in the afternoon, either as a snack or around meals. There was no crossover between study products during the study period.</w:t>
      </w:r>
    </w:p>
    <w:p w14:paraId="40FB9D30"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 xml:space="preserve">The study consisted of a screening period followed by an 8-week treatment period. Study visits were conducted at baseline and every 2 weeks during treatment (weeks 2, 4, 6, and 8). </w:t>
      </w:r>
      <w:proofErr w:type="gramStart"/>
      <w:r w:rsidRPr="00C713FC">
        <w:rPr>
          <w:rFonts w:ascii="Times New Roman" w:hAnsi="Times New Roman" w:cs="Times New Roman"/>
          <w:sz w:val="20"/>
          <w:szCs w:val="20"/>
        </w:rPr>
        <w:t>At</w:t>
      </w:r>
      <w:proofErr w:type="gramEnd"/>
      <w:r w:rsidRPr="00C713FC">
        <w:rPr>
          <w:rFonts w:ascii="Times New Roman" w:hAnsi="Times New Roman" w:cs="Times New Roman"/>
          <w:sz w:val="20"/>
          <w:szCs w:val="20"/>
        </w:rPr>
        <w:t xml:space="preserve"> each visit, physical examination and assessment of concomitant medications were performed. Physical assessments included height, weight, body mass index (BMI), waist circumference, vital signs, and general physical examination.</w:t>
      </w:r>
    </w:p>
    <w:p w14:paraId="0FCA21B1" w14:textId="77777777" w:rsidR="00C713FC" w:rsidRPr="00C713FC" w:rsidRDefault="00C713FC" w:rsidP="00C713FC">
      <w:pPr>
        <w:spacing w:before="120" w:after="120" w:line="240" w:lineRule="auto"/>
        <w:rPr>
          <w:rFonts w:ascii="Times New Roman" w:hAnsi="Times New Roman" w:cs="Times New Roman"/>
          <w:i/>
          <w:iCs/>
          <w:sz w:val="20"/>
          <w:szCs w:val="20"/>
        </w:rPr>
      </w:pPr>
      <w:r w:rsidRPr="00C713FC">
        <w:rPr>
          <w:rFonts w:ascii="Times New Roman" w:hAnsi="Times New Roman" w:cs="Times New Roman"/>
          <w:i/>
          <w:iCs/>
          <w:sz w:val="20"/>
          <w:szCs w:val="20"/>
        </w:rPr>
        <w:t>Lifestyle Modification and Dietary Assessment</w:t>
      </w:r>
    </w:p>
    <w:p w14:paraId="587B4250"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All participants were advised to follow dietary and lifestyle modifications aimed at improving hypercholesterolemia throughout the study period. Recommendations included weight control, regular physical activity, smoking cessation, limitation of alcohol consumption, reduction of saturated fat and dietary cholesterol, and increased intake of soluble fiber.</w:t>
      </w:r>
    </w:p>
    <w:p w14:paraId="0BABEE0D"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Participants were instructed to maintain a 3-day food record each week, consisting of two weekdays and one weekend day, as well as a weekly physical activity record. These records were reviewed at each study visit.</w:t>
      </w:r>
    </w:p>
    <w:p w14:paraId="5DD82D48"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A 7-day food-frequency questionnaire was administered at baseline, week 4, and week 8 to assess the frequency and approximate amount of dietary fat and cholesterol intake.</w:t>
      </w:r>
    </w:p>
    <w:p w14:paraId="494E04B6" w14:textId="77777777" w:rsidR="00C713FC" w:rsidRPr="00C713FC" w:rsidRDefault="00C713FC" w:rsidP="00C713FC">
      <w:pPr>
        <w:spacing w:before="120" w:after="120" w:line="240" w:lineRule="auto"/>
        <w:rPr>
          <w:rFonts w:ascii="Times New Roman" w:hAnsi="Times New Roman" w:cs="Times New Roman"/>
          <w:i/>
          <w:iCs/>
          <w:sz w:val="20"/>
          <w:szCs w:val="20"/>
        </w:rPr>
      </w:pPr>
      <w:r w:rsidRPr="00C713FC">
        <w:rPr>
          <w:rFonts w:ascii="Times New Roman" w:hAnsi="Times New Roman" w:cs="Times New Roman"/>
          <w:i/>
          <w:iCs/>
          <w:sz w:val="20"/>
          <w:szCs w:val="20"/>
        </w:rPr>
        <w:t>Study-Product Compliance</w:t>
      </w:r>
    </w:p>
    <w:p w14:paraId="5117A6FD"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Participants received supplies of their assigned study product at regular intervals throughout the treatment period. Empty packages were collected at each follow-up visit to assess compliance.</w:t>
      </w:r>
    </w:p>
    <w:p w14:paraId="136E0ED4"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Compliance was calculated based on the number of study products consumed relative to the number expected to be consumed. Consumption of more than 90% of the assigned study product was considered acceptable for continued participation.</w:t>
      </w:r>
    </w:p>
    <w:p w14:paraId="003BA978" w14:textId="77777777" w:rsidR="00C713FC" w:rsidRPr="00C713FC" w:rsidRDefault="00C713FC" w:rsidP="00C713FC">
      <w:pPr>
        <w:spacing w:before="120" w:after="120" w:line="240" w:lineRule="auto"/>
        <w:rPr>
          <w:rFonts w:ascii="Times New Roman" w:hAnsi="Times New Roman" w:cs="Times New Roman"/>
          <w:i/>
          <w:iCs/>
          <w:sz w:val="20"/>
          <w:szCs w:val="20"/>
        </w:rPr>
      </w:pPr>
      <w:r w:rsidRPr="00C713FC">
        <w:rPr>
          <w:rFonts w:ascii="Times New Roman" w:hAnsi="Times New Roman" w:cs="Times New Roman"/>
          <w:i/>
          <w:iCs/>
          <w:sz w:val="20"/>
          <w:szCs w:val="20"/>
        </w:rPr>
        <w:t>Product Satisfaction</w:t>
      </w:r>
    </w:p>
    <w:p w14:paraId="0BE11AE4"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 xml:space="preserve">Overall satisfaction with the assigned study product was evaluated using a participant-completed satisfaction questionnaire </w:t>
      </w:r>
      <w:proofErr w:type="gramStart"/>
      <w:r w:rsidRPr="00C713FC">
        <w:rPr>
          <w:rFonts w:ascii="Times New Roman" w:hAnsi="Times New Roman" w:cs="Times New Roman"/>
          <w:sz w:val="20"/>
          <w:szCs w:val="20"/>
        </w:rPr>
        <w:t>at</w:t>
      </w:r>
      <w:proofErr w:type="gramEnd"/>
      <w:r w:rsidRPr="00C713FC">
        <w:rPr>
          <w:rFonts w:ascii="Times New Roman" w:hAnsi="Times New Roman" w:cs="Times New Roman"/>
          <w:sz w:val="20"/>
          <w:szCs w:val="20"/>
        </w:rPr>
        <w:t xml:space="preserve"> weeks 2 and 8. Participants were asked to provide their overall assessment of the acceptability of the study product after consumption.</w:t>
      </w:r>
    </w:p>
    <w:p w14:paraId="55D15C71" w14:textId="77777777" w:rsidR="00C713FC" w:rsidRPr="00C713FC" w:rsidRDefault="00C713FC" w:rsidP="00C713FC">
      <w:pPr>
        <w:spacing w:before="120" w:after="120" w:line="240" w:lineRule="auto"/>
        <w:rPr>
          <w:rFonts w:ascii="Times New Roman" w:hAnsi="Times New Roman" w:cs="Times New Roman"/>
          <w:i/>
          <w:iCs/>
          <w:sz w:val="20"/>
          <w:szCs w:val="20"/>
        </w:rPr>
      </w:pPr>
      <w:r w:rsidRPr="00C713FC">
        <w:rPr>
          <w:rFonts w:ascii="Times New Roman" w:hAnsi="Times New Roman" w:cs="Times New Roman"/>
          <w:i/>
          <w:iCs/>
          <w:sz w:val="20"/>
          <w:szCs w:val="20"/>
        </w:rPr>
        <w:t>Laboratory Assessments</w:t>
      </w:r>
    </w:p>
    <w:p w14:paraId="5BD44B6F"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Venous blood samples were collected during the screening period (day −7) and at weeks 2, 4, 6, and 8.</w:t>
      </w:r>
    </w:p>
    <w:p w14:paraId="7A5EBD8F"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At each assessment, approximately 9 mL of venous blood was collected. Fasting laboratory measurements included:</w:t>
      </w:r>
    </w:p>
    <w:p w14:paraId="1F9B07CB" w14:textId="77777777" w:rsidR="00C713FC" w:rsidRPr="00C713FC" w:rsidRDefault="00C713FC" w:rsidP="00C713FC">
      <w:pPr>
        <w:numPr>
          <w:ilvl w:val="0"/>
          <w:numId w:val="4"/>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Total cholesterol (TC)</w:t>
      </w:r>
    </w:p>
    <w:p w14:paraId="1986BF81" w14:textId="77777777" w:rsidR="00C713FC" w:rsidRPr="00C713FC" w:rsidRDefault="00C713FC" w:rsidP="00C713FC">
      <w:pPr>
        <w:numPr>
          <w:ilvl w:val="0"/>
          <w:numId w:val="4"/>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lastRenderedPageBreak/>
        <w:t>LDL-C</w:t>
      </w:r>
    </w:p>
    <w:p w14:paraId="616D79A6" w14:textId="77777777" w:rsidR="00C713FC" w:rsidRPr="00C713FC" w:rsidRDefault="00C713FC" w:rsidP="00C713FC">
      <w:pPr>
        <w:numPr>
          <w:ilvl w:val="0"/>
          <w:numId w:val="4"/>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HDL-C</w:t>
      </w:r>
    </w:p>
    <w:p w14:paraId="3FE0C194" w14:textId="77777777" w:rsidR="00C713FC" w:rsidRPr="00C713FC" w:rsidRDefault="00C713FC" w:rsidP="00C713FC">
      <w:pPr>
        <w:numPr>
          <w:ilvl w:val="0"/>
          <w:numId w:val="4"/>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Triglycerides (TG)</w:t>
      </w:r>
    </w:p>
    <w:p w14:paraId="2C6F104D" w14:textId="77777777" w:rsidR="00C713FC" w:rsidRPr="00C713FC" w:rsidRDefault="00C713FC" w:rsidP="00C713FC">
      <w:pPr>
        <w:numPr>
          <w:ilvl w:val="0"/>
          <w:numId w:val="4"/>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Fasting blood glucose (FBS)</w:t>
      </w:r>
    </w:p>
    <w:p w14:paraId="3BD12307"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For female participants of childbearing potential, a urine pregnancy test was performed during screening, and a negative result was required for enrollment.</w:t>
      </w:r>
    </w:p>
    <w:p w14:paraId="6139A134" w14:textId="77777777" w:rsidR="00C713FC" w:rsidRPr="00C713FC" w:rsidRDefault="00C713FC" w:rsidP="00C713FC">
      <w:pPr>
        <w:spacing w:before="120" w:after="120" w:line="240" w:lineRule="auto"/>
        <w:rPr>
          <w:rFonts w:ascii="Times New Roman" w:hAnsi="Times New Roman" w:cs="Times New Roman"/>
          <w:i/>
          <w:iCs/>
          <w:sz w:val="20"/>
          <w:szCs w:val="20"/>
        </w:rPr>
      </w:pPr>
      <w:r w:rsidRPr="00C713FC">
        <w:rPr>
          <w:rFonts w:ascii="Times New Roman" w:hAnsi="Times New Roman" w:cs="Times New Roman"/>
          <w:i/>
          <w:iCs/>
          <w:sz w:val="20"/>
          <w:szCs w:val="20"/>
        </w:rPr>
        <w:t>Clinical and Safety Assessments</w:t>
      </w:r>
    </w:p>
    <w:p w14:paraId="7AEA23AD"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Participants underwent clinical assessment at each study visit. Physical assessments included height, weight, BMI, waist circumference, body temperature, heart rate, blood pressure, respiratory rate, and general physical examination.</w:t>
      </w:r>
    </w:p>
    <w:p w14:paraId="0367913F"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Concomitant medications were reviewed at every visit. Participants were instructed to report any new symptoms or health problems during the study.</w:t>
      </w:r>
    </w:p>
    <w:p w14:paraId="373BD8DB"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Adverse events were assessed at each visit using an open-ended question regarding any abnormal symptoms experienced since the previous visit. Any reported adverse event was documented with its onset, duration, severity, and relationship to the study product.</w:t>
      </w:r>
    </w:p>
    <w:p w14:paraId="0DFB2187"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Potential adverse effects considered in the protocol included gastrointestinal symptoms such as nausea, heartburn, indigestion, constipation, diarrhea, abdominal discomfort, and loose stools, as well as allergic reactions.</w:t>
      </w:r>
    </w:p>
    <w:p w14:paraId="7641F4F5" w14:textId="77777777" w:rsidR="00C713FC" w:rsidRPr="00C713FC" w:rsidRDefault="00C713FC" w:rsidP="00C713FC">
      <w:pPr>
        <w:spacing w:before="120" w:after="120" w:line="240" w:lineRule="auto"/>
        <w:rPr>
          <w:rFonts w:ascii="Times New Roman" w:hAnsi="Times New Roman" w:cs="Times New Roman"/>
          <w:i/>
          <w:iCs/>
          <w:sz w:val="20"/>
          <w:szCs w:val="20"/>
        </w:rPr>
      </w:pPr>
      <w:r w:rsidRPr="00C713FC">
        <w:rPr>
          <w:rFonts w:ascii="Times New Roman" w:hAnsi="Times New Roman" w:cs="Times New Roman"/>
          <w:i/>
          <w:iCs/>
          <w:sz w:val="20"/>
          <w:szCs w:val="20"/>
        </w:rPr>
        <w:t>Concomitant Medications</w:t>
      </w:r>
    </w:p>
    <w:p w14:paraId="5B5F4EB1"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Concomitant medications were reviewed at every study visit. The medication name, indication, and treatment dates were recorded when applicable.</w:t>
      </w:r>
    </w:p>
    <w:p w14:paraId="725AC785"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Immunosuppressive agents and medications that could substantially affect lipid concentrations were not permitted during the study unless specifically allowed by the protocol. Participants receiving stable lipid-lowering therapy before enrollment were required to maintain the treatment at a stable dose. Any required increase in lipid-lowering therapy during the study was to be reported to the investigator.</w:t>
      </w:r>
    </w:p>
    <w:p w14:paraId="5124591E" w14:textId="77777777" w:rsidR="00C713FC" w:rsidRPr="00C713FC" w:rsidRDefault="00C713FC" w:rsidP="00C713FC">
      <w:pPr>
        <w:spacing w:before="120" w:after="120" w:line="240" w:lineRule="auto"/>
        <w:ind w:firstLine="720"/>
        <w:rPr>
          <w:rFonts w:ascii="Times New Roman" w:hAnsi="Times New Roman" w:cs="Times New Roman"/>
          <w:sz w:val="20"/>
          <w:szCs w:val="20"/>
        </w:rPr>
      </w:pPr>
    </w:p>
    <w:p w14:paraId="1FA536C0" w14:textId="034A36C8" w:rsidR="00C713FC" w:rsidRPr="00C713FC" w:rsidRDefault="00C713FC" w:rsidP="00C713FC">
      <w:pPr>
        <w:spacing w:before="120" w:after="120" w:line="240" w:lineRule="auto"/>
        <w:rPr>
          <w:rFonts w:ascii="Times New Roman" w:hAnsi="Times New Roman" w:cs="Times New Roman"/>
          <w:b/>
          <w:bCs/>
          <w:sz w:val="20"/>
          <w:szCs w:val="20"/>
        </w:rPr>
      </w:pPr>
      <w:r w:rsidRPr="00C713FC">
        <w:rPr>
          <w:rFonts w:ascii="Times New Roman" w:hAnsi="Times New Roman" w:cs="Times New Roman"/>
          <w:b/>
          <w:bCs/>
          <w:sz w:val="20"/>
          <w:szCs w:val="20"/>
        </w:rPr>
        <w:t>Study Outcomes</w:t>
      </w:r>
    </w:p>
    <w:p w14:paraId="203219ED" w14:textId="77777777" w:rsidR="00C713FC" w:rsidRPr="00C713FC" w:rsidRDefault="00C713FC" w:rsidP="00C713FC">
      <w:pPr>
        <w:spacing w:before="120" w:after="120" w:line="240" w:lineRule="auto"/>
        <w:ind w:firstLine="720"/>
        <w:rPr>
          <w:rFonts w:ascii="Times New Roman" w:hAnsi="Times New Roman" w:cs="Times New Roman"/>
          <w:i/>
          <w:iCs/>
          <w:sz w:val="20"/>
          <w:szCs w:val="20"/>
        </w:rPr>
      </w:pPr>
      <w:r w:rsidRPr="00C713FC">
        <w:rPr>
          <w:rFonts w:ascii="Times New Roman" w:hAnsi="Times New Roman" w:cs="Times New Roman"/>
          <w:i/>
          <w:iCs/>
          <w:sz w:val="20"/>
          <w:szCs w:val="20"/>
        </w:rPr>
        <w:t>Primary Outcome</w:t>
      </w:r>
    </w:p>
    <w:p w14:paraId="3D195916"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The primary efficacy outcome was the change in serum LDL-C concentration from baseline to week 8, comparing the SFSM and SM groups.</w:t>
      </w:r>
    </w:p>
    <w:p w14:paraId="107B7F7B" w14:textId="77777777" w:rsidR="00C713FC" w:rsidRPr="00C713FC" w:rsidRDefault="00C713FC" w:rsidP="00C713FC">
      <w:pPr>
        <w:spacing w:before="120" w:after="120" w:line="240" w:lineRule="auto"/>
        <w:ind w:firstLine="720"/>
        <w:rPr>
          <w:rFonts w:ascii="Times New Roman" w:hAnsi="Times New Roman" w:cs="Times New Roman"/>
          <w:i/>
          <w:iCs/>
          <w:sz w:val="20"/>
          <w:szCs w:val="20"/>
        </w:rPr>
      </w:pPr>
      <w:r w:rsidRPr="00C713FC">
        <w:rPr>
          <w:rFonts w:ascii="Times New Roman" w:hAnsi="Times New Roman" w:cs="Times New Roman"/>
          <w:i/>
          <w:iCs/>
          <w:sz w:val="20"/>
          <w:szCs w:val="20"/>
        </w:rPr>
        <w:t>Secondary Outcomes</w:t>
      </w:r>
    </w:p>
    <w:p w14:paraId="6CD64708"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Secondary efficacy outcomes included changes in:</w:t>
      </w:r>
    </w:p>
    <w:p w14:paraId="736FE455" w14:textId="77777777" w:rsidR="00C713FC" w:rsidRPr="00C713FC" w:rsidRDefault="00C713FC" w:rsidP="00C713FC">
      <w:pPr>
        <w:numPr>
          <w:ilvl w:val="0"/>
          <w:numId w:val="5"/>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LDL-C at weeks 2, 4, 6, and 8.</w:t>
      </w:r>
    </w:p>
    <w:p w14:paraId="26977669" w14:textId="77777777" w:rsidR="00C713FC" w:rsidRPr="00C713FC" w:rsidRDefault="00C713FC" w:rsidP="00C713FC">
      <w:pPr>
        <w:numPr>
          <w:ilvl w:val="0"/>
          <w:numId w:val="5"/>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Total cholesterol.</w:t>
      </w:r>
    </w:p>
    <w:p w14:paraId="1BA6526B" w14:textId="77777777" w:rsidR="00C713FC" w:rsidRPr="00C713FC" w:rsidRDefault="00C713FC" w:rsidP="00C713FC">
      <w:pPr>
        <w:numPr>
          <w:ilvl w:val="0"/>
          <w:numId w:val="5"/>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HDL-C.</w:t>
      </w:r>
    </w:p>
    <w:p w14:paraId="56B49628" w14:textId="77777777" w:rsidR="00C713FC" w:rsidRPr="00C713FC" w:rsidRDefault="00C713FC" w:rsidP="00C713FC">
      <w:pPr>
        <w:numPr>
          <w:ilvl w:val="0"/>
          <w:numId w:val="5"/>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Triglycerides.</w:t>
      </w:r>
    </w:p>
    <w:p w14:paraId="68F15AB7"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Secondary safety and tolerability outcomes included:</w:t>
      </w:r>
    </w:p>
    <w:p w14:paraId="0E3204B0" w14:textId="77777777" w:rsidR="00C713FC" w:rsidRPr="00C713FC" w:rsidRDefault="00C713FC" w:rsidP="00C713FC">
      <w:pPr>
        <w:numPr>
          <w:ilvl w:val="0"/>
          <w:numId w:val="6"/>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Incidence and characteristics of adverse events.</w:t>
      </w:r>
    </w:p>
    <w:p w14:paraId="2FEA7E20" w14:textId="77777777" w:rsidR="00C713FC" w:rsidRPr="00C713FC" w:rsidRDefault="00C713FC" w:rsidP="00C713FC">
      <w:pPr>
        <w:numPr>
          <w:ilvl w:val="0"/>
          <w:numId w:val="6"/>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Study-product tolerability.</w:t>
      </w:r>
    </w:p>
    <w:p w14:paraId="51F54F37" w14:textId="77777777" w:rsidR="00C713FC" w:rsidRPr="00C713FC" w:rsidRDefault="00C713FC" w:rsidP="00C713FC">
      <w:pPr>
        <w:numPr>
          <w:ilvl w:val="0"/>
          <w:numId w:val="6"/>
        </w:numPr>
        <w:spacing w:before="120" w:after="120" w:line="240" w:lineRule="auto"/>
        <w:rPr>
          <w:rFonts w:ascii="Times New Roman" w:hAnsi="Times New Roman" w:cs="Times New Roman"/>
          <w:sz w:val="20"/>
          <w:szCs w:val="20"/>
        </w:rPr>
      </w:pPr>
      <w:r w:rsidRPr="00C713FC">
        <w:rPr>
          <w:rFonts w:ascii="Times New Roman" w:hAnsi="Times New Roman" w:cs="Times New Roman"/>
          <w:sz w:val="20"/>
          <w:szCs w:val="20"/>
        </w:rPr>
        <w:t>Overall participant satisfaction with the assigned study product.</w:t>
      </w:r>
    </w:p>
    <w:p w14:paraId="4AECD6A8" w14:textId="77777777" w:rsidR="00C713FC" w:rsidRPr="00C713FC" w:rsidRDefault="00C713FC" w:rsidP="00C713FC">
      <w:pPr>
        <w:spacing w:before="120" w:after="120" w:line="240" w:lineRule="auto"/>
        <w:rPr>
          <w:rFonts w:ascii="Times New Roman" w:hAnsi="Times New Roman" w:cs="Times New Roman"/>
          <w:i/>
          <w:iCs/>
          <w:sz w:val="20"/>
          <w:szCs w:val="20"/>
        </w:rPr>
      </w:pPr>
      <w:r w:rsidRPr="00C713FC">
        <w:rPr>
          <w:rFonts w:ascii="Times New Roman" w:hAnsi="Times New Roman" w:cs="Times New Roman"/>
          <w:i/>
          <w:iCs/>
          <w:sz w:val="20"/>
          <w:szCs w:val="20"/>
        </w:rPr>
        <w:t>Discontinuation Criteria</w:t>
      </w:r>
    </w:p>
    <w:p w14:paraId="7AF3D786"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Participants could be withdrawn from the study if they developed myocardial ischemia or stroke, required an increase in prescribed lipid-lowering medication, withdrew consent, demonstrated protocol noncompliance, including consumption of less than 90% of the assigned study product, or developed a condition that, in the investigator's or sponsor's judgment, made continued participation inappropriate.</w:t>
      </w:r>
    </w:p>
    <w:p w14:paraId="77A0307A"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lastRenderedPageBreak/>
        <w:t>Participants were also withdrawn if they initiated medications that could substantially affect lipid profiles or immunosuppressive therapy during the study.</w:t>
      </w:r>
    </w:p>
    <w:p w14:paraId="5770C1D0"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For participants who discontinued before study completion, final study assessments were to be performed whenever possible, and the reason for withdrawal was documented in the study records.</w:t>
      </w:r>
    </w:p>
    <w:p w14:paraId="1BC82E65" w14:textId="77777777" w:rsidR="00C713FC" w:rsidRPr="00C713FC" w:rsidRDefault="00C713FC" w:rsidP="00C713FC">
      <w:pPr>
        <w:spacing w:before="120" w:after="120" w:line="240" w:lineRule="auto"/>
        <w:rPr>
          <w:rFonts w:ascii="Times New Roman" w:hAnsi="Times New Roman" w:cs="Times New Roman"/>
          <w:b/>
          <w:bCs/>
          <w:sz w:val="20"/>
          <w:szCs w:val="20"/>
        </w:rPr>
      </w:pPr>
      <w:r w:rsidRPr="00C713FC">
        <w:rPr>
          <w:rFonts w:ascii="Times New Roman" w:hAnsi="Times New Roman" w:cs="Times New Roman"/>
          <w:b/>
          <w:bCs/>
          <w:sz w:val="20"/>
          <w:szCs w:val="20"/>
        </w:rPr>
        <w:t>Statistical Analysis</w:t>
      </w:r>
    </w:p>
    <w:p w14:paraId="69A88665"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The study planned to randomize approximately 240 participants, with 120 participants in each treatment group. The sample-size calculation was based on previously reported data from Weidner et al. and was designed to detect a difference in LDL-C between the two treatment groups with a two-sided significance level of 0.05 and 80% power, allowing for approximately 5% dropout.</w:t>
      </w:r>
    </w:p>
    <w:p w14:paraId="0138C941"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For efficacy analyses, continuous variables were summarized as mean ± standard deviation. Changes from baseline to weeks 2, 4, 6, and 8 were evaluated using repeated-measures analysis of variance, and categorical variables were analyzed using the chi-square test.</w:t>
      </w:r>
    </w:p>
    <w:p w14:paraId="7A8D800D"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Laboratory outcomes were evaluated both within treatment groups over time and between treatment groups. Changes in BMI, waist circumference, and body composition from baseline to week 8 or the final study visit were also compared between treatment groups.</w:t>
      </w:r>
    </w:p>
    <w:p w14:paraId="217670D5"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For safety analyses, all participants who received at least one dose of the study product were included. Adverse events were summarized descriptively according to treatment group, including the number of participants reporting events, number of events, severity, duration, relationship to the study product, and whether the event resulted in study withdrawal. Fisher's exact test and/or time-to-event analysis using the log-rank test could be used to compare adverse-event incidence between treatment groups when appropriate.</w:t>
      </w:r>
    </w:p>
    <w:p w14:paraId="57D34F01" w14:textId="77777777" w:rsidR="00C713FC" w:rsidRPr="001511C6" w:rsidRDefault="00C713FC" w:rsidP="001511C6">
      <w:pPr>
        <w:spacing w:before="120" w:after="120" w:line="240" w:lineRule="auto"/>
        <w:rPr>
          <w:rFonts w:ascii="Times New Roman" w:hAnsi="Times New Roman" w:cs="Times New Roman"/>
          <w:b/>
          <w:bCs/>
          <w:sz w:val="20"/>
          <w:szCs w:val="20"/>
        </w:rPr>
      </w:pPr>
      <w:r w:rsidRPr="001511C6">
        <w:rPr>
          <w:rFonts w:ascii="Times New Roman" w:hAnsi="Times New Roman" w:cs="Times New Roman"/>
          <w:b/>
          <w:bCs/>
          <w:sz w:val="20"/>
          <w:szCs w:val="20"/>
        </w:rPr>
        <w:t>Study Schedule</w:t>
      </w:r>
    </w:p>
    <w:p w14:paraId="608AB8F8"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 xml:space="preserve">Participants underwent screening at day −7, followed by randomization and initiation of study-product consumption at baseline (day 0). Follow-up visits were performed </w:t>
      </w:r>
      <w:proofErr w:type="gramStart"/>
      <w:r w:rsidRPr="00C713FC">
        <w:rPr>
          <w:rFonts w:ascii="Times New Roman" w:hAnsi="Times New Roman" w:cs="Times New Roman"/>
          <w:sz w:val="20"/>
          <w:szCs w:val="20"/>
        </w:rPr>
        <w:t>at</w:t>
      </w:r>
      <w:proofErr w:type="gramEnd"/>
      <w:r w:rsidRPr="00C713FC">
        <w:rPr>
          <w:rFonts w:ascii="Times New Roman" w:hAnsi="Times New Roman" w:cs="Times New Roman"/>
          <w:sz w:val="20"/>
          <w:szCs w:val="20"/>
        </w:rPr>
        <w:t xml:space="preserve"> weeks 2, 4, 6, and 8.</w:t>
      </w:r>
    </w:p>
    <w:p w14:paraId="44E6F99B"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At each follow-up visit, clinical status, concomitant medications, adverse events, study-product compliance, and relevant dietary and physical activity records were assessed. Fasting lipid profiles and glucose were measured at screening and at weeks 2, 4, 6, and 8.</w:t>
      </w:r>
    </w:p>
    <w:p w14:paraId="6C027E48" w14:textId="77777777" w:rsidR="00C713FC" w:rsidRPr="00C713FC" w:rsidRDefault="00C713FC" w:rsidP="00C713FC">
      <w:pPr>
        <w:spacing w:before="120" w:after="120" w:line="240" w:lineRule="auto"/>
        <w:ind w:firstLine="720"/>
        <w:rPr>
          <w:rFonts w:ascii="Times New Roman" w:hAnsi="Times New Roman" w:cs="Times New Roman"/>
          <w:sz w:val="20"/>
          <w:szCs w:val="20"/>
        </w:rPr>
      </w:pPr>
      <w:r w:rsidRPr="00C713FC">
        <w:rPr>
          <w:rFonts w:ascii="Times New Roman" w:hAnsi="Times New Roman" w:cs="Times New Roman"/>
          <w:sz w:val="20"/>
          <w:szCs w:val="20"/>
        </w:rPr>
        <w:t>The overall study duration was approximately 9 weeks, including the screening period and 8-week intervention period.</w:t>
      </w:r>
    </w:p>
    <w:p w14:paraId="086B3488" w14:textId="77777777" w:rsidR="00C713FC" w:rsidRPr="00C713FC" w:rsidRDefault="00C713FC" w:rsidP="007E0232">
      <w:pPr>
        <w:spacing w:before="120" w:after="120" w:line="240" w:lineRule="auto"/>
        <w:ind w:firstLine="720"/>
        <w:rPr>
          <w:rFonts w:ascii="Times New Roman" w:hAnsi="Times New Roman" w:cs="Times New Roman"/>
          <w:sz w:val="20"/>
          <w:szCs w:val="20"/>
        </w:rPr>
      </w:pPr>
    </w:p>
    <w:p w14:paraId="563C7539" w14:textId="77777777" w:rsidR="007E0232" w:rsidRPr="00C713FC" w:rsidRDefault="007E0232">
      <w:pPr>
        <w:rPr>
          <w:rFonts w:ascii="Times New Roman" w:hAnsi="Times New Roman" w:cs="Times New Roman"/>
          <w:sz w:val="20"/>
          <w:szCs w:val="20"/>
        </w:rPr>
      </w:pPr>
    </w:p>
    <w:sectPr w:rsidR="007E0232" w:rsidRPr="00C713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17A3"/>
    <w:multiLevelType w:val="multilevel"/>
    <w:tmpl w:val="101EA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0125EF"/>
    <w:multiLevelType w:val="multilevel"/>
    <w:tmpl w:val="EF06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C33E92"/>
    <w:multiLevelType w:val="hybridMultilevel"/>
    <w:tmpl w:val="439AEF5C"/>
    <w:lvl w:ilvl="0" w:tplc="C3201B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6BC44D9"/>
    <w:multiLevelType w:val="multilevel"/>
    <w:tmpl w:val="D6007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D744AD"/>
    <w:multiLevelType w:val="multilevel"/>
    <w:tmpl w:val="B06A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1620B3"/>
    <w:multiLevelType w:val="multilevel"/>
    <w:tmpl w:val="677C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6759786">
    <w:abstractNumId w:val="2"/>
  </w:num>
  <w:num w:numId="2" w16cid:durableId="877860254">
    <w:abstractNumId w:val="3"/>
  </w:num>
  <w:num w:numId="3" w16cid:durableId="433868465">
    <w:abstractNumId w:val="0"/>
  </w:num>
  <w:num w:numId="4" w16cid:durableId="593172533">
    <w:abstractNumId w:val="1"/>
  </w:num>
  <w:num w:numId="5" w16cid:durableId="1954708450">
    <w:abstractNumId w:val="4"/>
  </w:num>
  <w:num w:numId="6" w16cid:durableId="854633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32"/>
    <w:rsid w:val="001511C6"/>
    <w:rsid w:val="0035273B"/>
    <w:rsid w:val="004C7A90"/>
    <w:rsid w:val="00781C79"/>
    <w:rsid w:val="007E0232"/>
    <w:rsid w:val="00B2543E"/>
    <w:rsid w:val="00BC600D"/>
    <w:rsid w:val="00BE74E2"/>
    <w:rsid w:val="00C65335"/>
    <w:rsid w:val="00C713F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3A05B"/>
  <w15:chartTrackingRefBased/>
  <w15:docId w15:val="{894318C6-4B30-4A0A-BD72-163BA312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232"/>
    <w:pPr>
      <w:keepNext/>
      <w:keepLines/>
      <w:spacing w:before="320" w:after="4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7E0232"/>
    <w:pPr>
      <w:keepNext/>
      <w:keepLines/>
      <w:spacing w:before="120" w:after="4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7E0232"/>
    <w:pPr>
      <w:keepNext/>
      <w:keepLines/>
      <w:spacing w:before="120" w:after="4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7E02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2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2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2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2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2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232"/>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7E0232"/>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7E0232"/>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7E02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2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2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2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2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232"/>
    <w:rPr>
      <w:rFonts w:eastAsiaTheme="majorEastAsia" w:cstheme="majorBidi"/>
      <w:color w:val="272727" w:themeColor="text1" w:themeTint="D8"/>
    </w:rPr>
  </w:style>
  <w:style w:type="paragraph" w:styleId="Title">
    <w:name w:val="Title"/>
    <w:basedOn w:val="Normal"/>
    <w:next w:val="Normal"/>
    <w:link w:val="TitleChar"/>
    <w:uiPriority w:val="10"/>
    <w:qFormat/>
    <w:rsid w:val="007E0232"/>
    <w:pPr>
      <w:spacing w:after="4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E0232"/>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E0232"/>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E0232"/>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E0232"/>
    <w:pPr>
      <w:spacing w:before="160"/>
      <w:jc w:val="center"/>
    </w:pPr>
    <w:rPr>
      <w:i/>
      <w:iCs/>
      <w:color w:val="404040" w:themeColor="text1" w:themeTint="BF"/>
    </w:rPr>
  </w:style>
  <w:style w:type="character" w:customStyle="1" w:styleId="QuoteChar">
    <w:name w:val="Quote Char"/>
    <w:basedOn w:val="DefaultParagraphFont"/>
    <w:link w:val="Quote"/>
    <w:uiPriority w:val="29"/>
    <w:rsid w:val="007E0232"/>
    <w:rPr>
      <w:i/>
      <w:iCs/>
      <w:color w:val="404040" w:themeColor="text1" w:themeTint="BF"/>
    </w:rPr>
  </w:style>
  <w:style w:type="paragraph" w:styleId="ListParagraph">
    <w:name w:val="List Paragraph"/>
    <w:basedOn w:val="Normal"/>
    <w:uiPriority w:val="34"/>
    <w:qFormat/>
    <w:rsid w:val="007E0232"/>
    <w:pPr>
      <w:ind w:left="720"/>
      <w:contextualSpacing/>
    </w:pPr>
  </w:style>
  <w:style w:type="character" w:styleId="IntenseEmphasis">
    <w:name w:val="Intense Emphasis"/>
    <w:basedOn w:val="DefaultParagraphFont"/>
    <w:uiPriority w:val="21"/>
    <w:qFormat/>
    <w:rsid w:val="007E0232"/>
    <w:rPr>
      <w:i/>
      <w:iCs/>
      <w:color w:val="0F4761" w:themeColor="accent1" w:themeShade="BF"/>
    </w:rPr>
  </w:style>
  <w:style w:type="paragraph" w:styleId="IntenseQuote">
    <w:name w:val="Intense Quote"/>
    <w:basedOn w:val="Normal"/>
    <w:next w:val="Normal"/>
    <w:link w:val="IntenseQuoteChar"/>
    <w:uiPriority w:val="30"/>
    <w:qFormat/>
    <w:rsid w:val="007E0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232"/>
    <w:rPr>
      <w:i/>
      <w:iCs/>
      <w:color w:val="0F4761" w:themeColor="accent1" w:themeShade="BF"/>
    </w:rPr>
  </w:style>
  <w:style w:type="character" w:styleId="IntenseReference">
    <w:name w:val="Intense Reference"/>
    <w:basedOn w:val="DefaultParagraphFont"/>
    <w:uiPriority w:val="32"/>
    <w:qFormat/>
    <w:rsid w:val="007E02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SUPAWAN BURANAPIN</dc:creator>
  <cp:keywords/>
  <dc:description/>
  <cp:lastModifiedBy>SUPAWAN BURANAPIN</cp:lastModifiedBy>
  <cp:revision>2</cp:revision>
  <dcterms:created xsi:type="dcterms:W3CDTF">2026-10-06T09:48:00Z</dcterms:created>
  <dcterms:modified xsi:type="dcterms:W3CDTF">2026-10-06T09:48:00Z</dcterms:modified>
</cp:coreProperties>
</file>