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463" w:type="dxa"/>
        <w:tblLayout w:type="fixed"/>
        <w:tblLook w:val="04A0"/>
      </w:tblPr>
      <w:tblGrid>
        <w:gridCol w:w="1048"/>
        <w:gridCol w:w="1197"/>
        <w:gridCol w:w="4952"/>
        <w:gridCol w:w="2266"/>
      </w:tblGrid>
      <w:tr w:rsidR="00BB6156" w:rsidTr="008E10C5">
        <w:tc>
          <w:tcPr>
            <w:tcW w:w="9463" w:type="dxa"/>
            <w:gridSpan w:val="4"/>
          </w:tcPr>
          <w:p w:rsidR="00BB6156" w:rsidRPr="00DD6AA9" w:rsidRDefault="00BB6156" w:rsidP="00DD6AA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Supplemental Table 2. Day 0 macrophage markers</w:t>
            </w:r>
          </w:p>
        </w:tc>
      </w:tr>
      <w:tr w:rsidR="00DD6AA9" w:rsidTr="00DD6AA9">
        <w:tc>
          <w:tcPr>
            <w:tcW w:w="1048" w:type="dxa"/>
          </w:tcPr>
          <w:p w:rsidR="00DD6AA9" w:rsidRPr="00DD6AA9" w:rsidRDefault="00DD6AA9" w:rsidP="00DD6AA9">
            <w:pPr>
              <w:rPr>
                <w:rFonts w:ascii="Arial" w:hAnsi="Arial" w:cs="Arial"/>
                <w:sz w:val="20"/>
                <w:szCs w:val="20"/>
              </w:rPr>
            </w:pPr>
            <w:r w:rsidRPr="00DD6AA9">
              <w:rPr>
                <w:rFonts w:ascii="Arial" w:hAnsi="Arial" w:cs="Arial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197" w:type="dxa"/>
          </w:tcPr>
          <w:p w:rsidR="00DD6AA9" w:rsidRPr="00DD6AA9" w:rsidRDefault="00DD6AA9" w:rsidP="00DD6AA9">
            <w:pPr>
              <w:rPr>
                <w:rFonts w:ascii="Arial" w:hAnsi="Arial" w:cs="Arial"/>
                <w:sz w:val="20"/>
                <w:szCs w:val="20"/>
              </w:rPr>
            </w:pPr>
            <w:r w:rsidRPr="00DD6AA9">
              <w:rPr>
                <w:rFonts w:ascii="Arial" w:hAnsi="Arial" w:cs="Arial"/>
                <w:b/>
                <w:bCs/>
                <w:sz w:val="20"/>
                <w:szCs w:val="20"/>
              </w:rPr>
              <w:t>Average FPKM</w:t>
            </w:r>
          </w:p>
        </w:tc>
        <w:tc>
          <w:tcPr>
            <w:tcW w:w="4952" w:type="dxa"/>
          </w:tcPr>
          <w:p w:rsidR="00DD6AA9" w:rsidRPr="00DD6AA9" w:rsidRDefault="00DD6AA9" w:rsidP="00DD6AA9">
            <w:pPr>
              <w:rPr>
                <w:rFonts w:ascii="Arial" w:hAnsi="Arial" w:cs="Arial"/>
                <w:sz w:val="20"/>
                <w:szCs w:val="20"/>
              </w:rPr>
            </w:pPr>
            <w:r w:rsidRPr="00DD6AA9">
              <w:rPr>
                <w:rFonts w:ascii="Arial" w:hAnsi="Arial" w:cs="Arial"/>
                <w:b/>
                <w:bCs/>
                <w:sz w:val="20"/>
                <w:szCs w:val="20"/>
              </w:rPr>
              <w:t>Macrophage Role</w:t>
            </w:r>
          </w:p>
        </w:tc>
        <w:tc>
          <w:tcPr>
            <w:tcW w:w="2266" w:type="dxa"/>
          </w:tcPr>
          <w:p w:rsidR="00DD6AA9" w:rsidRPr="00DD6AA9" w:rsidRDefault="00DD6AA9" w:rsidP="00DD6AA9">
            <w:pPr>
              <w:rPr>
                <w:rFonts w:ascii="Arial" w:hAnsi="Arial" w:cs="Arial"/>
                <w:sz w:val="20"/>
                <w:szCs w:val="20"/>
              </w:rPr>
            </w:pPr>
            <w:r w:rsidRPr="00DD6AA9">
              <w:rPr>
                <w:rFonts w:ascii="Arial" w:hAnsi="Arial" w:cs="Arial"/>
                <w:b/>
                <w:bCs/>
                <w:sz w:val="20"/>
                <w:szCs w:val="20"/>
              </w:rPr>
              <w:t>Expression in other cell types</w:t>
            </w:r>
          </w:p>
        </w:tc>
      </w:tr>
      <w:tr w:rsidR="00DD6AA9" w:rsidRPr="00DD6AA9" w:rsidTr="00DD6AA9">
        <w:trPr>
          <w:trHeight w:val="278"/>
        </w:trPr>
        <w:tc>
          <w:tcPr>
            <w:tcW w:w="1048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Atf3</w:t>
            </w:r>
          </w:p>
        </w:tc>
        <w:tc>
          <w:tcPr>
            <w:tcW w:w="1197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321</w:t>
            </w:r>
          </w:p>
        </w:tc>
        <w:tc>
          <w:tcPr>
            <w:tcW w:w="4952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Inhibition of inflammatory gene expression</w:t>
            </w:r>
          </w:p>
        </w:tc>
        <w:tc>
          <w:tcPr>
            <w:tcW w:w="2266" w:type="dxa"/>
          </w:tcPr>
          <w:p w:rsidR="00DD6AA9" w:rsidRPr="00DD6AA9" w:rsidRDefault="00AC4669" w:rsidP="00DD6A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ubiquitous</w:t>
            </w:r>
          </w:p>
        </w:tc>
      </w:tr>
      <w:tr w:rsidR="00DD6AA9" w:rsidRPr="00DD6AA9" w:rsidTr="00DD6AA9">
        <w:trPr>
          <w:trHeight w:val="233"/>
        </w:trPr>
        <w:tc>
          <w:tcPr>
            <w:tcW w:w="1048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Cbr2</w:t>
            </w:r>
          </w:p>
        </w:tc>
        <w:tc>
          <w:tcPr>
            <w:tcW w:w="1197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307</w:t>
            </w:r>
          </w:p>
        </w:tc>
        <w:tc>
          <w:tcPr>
            <w:tcW w:w="4952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M1 marker</w:t>
            </w:r>
          </w:p>
        </w:tc>
        <w:tc>
          <w:tcPr>
            <w:tcW w:w="2266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unknown</w:t>
            </w:r>
          </w:p>
        </w:tc>
      </w:tr>
      <w:tr w:rsidR="00DD6AA9" w:rsidRPr="00DD6AA9" w:rsidTr="00DD6AA9">
        <w:trPr>
          <w:trHeight w:val="260"/>
        </w:trPr>
        <w:tc>
          <w:tcPr>
            <w:tcW w:w="1048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Folr2</w:t>
            </w:r>
          </w:p>
        </w:tc>
        <w:tc>
          <w:tcPr>
            <w:tcW w:w="1197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209</w:t>
            </w:r>
          </w:p>
        </w:tc>
        <w:tc>
          <w:tcPr>
            <w:tcW w:w="4952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Folate binding; M2 marker</w:t>
            </w:r>
          </w:p>
        </w:tc>
        <w:tc>
          <w:tcPr>
            <w:tcW w:w="2266" w:type="dxa"/>
            <w:hideMark/>
          </w:tcPr>
          <w:p w:rsidR="00DD6AA9" w:rsidRPr="00DD6AA9" w:rsidRDefault="00AC4669" w:rsidP="00DD6A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</w:t>
            </w:r>
            <w:r w:rsidR="00DD6AA9" w:rsidRPr="00DD6AA9">
              <w:rPr>
                <w:rFonts w:ascii="Arial" w:hAnsi="Arial" w:cs="Arial"/>
              </w:rPr>
              <w:t>eutrophils</w:t>
            </w:r>
          </w:p>
        </w:tc>
      </w:tr>
      <w:tr w:rsidR="00DD6AA9" w:rsidRPr="00DD6AA9" w:rsidTr="00DD6AA9">
        <w:trPr>
          <w:trHeight w:val="305"/>
        </w:trPr>
        <w:tc>
          <w:tcPr>
            <w:tcW w:w="1048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Actr3</w:t>
            </w:r>
          </w:p>
        </w:tc>
        <w:tc>
          <w:tcPr>
            <w:tcW w:w="1197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200</w:t>
            </w:r>
          </w:p>
        </w:tc>
        <w:tc>
          <w:tcPr>
            <w:tcW w:w="4952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LPS-induced spreading</w:t>
            </w:r>
          </w:p>
        </w:tc>
        <w:tc>
          <w:tcPr>
            <w:tcW w:w="2266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unknown</w:t>
            </w:r>
          </w:p>
        </w:tc>
      </w:tr>
      <w:tr w:rsidR="00DD6AA9" w:rsidRPr="00DD6AA9" w:rsidTr="00DD6AA9">
        <w:trPr>
          <w:trHeight w:val="242"/>
        </w:trPr>
        <w:tc>
          <w:tcPr>
            <w:tcW w:w="1048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Cd81</w:t>
            </w:r>
          </w:p>
        </w:tc>
        <w:tc>
          <w:tcPr>
            <w:tcW w:w="1197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191</w:t>
            </w:r>
          </w:p>
        </w:tc>
        <w:tc>
          <w:tcPr>
            <w:tcW w:w="4952" w:type="dxa"/>
            <w:hideMark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Inhibition of motility/MMP release</w:t>
            </w:r>
          </w:p>
        </w:tc>
        <w:tc>
          <w:tcPr>
            <w:tcW w:w="2266" w:type="dxa"/>
            <w:hideMark/>
          </w:tcPr>
          <w:p w:rsidR="00DD6AA9" w:rsidRPr="00DD6AA9" w:rsidRDefault="00AC4669" w:rsidP="00DD6A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ubiquitous</w:t>
            </w:r>
          </w:p>
        </w:tc>
      </w:tr>
      <w:tr w:rsidR="00BB6156" w:rsidRPr="00DD6AA9" w:rsidTr="00DD6AA9">
        <w:tc>
          <w:tcPr>
            <w:tcW w:w="1048" w:type="dxa"/>
          </w:tcPr>
          <w:p w:rsidR="00BB6156" w:rsidRPr="00DD6AA9" w:rsidRDefault="00BB6156" w:rsidP="00DD6AA9">
            <w:pPr>
              <w:rPr>
                <w:rFonts w:ascii="Arial" w:hAnsi="Arial" w:cs="Arial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1197" w:type="dxa"/>
          </w:tcPr>
          <w:p w:rsidR="00BB6156" w:rsidRPr="00DD6AA9" w:rsidRDefault="00BB6156" w:rsidP="00DD6AA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52" w:type="dxa"/>
          </w:tcPr>
          <w:p w:rsidR="00BB6156" w:rsidRPr="00DD6AA9" w:rsidRDefault="00BB6156" w:rsidP="00DD6AA9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6" w:type="dxa"/>
          </w:tcPr>
          <w:p w:rsidR="00BB6156" w:rsidRPr="00DD6AA9" w:rsidRDefault="00BB6156" w:rsidP="00DD6AA9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6AA9" w:rsidRPr="00DD6AA9" w:rsidTr="00DD6AA9">
        <w:tc>
          <w:tcPr>
            <w:tcW w:w="1048" w:type="dxa"/>
            <w:hideMark/>
          </w:tcPr>
          <w:p w:rsidR="00DD6AA9" w:rsidRPr="00AC4669" w:rsidRDefault="00DD6AA9" w:rsidP="00DD6AA9">
            <w:pPr>
              <w:rPr>
                <w:rFonts w:ascii="Arial" w:hAnsi="Arial" w:cs="Arial"/>
                <w:sz w:val="20"/>
                <w:szCs w:val="20"/>
              </w:rPr>
            </w:pPr>
            <w:r w:rsidRPr="00AC4669">
              <w:rPr>
                <w:rFonts w:ascii="Arial" w:hAnsi="Arial" w:cs="Arial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1197" w:type="dxa"/>
            <w:hideMark/>
          </w:tcPr>
          <w:p w:rsidR="00DD6AA9" w:rsidRPr="00AC4669" w:rsidRDefault="00DD6AA9" w:rsidP="00DD6AA9">
            <w:pPr>
              <w:rPr>
                <w:rFonts w:ascii="Arial" w:hAnsi="Arial" w:cs="Arial"/>
                <w:sz w:val="20"/>
                <w:szCs w:val="20"/>
              </w:rPr>
            </w:pPr>
            <w:r w:rsidRPr="00AC4669">
              <w:rPr>
                <w:rFonts w:ascii="Arial" w:hAnsi="Arial" w:cs="Arial"/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4952" w:type="dxa"/>
            <w:hideMark/>
          </w:tcPr>
          <w:p w:rsidR="00DD6AA9" w:rsidRPr="00AC4669" w:rsidRDefault="00DD6AA9" w:rsidP="00DD6AA9">
            <w:pPr>
              <w:rPr>
                <w:rFonts w:ascii="Arial" w:hAnsi="Arial" w:cs="Arial"/>
                <w:sz w:val="20"/>
                <w:szCs w:val="20"/>
              </w:rPr>
            </w:pPr>
            <w:r w:rsidRPr="00AC4669">
              <w:rPr>
                <w:rFonts w:ascii="Arial" w:hAnsi="Arial" w:cs="Arial"/>
                <w:b/>
                <w:bCs/>
                <w:sz w:val="20"/>
                <w:szCs w:val="20"/>
              </w:rPr>
              <w:t>Macrophage Role</w:t>
            </w:r>
          </w:p>
        </w:tc>
        <w:tc>
          <w:tcPr>
            <w:tcW w:w="2266" w:type="dxa"/>
            <w:hideMark/>
          </w:tcPr>
          <w:p w:rsidR="00DD6AA9" w:rsidRPr="00AC4669" w:rsidRDefault="00DD6AA9" w:rsidP="00DD6AA9">
            <w:pPr>
              <w:rPr>
                <w:rFonts w:ascii="Arial" w:hAnsi="Arial" w:cs="Arial"/>
                <w:sz w:val="20"/>
                <w:szCs w:val="20"/>
              </w:rPr>
            </w:pPr>
            <w:r w:rsidRPr="00AC4669">
              <w:rPr>
                <w:rFonts w:ascii="Arial" w:hAnsi="Arial" w:cs="Arial"/>
                <w:b/>
                <w:bCs/>
                <w:sz w:val="20"/>
                <w:szCs w:val="20"/>
              </w:rPr>
              <w:t>Expression in other cell types</w:t>
            </w:r>
          </w:p>
        </w:tc>
      </w:tr>
      <w:tr w:rsidR="00DD6AA9" w:rsidTr="00DD6AA9">
        <w:tc>
          <w:tcPr>
            <w:tcW w:w="1048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proofErr w:type="spellStart"/>
            <w:r w:rsidRPr="00DD6AA9">
              <w:rPr>
                <w:rFonts w:ascii="Arial" w:hAnsi="Arial" w:cs="Arial"/>
              </w:rPr>
              <w:t>Cfh</w:t>
            </w:r>
            <w:proofErr w:type="spellEnd"/>
          </w:p>
        </w:tc>
        <w:tc>
          <w:tcPr>
            <w:tcW w:w="1197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proofErr w:type="spellStart"/>
            <w:r w:rsidRPr="00DD6AA9">
              <w:rPr>
                <w:rFonts w:ascii="Arial" w:hAnsi="Arial" w:cs="Arial"/>
              </w:rPr>
              <w:t>1.35E</w:t>
            </w:r>
            <w:proofErr w:type="spellEnd"/>
            <w:r w:rsidRPr="00DD6AA9">
              <w:rPr>
                <w:rFonts w:ascii="Arial" w:hAnsi="Arial" w:cs="Arial"/>
              </w:rPr>
              <w:t>-08</w:t>
            </w:r>
          </w:p>
        </w:tc>
        <w:tc>
          <w:tcPr>
            <w:tcW w:w="4952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Complement activation; anti-inflammatory</w:t>
            </w:r>
          </w:p>
        </w:tc>
        <w:tc>
          <w:tcPr>
            <w:tcW w:w="2266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unknown</w:t>
            </w:r>
          </w:p>
        </w:tc>
      </w:tr>
      <w:tr w:rsidR="00DD6AA9" w:rsidTr="00DD6AA9">
        <w:tc>
          <w:tcPr>
            <w:tcW w:w="1048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Lilra5</w:t>
            </w:r>
          </w:p>
        </w:tc>
        <w:tc>
          <w:tcPr>
            <w:tcW w:w="1197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6.58E-08</w:t>
            </w:r>
          </w:p>
        </w:tc>
        <w:tc>
          <w:tcPr>
            <w:tcW w:w="4952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Induces cytokine release</w:t>
            </w:r>
          </w:p>
        </w:tc>
        <w:tc>
          <w:tcPr>
            <w:tcW w:w="2266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neutrophils</w:t>
            </w:r>
          </w:p>
        </w:tc>
      </w:tr>
      <w:tr w:rsidR="00DD6AA9" w:rsidTr="00DD6AA9">
        <w:tc>
          <w:tcPr>
            <w:tcW w:w="1048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Cd209f</w:t>
            </w:r>
          </w:p>
        </w:tc>
        <w:tc>
          <w:tcPr>
            <w:tcW w:w="1197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2.29E-07</w:t>
            </w:r>
          </w:p>
        </w:tc>
        <w:tc>
          <w:tcPr>
            <w:tcW w:w="4952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M2 marker</w:t>
            </w:r>
          </w:p>
        </w:tc>
        <w:tc>
          <w:tcPr>
            <w:tcW w:w="2266" w:type="dxa"/>
          </w:tcPr>
          <w:p w:rsidR="00DD6AA9" w:rsidRPr="00DD6AA9" w:rsidRDefault="00AC4669" w:rsidP="00DD6A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DD6AA9" w:rsidRPr="00DD6AA9">
              <w:rPr>
                <w:rFonts w:ascii="Arial" w:hAnsi="Arial" w:cs="Arial"/>
              </w:rPr>
              <w:t>endritic cells</w:t>
            </w:r>
          </w:p>
        </w:tc>
      </w:tr>
      <w:tr w:rsidR="00DD6AA9" w:rsidTr="00DD6AA9">
        <w:tc>
          <w:tcPr>
            <w:tcW w:w="1048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proofErr w:type="spellStart"/>
            <w:r w:rsidRPr="00DD6AA9">
              <w:rPr>
                <w:rFonts w:ascii="Arial" w:hAnsi="Arial" w:cs="Arial"/>
              </w:rPr>
              <w:t>Cmah</w:t>
            </w:r>
            <w:proofErr w:type="spellEnd"/>
          </w:p>
        </w:tc>
        <w:tc>
          <w:tcPr>
            <w:tcW w:w="1197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proofErr w:type="spellStart"/>
            <w:r w:rsidRPr="00DD6AA9">
              <w:rPr>
                <w:rFonts w:ascii="Arial" w:hAnsi="Arial" w:cs="Arial"/>
              </w:rPr>
              <w:t>1.89E</w:t>
            </w:r>
            <w:proofErr w:type="spellEnd"/>
            <w:r w:rsidRPr="00DD6AA9">
              <w:rPr>
                <w:rFonts w:ascii="Arial" w:hAnsi="Arial" w:cs="Arial"/>
              </w:rPr>
              <w:t>-06</w:t>
            </w:r>
          </w:p>
        </w:tc>
        <w:tc>
          <w:tcPr>
            <w:tcW w:w="4952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Sialic acid production; anti-inflammatory</w:t>
            </w:r>
          </w:p>
        </w:tc>
        <w:tc>
          <w:tcPr>
            <w:tcW w:w="2266" w:type="dxa"/>
          </w:tcPr>
          <w:p w:rsidR="00DD6AA9" w:rsidRPr="00DD6AA9" w:rsidRDefault="00AC4669" w:rsidP="00DD6A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ubiquitous</w:t>
            </w:r>
            <w:r w:rsidR="00DD6AA9" w:rsidRPr="00DD6AA9">
              <w:rPr>
                <w:rFonts w:ascii="Arial" w:hAnsi="Arial" w:cs="Arial"/>
              </w:rPr>
              <w:t xml:space="preserve"> </w:t>
            </w:r>
          </w:p>
        </w:tc>
      </w:tr>
      <w:tr w:rsidR="00DD6AA9" w:rsidTr="00DD6AA9">
        <w:tc>
          <w:tcPr>
            <w:tcW w:w="1048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Tln2</w:t>
            </w:r>
          </w:p>
        </w:tc>
        <w:tc>
          <w:tcPr>
            <w:tcW w:w="1197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6.08E-07</w:t>
            </w:r>
          </w:p>
        </w:tc>
        <w:tc>
          <w:tcPr>
            <w:tcW w:w="4952" w:type="dxa"/>
          </w:tcPr>
          <w:p w:rsidR="00DD6AA9" w:rsidRPr="00DD6AA9" w:rsidRDefault="00DD6AA9" w:rsidP="00DD6AA9">
            <w:pPr>
              <w:rPr>
                <w:rFonts w:ascii="Arial" w:hAnsi="Arial" w:cs="Arial"/>
              </w:rPr>
            </w:pPr>
            <w:r w:rsidRPr="00DD6AA9">
              <w:rPr>
                <w:rFonts w:ascii="Arial" w:hAnsi="Arial" w:cs="Arial"/>
              </w:rPr>
              <w:t>Inhibits ECM degradation</w:t>
            </w:r>
          </w:p>
        </w:tc>
        <w:tc>
          <w:tcPr>
            <w:tcW w:w="2266" w:type="dxa"/>
          </w:tcPr>
          <w:p w:rsidR="00DD6AA9" w:rsidRPr="00DD6AA9" w:rsidRDefault="00AC4669" w:rsidP="00DD6A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ubiquitous</w:t>
            </w:r>
          </w:p>
        </w:tc>
      </w:tr>
    </w:tbl>
    <w:p w:rsidR="00776D1E" w:rsidRDefault="00776D1E"/>
    <w:sectPr w:rsidR="00776D1E" w:rsidSect="003F2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trackRevisions/>
  <w:defaultTabStop w:val="720"/>
  <w:drawingGridHorizontalSpacing w:val="110"/>
  <w:displayHorizontalDrawingGridEvery w:val="2"/>
  <w:characterSpacingControl w:val="doNotCompress"/>
  <w:compat/>
  <w:rsids>
    <w:rsidRoot w:val="00F95ACA"/>
    <w:rsid w:val="003F2C7B"/>
    <w:rsid w:val="00776D1E"/>
    <w:rsid w:val="00AC4669"/>
    <w:rsid w:val="00BB6156"/>
    <w:rsid w:val="00DD6AA9"/>
    <w:rsid w:val="00EA55F7"/>
    <w:rsid w:val="00F95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5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6A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6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UMMC</Company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Mouton</dc:creator>
  <cp:keywords/>
  <dc:description/>
  <cp:lastModifiedBy>0013926</cp:lastModifiedBy>
  <cp:revision>5</cp:revision>
  <cp:lastPrinted>2018-03-19T18:42:00Z</cp:lastPrinted>
  <dcterms:created xsi:type="dcterms:W3CDTF">2018-03-19T15:56:00Z</dcterms:created>
  <dcterms:modified xsi:type="dcterms:W3CDTF">2018-05-29T08:59:00Z</dcterms:modified>
</cp:coreProperties>
</file>