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47" w:rsidRDefault="00557247" w:rsidP="00557247">
      <w:pPr>
        <w:spacing w:after="0" w:line="48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Supplemental Material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Figure 1. RNA-Seq Comparison of Day 3 post-MI Macrophages Cultured for 2 h versus 20 h. </w:t>
      </w:r>
      <w:r>
        <w:rPr>
          <w:rFonts w:ascii="Arial" w:hAnsi="Arial" w:cs="Arial"/>
          <w:bCs/>
        </w:rPr>
        <w:t>(a</w:t>
      </w:r>
      <w:r w:rsidRPr="00CA3DE3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Heat map analysis for differentially expressed genes (fold change&gt;2 and p&lt;0.05). Culturing for 20 h increased expression of 1522 genes and decreased 1947 genes compared to 2 h incubation. (b) Top 5 biological processes and combined scores for upregulated and downregulated genes in </w:t>
      </w:r>
      <w:proofErr w:type="spellStart"/>
      <w:r>
        <w:rPr>
          <w:rFonts w:ascii="Arial" w:hAnsi="Arial" w:cs="Arial"/>
          <w:bCs/>
        </w:rPr>
        <w:t>EnrichR</w:t>
      </w:r>
      <w:proofErr w:type="spellEnd"/>
      <w:r>
        <w:rPr>
          <w:rFonts w:ascii="Arial" w:hAnsi="Arial" w:cs="Arial"/>
          <w:bCs/>
        </w:rPr>
        <w:t xml:space="preserve">. 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Supplemental Figure 2. Evidence</w:t>
      </w:r>
      <w:r w:rsidRPr="003B418C">
        <w:rPr>
          <w:rFonts w:ascii="Arial" w:hAnsi="Arial" w:cs="Arial"/>
          <w:b/>
          <w:bCs/>
        </w:rPr>
        <w:t xml:space="preserve"> of MI.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MI resulted in the expected decrease in infarct wall thickness, increase in LV dilation, and decrease in cardiac physiology at MI days 1, 3, and 7. (</w:t>
      </w:r>
      <w:proofErr w:type="gramStart"/>
      <w:r>
        <w:rPr>
          <w:rFonts w:ascii="Arial" w:hAnsi="Arial" w:cs="Arial"/>
          <w:bCs/>
        </w:rPr>
        <w:t>a</w:t>
      </w:r>
      <w:proofErr w:type="gramEnd"/>
      <w:r>
        <w:rPr>
          <w:rFonts w:ascii="Arial" w:hAnsi="Arial" w:cs="Arial"/>
          <w:bCs/>
        </w:rPr>
        <w:t xml:space="preserve">) 7-day survival.  (b) Infarct area calculated by LV infarct mass to total mass. MI areas at day 1, 3, and 7 were similar. (c) MI resulted in decreased infarct wall thickness at all days, (d) increased end-diastolic and (e) end-systolic dimensions at days 1 and 3 and further increased at day 7, and (f) decreased fractional shortening at all times. *p&lt;0.05 vs. day 0, #p&lt;0.05 vs. day 1, $p&lt;0.05 vs. day 3. 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Figure 3. </w:t>
      </w:r>
      <w:r w:rsidRPr="003B418C">
        <w:rPr>
          <w:rFonts w:ascii="Arial" w:hAnsi="Arial" w:cs="Arial"/>
          <w:b/>
          <w:bCs/>
        </w:rPr>
        <w:t xml:space="preserve">Cell Purity </w:t>
      </w:r>
      <w:r>
        <w:rPr>
          <w:rFonts w:ascii="Arial" w:hAnsi="Arial" w:cs="Arial"/>
          <w:b/>
          <w:bCs/>
        </w:rPr>
        <w:t xml:space="preserve">Assessment. </w:t>
      </w:r>
      <w:r>
        <w:rPr>
          <w:rFonts w:ascii="Arial" w:hAnsi="Arial" w:cs="Arial"/>
          <w:bCs/>
        </w:rPr>
        <w:t>Top: FPKM values for cardiac cell specific markers (macrophage, endothelial, fibroblast, lymphocyte, myocyte, and neutrophil) across the post-MI time course. Bottom: Magnification of the macrophage markers. *p&lt;0.05 vs. day 0, #p&lt;0.05 vs. day 1, $p&lt;0.05 vs. day 3.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Figure 4. M1 and M2 Markers. </w:t>
      </w:r>
      <w:r>
        <w:rPr>
          <w:rFonts w:ascii="Arial" w:hAnsi="Arial" w:cs="Arial"/>
          <w:bCs/>
        </w:rPr>
        <w:t>Expression values for common M1 and M2 macrophage polarization markers. *p&lt;0.05 vs. day 0, #p&lt;0.05 vs. day 1, $p&lt;0.05 vs. day 3.</w:t>
      </w:r>
    </w:p>
    <w:p w:rsidR="00557247" w:rsidRPr="00D97B59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Supplemental Figure 5. </w:t>
      </w:r>
      <w:r w:rsidRPr="003B418C">
        <w:rPr>
          <w:rFonts w:ascii="Arial" w:hAnsi="Arial" w:cs="Arial"/>
          <w:b/>
          <w:bCs/>
        </w:rPr>
        <w:t xml:space="preserve">RT-PCR Validation of RNA-Seq. </w:t>
      </w:r>
      <w:r>
        <w:rPr>
          <w:rFonts w:ascii="Arial" w:hAnsi="Arial" w:cs="Arial"/>
          <w:bCs/>
        </w:rPr>
        <w:t>(Left Column) RT-PCR, 2</w:t>
      </w:r>
      <w:r w:rsidRPr="00A2205D">
        <w:rPr>
          <w:rFonts w:ascii="Arial" w:hAnsi="Arial" w:cs="Arial"/>
          <w:bCs/>
          <w:vertAlign w:val="superscript"/>
        </w:rPr>
        <w:t>-</w:t>
      </w:r>
      <w:r w:rsidRPr="00A2205D">
        <w:rPr>
          <w:rFonts w:ascii="Symbol" w:hAnsi="Symbol" w:cs="Arial"/>
          <w:bCs/>
          <w:vertAlign w:val="superscript"/>
        </w:rPr>
        <w:t></w:t>
      </w:r>
      <w:r w:rsidRPr="00A2205D">
        <w:rPr>
          <w:rFonts w:ascii="Arial" w:hAnsi="Arial" w:cs="Arial"/>
          <w:bCs/>
          <w:vertAlign w:val="superscript"/>
        </w:rPr>
        <w:t>Ct</w:t>
      </w:r>
      <w:r>
        <w:rPr>
          <w:rFonts w:ascii="Arial" w:hAnsi="Arial" w:cs="Arial"/>
          <w:bCs/>
        </w:rPr>
        <w:t xml:space="preserve"> values. (Middle Column) FPKM values. (Right Column) Pearson’s correlation between 2</w:t>
      </w:r>
      <w:r w:rsidRPr="00A2205D">
        <w:rPr>
          <w:rFonts w:ascii="Arial" w:hAnsi="Arial" w:cs="Arial"/>
          <w:bCs/>
          <w:vertAlign w:val="superscript"/>
        </w:rPr>
        <w:t>-</w:t>
      </w:r>
      <w:r w:rsidRPr="00A2205D">
        <w:rPr>
          <w:rFonts w:ascii="Symbol" w:hAnsi="Symbol" w:cs="Arial"/>
          <w:bCs/>
          <w:vertAlign w:val="superscript"/>
        </w:rPr>
        <w:t></w:t>
      </w:r>
      <w:r w:rsidRPr="00A2205D">
        <w:rPr>
          <w:rFonts w:ascii="Arial" w:hAnsi="Arial" w:cs="Arial"/>
          <w:bCs/>
          <w:vertAlign w:val="superscript"/>
        </w:rPr>
        <w:t>Ct</w:t>
      </w:r>
      <w:r>
        <w:rPr>
          <w:rFonts w:ascii="Arial" w:hAnsi="Arial" w:cs="Arial"/>
          <w:bCs/>
        </w:rPr>
        <w:t xml:space="preserve"> values and FPKM values. *p&lt;0.05 vs. day 0, #p&lt;0.05 vs. day 1, $p&lt;0.05 vs. day 3.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Figure 6. </w:t>
      </w:r>
      <w:r w:rsidRPr="003B418C">
        <w:rPr>
          <w:rFonts w:ascii="Arial" w:hAnsi="Arial" w:cs="Arial"/>
          <w:b/>
          <w:bCs/>
        </w:rPr>
        <w:t>IPA Enrichment Analys</w:t>
      </w:r>
      <w:r>
        <w:rPr>
          <w:rFonts w:ascii="Arial" w:hAnsi="Arial" w:cs="Arial"/>
          <w:b/>
          <w:bCs/>
        </w:rPr>
        <w:t xml:space="preserve">es of Individual Post-MI Days. </w:t>
      </w:r>
      <w:r>
        <w:rPr>
          <w:rFonts w:ascii="Arial" w:hAnsi="Arial" w:cs="Arial"/>
          <w:bCs/>
        </w:rPr>
        <w:t xml:space="preserve">Upregulated and downregulated processes at post-MI day 1, 3, and 7. </w:t>
      </w:r>
    </w:p>
    <w:p w:rsidR="003319FF" w:rsidRDefault="003319FF" w:rsidP="00557247">
      <w:pPr>
        <w:spacing w:after="0" w:line="480" w:lineRule="auto"/>
        <w:rPr>
          <w:rFonts w:ascii="Arial" w:hAnsi="Arial" w:cs="Arial"/>
          <w:bCs/>
        </w:rPr>
      </w:pPr>
    </w:p>
    <w:p w:rsidR="003319FF" w:rsidRPr="003319FF" w:rsidRDefault="003319FF" w:rsidP="00557247">
      <w:pPr>
        <w:spacing w:after="0" w:line="480" w:lineRule="auto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Supplemental Figure 7. Genes Involved in Phagocytosis and Proliferation. </w:t>
      </w:r>
      <w:r w:rsidRPr="003319FF">
        <w:rPr>
          <w:rFonts w:ascii="Arial" w:hAnsi="Arial" w:cs="Arial"/>
          <w:bCs/>
          <w:color w:val="FF0000"/>
        </w:rPr>
        <w:t>*p&lt;0.05 vs. day 0, #p&lt;0.05 vs. day 1, $p&lt;0.05 vs. day 3.</w:t>
      </w:r>
    </w:p>
    <w:p w:rsidR="00557247" w:rsidRPr="00A2205D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Default="003319FF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Figure </w:t>
      </w:r>
      <w:r w:rsidRPr="00CA7DFC">
        <w:rPr>
          <w:rFonts w:ascii="Arial" w:hAnsi="Arial" w:cs="Arial"/>
          <w:b/>
          <w:bCs/>
          <w:color w:val="FF0000"/>
        </w:rPr>
        <w:t>8</w:t>
      </w:r>
      <w:r w:rsidR="00557247">
        <w:rPr>
          <w:rFonts w:ascii="Arial" w:hAnsi="Arial" w:cs="Arial"/>
          <w:b/>
          <w:bCs/>
        </w:rPr>
        <w:t xml:space="preserve">. Circadian Rhythm Genes. </w:t>
      </w:r>
      <w:r w:rsidR="00557247">
        <w:rPr>
          <w:rFonts w:ascii="Arial" w:hAnsi="Arial" w:cs="Arial"/>
          <w:bCs/>
        </w:rPr>
        <w:t>FPKM values of genes associated with circadian rhythm. *p&lt;0.05 vs. day 0, #p&lt;0.05 vs. day 1, $p&lt;0.05 vs. day 3.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Supplemental Table 1. </w:t>
      </w:r>
      <w:r w:rsidRPr="00A0215D">
        <w:rPr>
          <w:rFonts w:ascii="Arial" w:hAnsi="Arial" w:cs="Arial"/>
          <w:bCs/>
        </w:rPr>
        <w:t>FPKM</w:t>
      </w:r>
      <w:r>
        <w:rPr>
          <w:rFonts w:ascii="Arial" w:hAnsi="Arial" w:cs="Arial"/>
          <w:bCs/>
        </w:rPr>
        <w:t xml:space="preserve"> values for all 16,695 genes included in the dataset. </w:t>
      </w:r>
    </w:p>
    <w:p w:rsidR="00557247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Default="00557247" w:rsidP="00557247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Table 2</w:t>
      </w:r>
      <w:r w:rsidRPr="00A65F6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Extracellular matrix (</w:t>
      </w:r>
      <w:r>
        <w:rPr>
          <w:rFonts w:ascii="Arial" w:hAnsi="Arial" w:cs="Arial"/>
        </w:rPr>
        <w:t>ECM) Genes Upregulated and Downregulated at day 7.</w:t>
      </w:r>
    </w:p>
    <w:p w:rsidR="00557247" w:rsidRPr="00A65F67" w:rsidRDefault="00557247" w:rsidP="00557247">
      <w:pPr>
        <w:spacing w:after="0" w:line="480" w:lineRule="auto"/>
        <w:rPr>
          <w:rFonts w:ascii="Arial" w:hAnsi="Arial" w:cs="Arial"/>
          <w:b/>
          <w:bCs/>
        </w:rPr>
      </w:pPr>
    </w:p>
    <w:p w:rsidR="00557247" w:rsidRPr="000960AA" w:rsidRDefault="00557247" w:rsidP="00557247">
      <w:pPr>
        <w:spacing w:after="0" w:line="480" w:lineRule="auto"/>
        <w:rPr>
          <w:rFonts w:ascii="Arial" w:hAnsi="Arial"/>
        </w:rPr>
      </w:pPr>
      <w:r>
        <w:rPr>
          <w:rFonts w:ascii="Arial" w:hAnsi="Arial" w:cs="Arial"/>
          <w:b/>
          <w:bCs/>
        </w:rPr>
        <w:t>Supplemental Table 3</w:t>
      </w:r>
      <w:r w:rsidRPr="00A65F67">
        <w:rPr>
          <w:rFonts w:ascii="Arial" w:hAnsi="Arial" w:cs="Arial"/>
          <w:b/>
          <w:bCs/>
        </w:rPr>
        <w:t xml:space="preserve">. </w:t>
      </w:r>
      <w:r w:rsidRPr="00A0215D">
        <w:rPr>
          <w:rFonts w:ascii="Arial" w:hAnsi="Arial" w:cs="Arial"/>
          <w:bCs/>
        </w:rPr>
        <w:t>Day 0 macrophage markers</w:t>
      </w:r>
      <w:r>
        <w:rPr>
          <w:rFonts w:ascii="Arial" w:hAnsi="Arial" w:cs="Arial"/>
          <w:bCs/>
        </w:rPr>
        <w:t>.</w:t>
      </w:r>
    </w:p>
    <w:p w:rsidR="00905544" w:rsidRDefault="00905544">
      <w:bookmarkStart w:id="0" w:name="_GoBack"/>
      <w:bookmarkEnd w:id="0"/>
    </w:p>
    <w:sectPr w:rsidR="00905544" w:rsidSect="00B9540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977" w:rsidRDefault="00463977">
      <w:pPr>
        <w:spacing w:after="0" w:line="240" w:lineRule="auto"/>
      </w:pPr>
      <w:r>
        <w:separator/>
      </w:r>
    </w:p>
  </w:endnote>
  <w:endnote w:type="continuationSeparator" w:id="0">
    <w:p w:rsidR="00463977" w:rsidRDefault="0046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81132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D247D6" w:rsidRPr="0066532B" w:rsidRDefault="00997EFF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66532B">
          <w:rPr>
            <w:rFonts w:ascii="Arial" w:hAnsi="Arial" w:cs="Arial"/>
            <w:sz w:val="20"/>
            <w:szCs w:val="20"/>
          </w:rPr>
          <w:fldChar w:fldCharType="begin"/>
        </w:r>
        <w:r w:rsidR="00557247" w:rsidRPr="0066532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6532B">
          <w:rPr>
            <w:rFonts w:ascii="Arial" w:hAnsi="Arial" w:cs="Arial"/>
            <w:sz w:val="20"/>
            <w:szCs w:val="20"/>
          </w:rPr>
          <w:fldChar w:fldCharType="separate"/>
        </w:r>
        <w:r w:rsidR="00B95407">
          <w:rPr>
            <w:rFonts w:ascii="Arial" w:hAnsi="Arial" w:cs="Arial"/>
            <w:noProof/>
            <w:sz w:val="20"/>
            <w:szCs w:val="20"/>
          </w:rPr>
          <w:t>2</w:t>
        </w:r>
        <w:r w:rsidRPr="0066532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D247D6" w:rsidRDefault="00B954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977" w:rsidRDefault="00463977">
      <w:pPr>
        <w:spacing w:after="0" w:line="240" w:lineRule="auto"/>
      </w:pPr>
      <w:r>
        <w:separator/>
      </w:r>
    </w:p>
  </w:footnote>
  <w:footnote w:type="continuationSeparator" w:id="0">
    <w:p w:rsidR="00463977" w:rsidRDefault="0046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7D6" w:rsidRDefault="00B954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247"/>
    <w:rsid w:val="003319FF"/>
    <w:rsid w:val="00463977"/>
    <w:rsid w:val="00557247"/>
    <w:rsid w:val="00905544"/>
    <w:rsid w:val="00997EFF"/>
    <w:rsid w:val="00B95407"/>
    <w:rsid w:val="00CA7DFC"/>
    <w:rsid w:val="00F6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247"/>
  </w:style>
  <w:style w:type="paragraph" w:styleId="Footer">
    <w:name w:val="footer"/>
    <w:basedOn w:val="Normal"/>
    <w:link w:val="FooterChar"/>
    <w:uiPriority w:val="99"/>
    <w:unhideWhenUsed/>
    <w:rsid w:val="00557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 Lindsey</dc:creator>
  <cp:keywords/>
  <dc:description/>
  <cp:lastModifiedBy>0013926</cp:lastModifiedBy>
  <cp:revision>4</cp:revision>
  <dcterms:created xsi:type="dcterms:W3CDTF">2018-05-04T16:43:00Z</dcterms:created>
  <dcterms:modified xsi:type="dcterms:W3CDTF">2018-05-29T08:59:00Z</dcterms:modified>
</cp:coreProperties>
</file>