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071" w:rsidRPr="00CA6A7B" w:rsidRDefault="00AE6071" w:rsidP="00AE607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Supplemental Figures</w:t>
      </w:r>
    </w:p>
    <w:p w:rsidR="00AE6071" w:rsidRPr="00CA6A7B" w:rsidRDefault="00AE6071" w:rsidP="00AE6071">
      <w:pPr>
        <w:rPr>
          <w:sz w:val="20"/>
          <w:szCs w:val="20"/>
        </w:rPr>
      </w:pPr>
    </w:p>
    <w:p w:rsidR="00AE6071" w:rsidRPr="00CA6A7B" w:rsidRDefault="00AE6071" w:rsidP="00AE6071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86EDB51" wp14:editId="6FE06F7D">
            <wp:extent cx="5943600" cy="3411220"/>
            <wp:effectExtent l="0" t="0" r="0" b="5080"/>
            <wp:docPr id="5" name="Picture 5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rPr>
          <w:b/>
          <w:bCs/>
          <w:sz w:val="20"/>
          <w:szCs w:val="20"/>
        </w:rPr>
      </w:pPr>
    </w:p>
    <w:p w:rsidR="00AE6071" w:rsidRDefault="00AE6071" w:rsidP="00AE6071">
      <w:pPr>
        <w:rPr>
          <w:sz w:val="20"/>
          <w:szCs w:val="20"/>
        </w:rPr>
      </w:pPr>
      <w:r w:rsidRPr="00CA6A7B">
        <w:rPr>
          <w:b/>
          <w:bCs/>
          <w:sz w:val="20"/>
          <w:szCs w:val="20"/>
        </w:rPr>
        <w:t xml:space="preserve">Supplemental </w:t>
      </w:r>
      <w:r>
        <w:rPr>
          <w:b/>
          <w:bCs/>
          <w:sz w:val="20"/>
          <w:szCs w:val="20"/>
        </w:rPr>
        <w:t xml:space="preserve">Fig. </w:t>
      </w:r>
      <w:r w:rsidRPr="00CA6A7B">
        <w:rPr>
          <w:b/>
          <w:bCs/>
          <w:sz w:val="20"/>
          <w:szCs w:val="20"/>
        </w:rPr>
        <w:t>1 (</w:t>
      </w:r>
      <w:r>
        <w:rPr>
          <w:b/>
          <w:bCs/>
          <w:sz w:val="20"/>
          <w:szCs w:val="20"/>
        </w:rPr>
        <w:t>a</w:t>
      </w:r>
      <w:r w:rsidRPr="00CA6A7B">
        <w:rPr>
          <w:b/>
          <w:bCs/>
          <w:sz w:val="20"/>
          <w:szCs w:val="20"/>
        </w:rPr>
        <w:t xml:space="preserve">) </w:t>
      </w:r>
      <w:r w:rsidRPr="00CA6A7B">
        <w:rPr>
          <w:sz w:val="20"/>
          <w:szCs w:val="20"/>
        </w:rPr>
        <w:t xml:space="preserve">Representative western blot images </w:t>
      </w:r>
      <w:r w:rsidRPr="00CA6A7B">
        <w:rPr>
          <w:b/>
          <w:bCs/>
          <w:sz w:val="20"/>
          <w:szCs w:val="20"/>
        </w:rPr>
        <w:t xml:space="preserve">(top) </w:t>
      </w:r>
      <w:r w:rsidRPr="00CA6A7B">
        <w:rPr>
          <w:sz w:val="20"/>
          <w:szCs w:val="20"/>
        </w:rPr>
        <w:t xml:space="preserve">and quantification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of </w:t>
      </w:r>
      <w:r w:rsidRPr="009C6C01">
        <w:rPr>
          <w:rFonts w:ascii="Symbol" w:hAnsi="Symbol"/>
          <w:sz w:val="20"/>
          <w:szCs w:val="20"/>
        </w:rPr>
        <w:t></w:t>
      </w:r>
      <w:r w:rsidRPr="00CA6A7B">
        <w:rPr>
          <w:sz w:val="20"/>
          <w:szCs w:val="20"/>
        </w:rPr>
        <w:t>-</w:t>
      </w:r>
      <w:proofErr w:type="spellStart"/>
      <w:r w:rsidRPr="00CA6A7B">
        <w:rPr>
          <w:sz w:val="20"/>
          <w:szCs w:val="20"/>
        </w:rPr>
        <w:t>actinin</w:t>
      </w:r>
      <w:proofErr w:type="spellEnd"/>
      <w:r w:rsidRPr="00CA6A7B">
        <w:rPr>
          <w:sz w:val="20"/>
          <w:szCs w:val="20"/>
        </w:rPr>
        <w:t xml:space="preserve"> and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using whole cell lysates from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; the blots were </w:t>
      </w:r>
      <w:proofErr w:type="spellStart"/>
      <w:r w:rsidRPr="00CA6A7B">
        <w:rPr>
          <w:sz w:val="20"/>
          <w:szCs w:val="20"/>
        </w:rPr>
        <w:t>immunostained</w:t>
      </w:r>
      <w:proofErr w:type="spellEnd"/>
      <w:r w:rsidRPr="00CA6A7B">
        <w:rPr>
          <w:sz w:val="20"/>
          <w:szCs w:val="20"/>
        </w:rPr>
        <w:t xml:space="preserve"> using the same </w:t>
      </w:r>
      <w:r w:rsidRPr="009C6C01">
        <w:rPr>
          <w:rFonts w:ascii="Symbol" w:hAnsi="Symbol"/>
          <w:sz w:val="20"/>
          <w:szCs w:val="20"/>
        </w:rPr>
        <w:t></w:t>
      </w:r>
      <w:r w:rsidRPr="00CA6A7B">
        <w:rPr>
          <w:sz w:val="20"/>
          <w:szCs w:val="20"/>
        </w:rPr>
        <w:t>-</w:t>
      </w:r>
      <w:proofErr w:type="spellStart"/>
      <w:r w:rsidRPr="00CA6A7B">
        <w:rPr>
          <w:sz w:val="20"/>
          <w:szCs w:val="20"/>
        </w:rPr>
        <w:t>actinin</w:t>
      </w:r>
      <w:proofErr w:type="spellEnd"/>
      <w:r w:rsidRPr="00CA6A7B">
        <w:rPr>
          <w:sz w:val="20"/>
          <w:szCs w:val="20"/>
        </w:rPr>
        <w:t xml:space="preserve"> and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antibodies and concentration as used in Figure 1</w:t>
      </w:r>
      <w:r>
        <w:rPr>
          <w:sz w:val="20"/>
          <w:szCs w:val="20"/>
        </w:rPr>
        <w:t>e</w:t>
      </w:r>
      <w:r w:rsidRPr="00CA6A7B">
        <w:rPr>
          <w:sz w:val="20"/>
          <w:szCs w:val="20"/>
        </w:rPr>
        <w:t xml:space="preserve"> (N=3 rats, n=3 averaged-values from 2 WB technical lanes per rat).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b</w:t>
      </w:r>
      <w:r w:rsidRPr="00CA6A7B">
        <w:rPr>
          <w:b/>
          <w:bCs/>
          <w:sz w:val="20"/>
          <w:szCs w:val="20"/>
        </w:rPr>
        <w:t xml:space="preserve">) </w:t>
      </w:r>
      <w:r w:rsidRPr="00CA6A7B">
        <w:rPr>
          <w:sz w:val="20"/>
          <w:szCs w:val="20"/>
        </w:rPr>
        <w:t xml:space="preserve">Representative </w:t>
      </w:r>
      <w:proofErr w:type="spellStart"/>
      <w:r w:rsidRPr="00CA6A7B">
        <w:rPr>
          <w:sz w:val="20"/>
          <w:szCs w:val="20"/>
        </w:rPr>
        <w:t>immunofluorescent</w:t>
      </w:r>
      <w:proofErr w:type="spellEnd"/>
      <w:r w:rsidRPr="00CA6A7B">
        <w:rPr>
          <w:sz w:val="20"/>
          <w:szCs w:val="20"/>
        </w:rPr>
        <w:t xml:space="preserve"> images </w:t>
      </w:r>
      <w:r w:rsidRPr="00CA6A7B">
        <w:rPr>
          <w:b/>
          <w:bCs/>
          <w:sz w:val="20"/>
          <w:szCs w:val="20"/>
        </w:rPr>
        <w:t xml:space="preserve">(top) </w:t>
      </w:r>
      <w:r w:rsidRPr="00CA6A7B">
        <w:rPr>
          <w:sz w:val="20"/>
          <w:szCs w:val="20"/>
        </w:rPr>
        <w:t xml:space="preserve">and quantification of coverage area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for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in scramble </w:t>
      </w:r>
      <w:proofErr w:type="spellStart"/>
      <w:r w:rsidRPr="00CA6A7B">
        <w:rPr>
          <w:sz w:val="20"/>
          <w:szCs w:val="20"/>
        </w:rPr>
        <w:t>shRNA</w:t>
      </w:r>
      <w:proofErr w:type="spellEnd"/>
      <w:r w:rsidRPr="00CA6A7B">
        <w:rPr>
          <w:sz w:val="20"/>
          <w:szCs w:val="20"/>
        </w:rPr>
        <w:t xml:space="preserve"> (</w:t>
      </w:r>
      <w:proofErr w:type="spellStart"/>
      <w:r w:rsidRPr="00CA6A7B">
        <w:rPr>
          <w:sz w:val="20"/>
          <w:szCs w:val="20"/>
        </w:rPr>
        <w:t>Scrm</w:t>
      </w:r>
      <w:proofErr w:type="spellEnd"/>
      <w:r w:rsidRPr="00CA6A7B">
        <w:rPr>
          <w:sz w:val="20"/>
          <w:szCs w:val="20"/>
        </w:rPr>
        <w:t xml:space="preserve">) and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Knock-Down </w:t>
      </w:r>
      <w:proofErr w:type="spellStart"/>
      <w:r w:rsidRPr="00CA6A7B">
        <w:rPr>
          <w:sz w:val="20"/>
          <w:szCs w:val="20"/>
        </w:rPr>
        <w:t>shRNA</w:t>
      </w:r>
      <w:proofErr w:type="spellEnd"/>
      <w:r w:rsidRPr="00CA6A7B">
        <w:rPr>
          <w:sz w:val="20"/>
          <w:szCs w:val="20"/>
        </w:rPr>
        <w:t xml:space="preserve"> (Des KD)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(N=3 rats, n=~10 cells per rat).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c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Representative western blot </w:t>
      </w:r>
      <w:r w:rsidRPr="00CA6A7B">
        <w:rPr>
          <w:b/>
          <w:bCs/>
          <w:sz w:val="20"/>
          <w:szCs w:val="20"/>
        </w:rPr>
        <w:t>(top)</w:t>
      </w:r>
      <w:r w:rsidRPr="00CA6A7B">
        <w:rPr>
          <w:sz w:val="20"/>
          <w:szCs w:val="20"/>
        </w:rPr>
        <w:t xml:space="preserve"> and quantification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of </w:t>
      </w:r>
      <w:r w:rsidRPr="009C6C01">
        <w:rPr>
          <w:rFonts w:ascii="Symbol" w:hAnsi="Symbol"/>
          <w:sz w:val="20"/>
          <w:szCs w:val="20"/>
        </w:rPr>
        <w:t></w:t>
      </w:r>
      <w:r w:rsidRPr="00CA6A7B">
        <w:rPr>
          <w:sz w:val="20"/>
          <w:szCs w:val="20"/>
        </w:rPr>
        <w:t xml:space="preserve">-tubulin and GAPDH in free and cold-sensitive fractions from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infected with adenovirus containing </w:t>
      </w:r>
      <w:proofErr w:type="spellStart"/>
      <w:r w:rsidRPr="00CA6A7B">
        <w:rPr>
          <w:sz w:val="20"/>
          <w:szCs w:val="20"/>
        </w:rPr>
        <w:t>Scrm</w:t>
      </w:r>
      <w:proofErr w:type="spellEnd"/>
      <w:r w:rsidRPr="00CA6A7B">
        <w:rPr>
          <w:sz w:val="20"/>
          <w:szCs w:val="20"/>
        </w:rPr>
        <w:t xml:space="preserve"> and Des KD (N=3 rats, n=6 WB technical lanes). </w:t>
      </w:r>
      <w:r>
        <w:rPr>
          <w:sz w:val="20"/>
          <w:szCs w:val="20"/>
        </w:rPr>
        <w:t>The bar</w:t>
      </w:r>
      <w:r w:rsidRPr="00CA6A7B">
        <w:rPr>
          <w:sz w:val="20"/>
          <w:szCs w:val="20"/>
        </w:rPr>
        <w:t xml:space="preserve"> represents mean ±1 SEM; statistical significance </w:t>
      </w:r>
      <w:r>
        <w:rPr>
          <w:sz w:val="20"/>
          <w:szCs w:val="20"/>
        </w:rPr>
        <w:t xml:space="preserve">is </w:t>
      </w:r>
      <w:r w:rsidRPr="00CA6A7B">
        <w:rPr>
          <w:sz w:val="20"/>
          <w:szCs w:val="20"/>
        </w:rPr>
        <w:t>determined with Two-sample Student’s T-test.</w:t>
      </w:r>
    </w:p>
    <w:p w:rsidR="00AE6071" w:rsidRPr="00CA6A7B" w:rsidRDefault="00AE6071" w:rsidP="00AE6071">
      <w:pPr>
        <w:rPr>
          <w:sz w:val="20"/>
          <w:szCs w:val="20"/>
        </w:rPr>
      </w:pPr>
    </w:p>
    <w:p w:rsidR="00AE6071" w:rsidRPr="00CA6A7B" w:rsidRDefault="00AE6071" w:rsidP="00AE6071">
      <w:pPr>
        <w:rPr>
          <w:b/>
          <w:bCs/>
          <w:sz w:val="20"/>
          <w:szCs w:val="20"/>
        </w:rPr>
      </w:pPr>
      <w:r w:rsidRPr="00120D55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1022100A" wp14:editId="05CE0C67">
            <wp:extent cx="5943600" cy="5342890"/>
            <wp:effectExtent l="0" t="0" r="0" b="3810"/>
            <wp:docPr id="2" name="Picture 2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ime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rPr>
          <w:b/>
          <w:bCs/>
          <w:sz w:val="20"/>
          <w:szCs w:val="20"/>
        </w:rPr>
      </w:pPr>
    </w:p>
    <w:p w:rsidR="00AE6071" w:rsidRDefault="00AE6071" w:rsidP="00AE6071">
      <w:pPr>
        <w:rPr>
          <w:sz w:val="20"/>
          <w:szCs w:val="20"/>
        </w:rPr>
      </w:pPr>
      <w:r w:rsidRPr="00CA6A7B">
        <w:rPr>
          <w:b/>
          <w:bCs/>
          <w:sz w:val="20"/>
          <w:szCs w:val="20"/>
        </w:rPr>
        <w:t xml:space="preserve">Supplemental </w:t>
      </w:r>
      <w:r>
        <w:rPr>
          <w:b/>
          <w:bCs/>
          <w:sz w:val="20"/>
          <w:szCs w:val="20"/>
        </w:rPr>
        <w:t>Fig.</w:t>
      </w:r>
      <w:r w:rsidRPr="00CA6A7B">
        <w:rPr>
          <w:b/>
          <w:bCs/>
          <w:sz w:val="20"/>
          <w:szCs w:val="20"/>
        </w:rPr>
        <w:t xml:space="preserve"> 2 (</w:t>
      </w:r>
      <w:r>
        <w:rPr>
          <w:b/>
          <w:bCs/>
          <w:sz w:val="20"/>
          <w:szCs w:val="20"/>
        </w:rPr>
        <w:t>a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</w:t>
      </w:r>
      <w:r w:rsidRPr="00106620">
        <w:rPr>
          <w:sz w:val="20"/>
          <w:szCs w:val="20"/>
        </w:rPr>
        <w:t>Representative electron microscopy im</w:t>
      </w:r>
      <w:bookmarkStart w:id="0" w:name="_GoBack"/>
      <w:bookmarkEnd w:id="0"/>
      <w:r w:rsidRPr="00106620">
        <w:rPr>
          <w:sz w:val="20"/>
          <w:szCs w:val="20"/>
        </w:rPr>
        <w:t>ages of isolated</w:t>
      </w:r>
      <w:r w:rsidRPr="00CA6A7B">
        <w:rPr>
          <w:sz w:val="20"/>
          <w:szCs w:val="20"/>
        </w:rPr>
        <w:t xml:space="preserve">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with or without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knockdown.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b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</w:t>
      </w:r>
      <w:r>
        <w:rPr>
          <w:sz w:val="20"/>
          <w:szCs w:val="20"/>
        </w:rPr>
        <w:t>Histograms</w:t>
      </w:r>
      <w:r w:rsidRPr="00CA6A7B">
        <w:rPr>
          <w:sz w:val="20"/>
          <w:szCs w:val="20"/>
        </w:rPr>
        <w:t xml:space="preserve"> of angle and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c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distance between adjacent Z-discs with or without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knockdown (N=cells, n=events).</w:t>
      </w:r>
    </w:p>
    <w:p w:rsidR="00AE6071" w:rsidRPr="00CA6A7B" w:rsidRDefault="00AE6071" w:rsidP="00AE6071">
      <w:pPr>
        <w:rPr>
          <w:sz w:val="20"/>
          <w:szCs w:val="20"/>
        </w:rPr>
      </w:pPr>
    </w:p>
    <w:p w:rsidR="00AE6071" w:rsidRPr="00CA6A7B" w:rsidRDefault="00AE6071" w:rsidP="00AE6071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4CBE8ACF" wp14:editId="44DFF44D">
            <wp:extent cx="5584699" cy="8229600"/>
            <wp:effectExtent l="0" t="0" r="3810" b="0"/>
            <wp:docPr id="15" name="Picture 15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chart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5"/>
                    <a:stretch/>
                  </pic:blipFill>
                  <pic:spPr bwMode="auto">
                    <a:xfrm>
                      <a:off x="0" y="0"/>
                      <a:ext cx="5584699" cy="822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rPr>
          <w:b/>
          <w:bCs/>
          <w:sz w:val="20"/>
          <w:szCs w:val="20"/>
        </w:rPr>
      </w:pPr>
    </w:p>
    <w:p w:rsidR="00AE6071" w:rsidRPr="00CA6A7B" w:rsidRDefault="00AE6071" w:rsidP="00AE6071">
      <w:pPr>
        <w:rPr>
          <w:sz w:val="20"/>
          <w:szCs w:val="20"/>
          <w:lang w:eastAsia="zh-CN"/>
        </w:rPr>
      </w:pPr>
      <w:r w:rsidRPr="00CA6A7B">
        <w:rPr>
          <w:b/>
          <w:bCs/>
          <w:sz w:val="20"/>
          <w:szCs w:val="20"/>
        </w:rPr>
        <w:t xml:space="preserve">Supplemental </w:t>
      </w:r>
      <w:r>
        <w:rPr>
          <w:b/>
          <w:bCs/>
          <w:sz w:val="20"/>
          <w:szCs w:val="20"/>
        </w:rPr>
        <w:t xml:space="preserve">Fig. </w:t>
      </w:r>
      <w:r w:rsidRPr="00CA6A7B">
        <w:rPr>
          <w:b/>
          <w:bCs/>
          <w:sz w:val="20"/>
          <w:szCs w:val="20"/>
        </w:rPr>
        <w:t>3 (</w:t>
      </w:r>
      <w:r>
        <w:rPr>
          <w:b/>
          <w:bCs/>
          <w:sz w:val="20"/>
          <w:szCs w:val="20"/>
        </w:rPr>
        <w:t>a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</w:t>
      </w:r>
      <w:proofErr w:type="spellStart"/>
      <w:r w:rsidRPr="00CA6A7B">
        <w:rPr>
          <w:sz w:val="20"/>
          <w:szCs w:val="20"/>
        </w:rPr>
        <w:t>Nanoindentation</w:t>
      </w:r>
      <w:proofErr w:type="spellEnd"/>
      <w:r w:rsidRPr="00CA6A7B">
        <w:rPr>
          <w:sz w:val="20"/>
          <w:szCs w:val="20"/>
        </w:rPr>
        <w:t xml:space="preserve"> measurement of </w:t>
      </w:r>
      <w:proofErr w:type="spellStart"/>
      <w:r w:rsidRPr="00CA6A7B">
        <w:rPr>
          <w:sz w:val="20"/>
          <w:szCs w:val="20"/>
        </w:rPr>
        <w:t>cardiomyocyte</w:t>
      </w:r>
      <w:proofErr w:type="spellEnd"/>
      <w:r w:rsidRPr="00CA6A7B">
        <w:rPr>
          <w:sz w:val="20"/>
          <w:szCs w:val="20"/>
        </w:rPr>
        <w:t xml:space="preserve"> viscoelasticity displayed as stiffness (elastic modulus) as a function of probe indentation velocity with or without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KD.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b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Quantification of rate-dependent (viscoelastic) and independent (elastic) stiffness; </w:t>
      </w:r>
      <w:r>
        <w:rPr>
          <w:sz w:val="20"/>
          <w:szCs w:val="20"/>
        </w:rPr>
        <w:t xml:space="preserve">the </w:t>
      </w:r>
      <w:r w:rsidRPr="00CA6A7B">
        <w:rPr>
          <w:sz w:val="20"/>
          <w:szCs w:val="20"/>
        </w:rPr>
        <w:t>height of bar graphs denotes mean and error bar ±1 SE.</w:t>
      </w:r>
      <w:r w:rsidRPr="00CA6A7B">
        <w:rPr>
          <w:b/>
          <w:bCs/>
          <w:sz w:val="20"/>
          <w:szCs w:val="20"/>
        </w:rPr>
        <w:t xml:space="preserve"> (</w:t>
      </w:r>
      <w:r>
        <w:rPr>
          <w:b/>
          <w:bCs/>
          <w:sz w:val="20"/>
          <w:szCs w:val="20"/>
        </w:rPr>
        <w:t>c</w:t>
      </w:r>
      <w:r w:rsidRPr="00CA6A7B">
        <w:rPr>
          <w:b/>
          <w:bCs/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CA6A7B">
        <w:rPr>
          <w:sz w:val="20"/>
          <w:szCs w:val="20"/>
        </w:rPr>
        <w:t xml:space="preserve">Representative images of microtubules in a </w:t>
      </w:r>
      <w:proofErr w:type="spellStart"/>
      <w:r w:rsidRPr="00CA6A7B">
        <w:rPr>
          <w:sz w:val="20"/>
          <w:szCs w:val="20"/>
        </w:rPr>
        <w:t>cardiomyocyte</w:t>
      </w:r>
      <w:proofErr w:type="spellEnd"/>
      <w:r w:rsidRPr="00CA6A7B">
        <w:rPr>
          <w:sz w:val="20"/>
          <w:szCs w:val="20"/>
        </w:rPr>
        <w:t xml:space="preserve"> at rest </w:t>
      </w:r>
      <w:r w:rsidRPr="00CA6A7B">
        <w:rPr>
          <w:b/>
          <w:bCs/>
          <w:sz w:val="20"/>
          <w:szCs w:val="20"/>
        </w:rPr>
        <w:t>(top)</w:t>
      </w:r>
      <w:r w:rsidRPr="00CA6A7B">
        <w:rPr>
          <w:sz w:val="20"/>
          <w:szCs w:val="20"/>
        </w:rPr>
        <w:t xml:space="preserve"> and the peak of contraction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with or without </w:t>
      </w:r>
      <w:proofErr w:type="spellStart"/>
      <w:r w:rsidRPr="00CA6A7B">
        <w:rPr>
          <w:sz w:val="20"/>
          <w:szCs w:val="20"/>
        </w:rPr>
        <w:t>desmin</w:t>
      </w:r>
      <w:proofErr w:type="spellEnd"/>
      <w:r w:rsidRPr="00CA6A7B">
        <w:rPr>
          <w:sz w:val="20"/>
          <w:szCs w:val="20"/>
        </w:rPr>
        <w:t xml:space="preserve"> KD.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d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Quantification of microtubule buckle amplitude; </w:t>
      </w:r>
      <w:r>
        <w:rPr>
          <w:sz w:val="20"/>
          <w:szCs w:val="20"/>
        </w:rPr>
        <w:t xml:space="preserve">the </w:t>
      </w:r>
      <w:r w:rsidRPr="00CA6A7B">
        <w:rPr>
          <w:sz w:val="20"/>
          <w:szCs w:val="20"/>
        </w:rPr>
        <w:t xml:space="preserve">bar represents mean ± 1 SEM (n=cells).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e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Histogram of </w:t>
      </w:r>
      <w:r>
        <w:rPr>
          <w:sz w:val="20"/>
          <w:szCs w:val="20"/>
        </w:rPr>
        <w:t xml:space="preserve">the </w:t>
      </w:r>
      <w:r w:rsidRPr="00CA6A7B">
        <w:rPr>
          <w:sz w:val="20"/>
          <w:szCs w:val="20"/>
        </w:rPr>
        <w:t xml:space="preserve">wavelength distribution of individual microtubule buckles.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f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</w:t>
      </w:r>
      <w:proofErr w:type="gramStart"/>
      <w:r w:rsidRPr="00CA6A7B">
        <w:rPr>
          <w:sz w:val="20"/>
          <w:szCs w:val="20"/>
        </w:rPr>
        <w:t>distribution</w:t>
      </w:r>
      <w:proofErr w:type="gramEnd"/>
      <w:r w:rsidRPr="00CA6A7B">
        <w:rPr>
          <w:sz w:val="20"/>
          <w:szCs w:val="20"/>
        </w:rPr>
        <w:t xml:space="preserve"> difference (</w:t>
      </w:r>
      <w:r>
        <w:rPr>
          <w:sz w:val="20"/>
          <w:szCs w:val="20"/>
        </w:rPr>
        <w:t>S</w:t>
      </w:r>
      <w:r w:rsidRPr="00CA6A7B">
        <w:rPr>
          <w:sz w:val="20"/>
          <w:szCs w:val="20"/>
        </w:rPr>
        <w:t>cram – des KD from E).</w:t>
      </w:r>
      <w:r>
        <w:rPr>
          <w:sz w:val="20"/>
          <w:szCs w:val="20"/>
        </w:rPr>
        <w:t xml:space="preserve"> </w:t>
      </w:r>
      <w:r w:rsidRPr="00CA6A7B">
        <w:rPr>
          <w:sz w:val="20"/>
          <w:szCs w:val="20"/>
        </w:rPr>
        <w:t xml:space="preserve">Statistical significance </w:t>
      </w:r>
      <w:r>
        <w:rPr>
          <w:sz w:val="20"/>
          <w:szCs w:val="20"/>
        </w:rPr>
        <w:t xml:space="preserve">was </w:t>
      </w:r>
      <w:r w:rsidRPr="00CA6A7B">
        <w:rPr>
          <w:sz w:val="20"/>
          <w:szCs w:val="20"/>
        </w:rPr>
        <w:t>determined using Two-sample Student’s T-test.</w:t>
      </w:r>
    </w:p>
    <w:p w:rsidR="00AE6071" w:rsidRPr="00CA6A7B" w:rsidRDefault="00AE6071" w:rsidP="00AE607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AE6071" w:rsidRDefault="00AE6071" w:rsidP="00AE6071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5EAC044A" wp14:editId="082D6E51">
            <wp:extent cx="5943600" cy="4991100"/>
            <wp:effectExtent l="0" t="0" r="0" b="0"/>
            <wp:docPr id="16" name="Picture 1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rPr>
          <w:b/>
          <w:bCs/>
          <w:sz w:val="20"/>
          <w:szCs w:val="20"/>
        </w:rPr>
      </w:pPr>
    </w:p>
    <w:p w:rsidR="00AE6071" w:rsidRPr="00CA6A7B" w:rsidRDefault="00AE6071" w:rsidP="00AE6071">
      <w:pPr>
        <w:rPr>
          <w:sz w:val="20"/>
          <w:szCs w:val="20"/>
        </w:rPr>
      </w:pPr>
      <w:r w:rsidRPr="00CA6A7B">
        <w:rPr>
          <w:b/>
          <w:bCs/>
          <w:sz w:val="20"/>
          <w:szCs w:val="20"/>
        </w:rPr>
        <w:t xml:space="preserve">Supplemental </w:t>
      </w:r>
      <w:r>
        <w:rPr>
          <w:b/>
          <w:bCs/>
          <w:sz w:val="20"/>
          <w:szCs w:val="20"/>
        </w:rPr>
        <w:t>Fig.</w:t>
      </w:r>
      <w:r w:rsidRPr="00CA6A7B">
        <w:rPr>
          <w:b/>
          <w:bCs/>
          <w:sz w:val="20"/>
          <w:szCs w:val="20"/>
        </w:rPr>
        <w:t xml:space="preserve"> 4 (</w:t>
      </w:r>
      <w:r>
        <w:rPr>
          <w:b/>
          <w:bCs/>
          <w:sz w:val="20"/>
          <w:szCs w:val="20"/>
        </w:rPr>
        <w:t>a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Representative western blot </w:t>
      </w:r>
      <w:r w:rsidRPr="00CA6A7B">
        <w:rPr>
          <w:b/>
          <w:bCs/>
          <w:sz w:val="20"/>
          <w:szCs w:val="20"/>
        </w:rPr>
        <w:t>(top)</w:t>
      </w:r>
      <w:r w:rsidRPr="00CA6A7B">
        <w:rPr>
          <w:sz w:val="20"/>
          <w:szCs w:val="20"/>
        </w:rPr>
        <w:t xml:space="preserve"> and quantification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of a-tubulin in free and cold-sensitive fractions from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infected with null, TTL, or E331Q adenovirus (N=4 rats, n=8 WB technical lanes).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b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Representative western blot </w:t>
      </w:r>
      <w:r w:rsidRPr="00CA6A7B">
        <w:rPr>
          <w:b/>
          <w:bCs/>
          <w:sz w:val="20"/>
          <w:szCs w:val="20"/>
        </w:rPr>
        <w:t>(top)</w:t>
      </w:r>
      <w:r w:rsidRPr="00CA6A7B">
        <w:rPr>
          <w:sz w:val="20"/>
          <w:szCs w:val="20"/>
        </w:rPr>
        <w:t xml:space="preserve"> and quantification </w:t>
      </w:r>
      <w:r w:rsidRPr="00CA6A7B">
        <w:rPr>
          <w:b/>
          <w:bCs/>
          <w:sz w:val="20"/>
          <w:szCs w:val="20"/>
        </w:rPr>
        <w:t>(bottom)</w:t>
      </w:r>
      <w:r w:rsidRPr="00CA6A7B">
        <w:rPr>
          <w:sz w:val="20"/>
          <w:szCs w:val="20"/>
        </w:rPr>
        <w:t xml:space="preserve"> of </w:t>
      </w:r>
      <w:r w:rsidRPr="009C6C01">
        <w:rPr>
          <w:rFonts w:ascii="Symbol" w:hAnsi="Symbol"/>
          <w:sz w:val="20"/>
          <w:szCs w:val="20"/>
        </w:rPr>
        <w:t></w:t>
      </w:r>
      <w:r w:rsidRPr="00CA6A7B">
        <w:rPr>
          <w:sz w:val="20"/>
          <w:szCs w:val="20"/>
        </w:rPr>
        <w:t xml:space="preserve">-tubulin and acetyl tubulin in free and cold-sensitive fractions from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infected with either null, HDAC, or ATAT1 adenovirus, or treated with DMSO or </w:t>
      </w:r>
      <w:proofErr w:type="spellStart"/>
      <w:r w:rsidRPr="00CA6A7B">
        <w:rPr>
          <w:sz w:val="20"/>
          <w:szCs w:val="20"/>
        </w:rPr>
        <w:t>TubA</w:t>
      </w:r>
      <w:proofErr w:type="spellEnd"/>
      <w:r w:rsidRPr="00CA6A7B">
        <w:rPr>
          <w:sz w:val="20"/>
          <w:szCs w:val="20"/>
        </w:rPr>
        <w:t xml:space="preserve"> (N=3 rats, n=6 WB technical lanes).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c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Background </w:t>
      </w:r>
      <w:r w:rsidRPr="00CA6A7B">
        <w:rPr>
          <w:b/>
          <w:bCs/>
          <w:sz w:val="20"/>
          <w:szCs w:val="20"/>
        </w:rPr>
        <w:t>(left)</w:t>
      </w:r>
      <w:r w:rsidRPr="00CA6A7B">
        <w:rPr>
          <w:sz w:val="20"/>
          <w:szCs w:val="20"/>
        </w:rPr>
        <w:t xml:space="preserve"> </w:t>
      </w:r>
      <w:r>
        <w:rPr>
          <w:sz w:val="20"/>
          <w:szCs w:val="20"/>
        </w:rPr>
        <w:t>EB3-GFP</w:t>
      </w:r>
      <w:r w:rsidRPr="00CA6A7B">
        <w:rPr>
          <w:sz w:val="20"/>
          <w:szCs w:val="20"/>
        </w:rPr>
        <w:t xml:space="preserve"> fluorescence intensity, EB3 tip fluorescence intensity </w:t>
      </w:r>
      <w:r w:rsidRPr="00CA6A7B">
        <w:rPr>
          <w:b/>
          <w:bCs/>
          <w:sz w:val="20"/>
          <w:szCs w:val="20"/>
        </w:rPr>
        <w:t>(middle)</w:t>
      </w:r>
      <w:r w:rsidRPr="00CA6A7B">
        <w:rPr>
          <w:sz w:val="20"/>
          <w:szCs w:val="20"/>
        </w:rPr>
        <w:t xml:space="preserve">, and the ratio of EB3 tip fluorescence intensity to microtubule EB3 intensity </w:t>
      </w:r>
      <w:r w:rsidRPr="00CA6A7B">
        <w:rPr>
          <w:b/>
          <w:bCs/>
          <w:sz w:val="20"/>
          <w:szCs w:val="20"/>
        </w:rPr>
        <w:t>(right)</w:t>
      </w:r>
      <w:r w:rsidRPr="00CA6A7B">
        <w:rPr>
          <w:sz w:val="20"/>
          <w:szCs w:val="20"/>
        </w:rPr>
        <w:t xml:space="preserve"> in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co-infected with </w:t>
      </w:r>
      <w:r>
        <w:rPr>
          <w:sz w:val="20"/>
          <w:szCs w:val="20"/>
        </w:rPr>
        <w:t>EB3-GFP</w:t>
      </w:r>
      <w:r w:rsidRPr="00CA6A7B">
        <w:rPr>
          <w:sz w:val="20"/>
          <w:szCs w:val="20"/>
        </w:rPr>
        <w:t xml:space="preserve"> and either Null, TTL, or E331Q adenoviruses. </w:t>
      </w:r>
      <w:r>
        <w:rPr>
          <w:sz w:val="20"/>
          <w:szCs w:val="20"/>
        </w:rPr>
        <w:t>The bar</w:t>
      </w:r>
      <w:r w:rsidRPr="00CA6A7B">
        <w:rPr>
          <w:sz w:val="20"/>
          <w:szCs w:val="20"/>
        </w:rPr>
        <w:t xml:space="preserve"> represents mean ± 1 SEM; statistical significance </w:t>
      </w:r>
      <w:r>
        <w:rPr>
          <w:sz w:val="20"/>
          <w:szCs w:val="20"/>
        </w:rPr>
        <w:t xml:space="preserve">was </w:t>
      </w:r>
      <w:r w:rsidRPr="00CA6A7B">
        <w:rPr>
          <w:sz w:val="20"/>
          <w:szCs w:val="20"/>
        </w:rPr>
        <w:t xml:space="preserve">determined using </w:t>
      </w:r>
      <w:r>
        <w:rPr>
          <w:sz w:val="20"/>
          <w:szCs w:val="20"/>
        </w:rPr>
        <w:t>one-way</w:t>
      </w:r>
      <w:r w:rsidRPr="00CA6A7B">
        <w:rPr>
          <w:sz w:val="20"/>
          <w:szCs w:val="20"/>
        </w:rPr>
        <w:t xml:space="preserve"> ANOVA with </w:t>
      </w:r>
      <w:r w:rsidRPr="00106620">
        <w:rPr>
          <w:sz w:val="20"/>
          <w:szCs w:val="20"/>
        </w:rPr>
        <w:t>post hoc test</w:t>
      </w:r>
      <w:r w:rsidRPr="00CA6A7B">
        <w:rPr>
          <w:sz w:val="20"/>
          <w:szCs w:val="20"/>
        </w:rPr>
        <w:t xml:space="preserve">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d</w:t>
      </w:r>
      <w:r w:rsidRPr="00CA6A7B">
        <w:rPr>
          <w:b/>
          <w:bCs/>
          <w:sz w:val="20"/>
          <w:szCs w:val="20"/>
        </w:rPr>
        <w:t xml:space="preserve">) </w:t>
      </w:r>
      <w:r w:rsidRPr="00CA6A7B">
        <w:rPr>
          <w:sz w:val="20"/>
          <w:szCs w:val="20"/>
        </w:rPr>
        <w:t xml:space="preserve">To reduce levels of </w:t>
      </w:r>
      <w:proofErr w:type="spellStart"/>
      <w:r w:rsidRPr="00CA6A7B">
        <w:rPr>
          <w:sz w:val="20"/>
          <w:szCs w:val="20"/>
        </w:rPr>
        <w:t>detyrosination</w:t>
      </w:r>
      <w:proofErr w:type="spellEnd"/>
      <w:r w:rsidRPr="00CA6A7B">
        <w:rPr>
          <w:sz w:val="20"/>
          <w:szCs w:val="20"/>
        </w:rPr>
        <w:t xml:space="preserve"> in this study we relied on overexpression of TTL, which is known to associate with the free </w:t>
      </w:r>
      <w:r w:rsidRPr="00CA6A7B">
        <w:rPr>
          <w:sz w:val="20"/>
          <w:szCs w:val="20"/>
        </w:rPr>
        <w:sym w:font="Symbol" w:char="F061"/>
      </w:r>
      <w:r w:rsidRPr="00CA6A7B">
        <w:rPr>
          <w:sz w:val="20"/>
          <w:szCs w:val="20"/>
        </w:rPr>
        <w:t>/</w:t>
      </w:r>
      <w:r w:rsidRPr="00CA6A7B">
        <w:rPr>
          <w:sz w:val="20"/>
          <w:szCs w:val="20"/>
        </w:rPr>
        <w:sym w:font="Symbol" w:char="F062"/>
      </w:r>
      <w:r w:rsidRPr="00CA6A7B">
        <w:rPr>
          <w:sz w:val="20"/>
          <w:szCs w:val="20"/>
        </w:rPr>
        <w:t xml:space="preserve"> tubulin heterodimer in a 1:1 complex with a </w:t>
      </w:r>
      <w:proofErr w:type="spellStart"/>
      <w:r w:rsidRPr="00CA6A7B">
        <w:rPr>
          <w:sz w:val="20"/>
          <w:szCs w:val="20"/>
        </w:rPr>
        <w:t>K</w:t>
      </w:r>
      <w:r w:rsidRPr="00CA6A7B">
        <w:rPr>
          <w:sz w:val="20"/>
          <w:szCs w:val="20"/>
          <w:vertAlign w:val="subscript"/>
        </w:rPr>
        <w:t>d</w:t>
      </w:r>
      <w:proofErr w:type="spellEnd"/>
      <w:r w:rsidRPr="00CA6A7B">
        <w:rPr>
          <w:sz w:val="20"/>
          <w:szCs w:val="20"/>
        </w:rPr>
        <w:t xml:space="preserve"> of 1 </w:t>
      </w:r>
      <w:r w:rsidRPr="00CA6A7B">
        <w:rPr>
          <w:sz w:val="20"/>
          <w:szCs w:val="20"/>
        </w:rPr>
        <w:sym w:font="Symbol" w:char="F06D"/>
      </w:r>
      <w:proofErr w:type="gramStart"/>
      <w:r w:rsidRPr="00CA6A7B">
        <w:rPr>
          <w:sz w:val="20"/>
          <w:szCs w:val="20"/>
        </w:rPr>
        <w:t>M</w:t>
      </w:r>
      <w:proofErr w:type="gramEnd"/>
      <w:sdt>
        <w:sdtPr>
          <w:rPr>
            <w:sz w:val="20"/>
            <w:szCs w:val="20"/>
          </w:rPr>
          <w:alias w:val="SmartCite Citation"/>
          <w:tag w:val="4350b113-26d2-47ed-8ec6-88a3dbcbf5dc:110ba799-2fb0-4ba2-9100-59352bd7078d+"/>
          <w:id w:val="-1947534779"/>
          <w:placeholder>
            <w:docPart w:val="CFA632036DBA42538BA6C684DC804EF5"/>
          </w:placeholder>
        </w:sdtPr>
        <w:sdtContent>
          <w:r w:rsidRPr="009D6902">
            <w:rPr>
              <w:color w:val="000000"/>
              <w:sz w:val="20"/>
            </w:rPr>
            <w:t>[38]</w:t>
          </w:r>
        </w:sdtContent>
      </w:sdt>
      <w:r w:rsidRPr="00CA6A7B">
        <w:rPr>
          <w:sz w:val="20"/>
          <w:szCs w:val="20"/>
        </w:rPr>
        <w:t xml:space="preserve">. Due to the nature of this interaction, TTL overexpression can decrease the amount of “polymerization-competent” tubulin, leading to a decrease </w:t>
      </w:r>
      <w:r>
        <w:rPr>
          <w:sz w:val="20"/>
          <w:szCs w:val="20"/>
        </w:rPr>
        <w:t>in</w:t>
      </w:r>
      <w:r w:rsidRPr="00CA6A7B">
        <w:rPr>
          <w:sz w:val="20"/>
          <w:szCs w:val="20"/>
        </w:rPr>
        <w:t xml:space="preserve"> </w:t>
      </w:r>
      <w:r w:rsidRPr="00CA6A7B">
        <w:rPr>
          <w:i/>
          <w:sz w:val="20"/>
          <w:szCs w:val="20"/>
        </w:rPr>
        <w:t>in vitro</w:t>
      </w:r>
      <w:r w:rsidRPr="00CA6A7B">
        <w:rPr>
          <w:sz w:val="20"/>
          <w:szCs w:val="20"/>
        </w:rPr>
        <w:t xml:space="preserve"> microtubule </w:t>
      </w:r>
      <w:proofErr w:type="gramStart"/>
      <w:r w:rsidRPr="00CA6A7B">
        <w:rPr>
          <w:sz w:val="20"/>
          <w:szCs w:val="20"/>
        </w:rPr>
        <w:t>polymerization</w:t>
      </w:r>
      <w:proofErr w:type="gramEnd"/>
      <w:sdt>
        <w:sdtPr>
          <w:rPr>
            <w:sz w:val="20"/>
            <w:szCs w:val="20"/>
          </w:rPr>
          <w:alias w:val="SmartCite Citation"/>
          <w:tag w:val="4350b113-26d2-47ed-8ec6-88a3dbcbf5dc:110ba799-2fb0-4ba2-9100-59352bd7078d+"/>
          <w:id w:val="-1935653780"/>
          <w:placeholder>
            <w:docPart w:val="CFA632036DBA42538BA6C684DC804EF5"/>
          </w:placeholder>
        </w:sdtPr>
        <w:sdtContent>
          <w:r w:rsidRPr="009D6902">
            <w:rPr>
              <w:color w:val="000000"/>
              <w:sz w:val="20"/>
            </w:rPr>
            <w:t>[38]</w:t>
          </w:r>
        </w:sdtContent>
      </w:sdt>
      <w:r w:rsidRPr="00CA6A7B">
        <w:rPr>
          <w:sz w:val="20"/>
          <w:szCs w:val="20"/>
        </w:rPr>
        <w:t xml:space="preserve">. The relationship between free tubulin concentration and microtubule polymerization is described as a simple 1D model below, where </w:t>
      </w:r>
      <w:r w:rsidRPr="00CA6A7B">
        <w:rPr>
          <w:sz w:val="20"/>
          <w:szCs w:val="20"/>
        </w:rPr>
        <w:sym w:font="Symbol" w:char="F06E"/>
      </w:r>
      <w:r w:rsidRPr="00CA6A7B">
        <w:rPr>
          <w:sz w:val="20"/>
          <w:szCs w:val="20"/>
          <w:vertAlign w:val="subscript"/>
        </w:rPr>
        <w:t>g</w:t>
      </w:r>
      <w:r w:rsidRPr="00CA6A7B">
        <w:rPr>
          <w:sz w:val="20"/>
          <w:szCs w:val="20"/>
        </w:rPr>
        <w:t xml:space="preserve"> is the velocity of microtubule growth, </w:t>
      </w:r>
      <w:r w:rsidRPr="00CA6A7B">
        <w:rPr>
          <w:i/>
          <w:sz w:val="20"/>
          <w:szCs w:val="20"/>
        </w:rPr>
        <w:t>d</w:t>
      </w:r>
      <w:r w:rsidRPr="00CA6A7B">
        <w:rPr>
          <w:sz w:val="20"/>
          <w:szCs w:val="20"/>
        </w:rPr>
        <w:t xml:space="preserve"> is the dimer length (assumed to be 8 nm), </w:t>
      </w:r>
      <w:proofErr w:type="spellStart"/>
      <w:r w:rsidRPr="00CA6A7B">
        <w:rPr>
          <w:sz w:val="20"/>
          <w:szCs w:val="20"/>
        </w:rPr>
        <w:t>k</w:t>
      </w:r>
      <w:r w:rsidRPr="00CA6A7B">
        <w:rPr>
          <w:sz w:val="20"/>
          <w:szCs w:val="20"/>
          <w:vertAlign w:val="subscript"/>
        </w:rPr>
        <w:t>on</w:t>
      </w:r>
      <w:proofErr w:type="spellEnd"/>
      <w:r w:rsidRPr="00CA6A7B">
        <w:rPr>
          <w:sz w:val="20"/>
          <w:szCs w:val="20"/>
        </w:rPr>
        <w:t xml:space="preserve"> is the tubulin dimer association constant per </w:t>
      </w:r>
      <w:proofErr w:type="spellStart"/>
      <w:r w:rsidRPr="00CA6A7B">
        <w:rPr>
          <w:sz w:val="20"/>
          <w:szCs w:val="20"/>
        </w:rPr>
        <w:t>protofilament</w:t>
      </w:r>
      <w:proofErr w:type="spellEnd"/>
      <w:r w:rsidRPr="00CA6A7B">
        <w:rPr>
          <w:sz w:val="20"/>
          <w:szCs w:val="20"/>
        </w:rPr>
        <w:t xml:space="preserve"> (assumed to be 4.8 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>M</w:t>
      </w:r>
      <w:r w:rsidRPr="00CA6A7B">
        <w:rPr>
          <w:sz w:val="20"/>
          <w:szCs w:val="20"/>
          <w:vertAlign w:val="superscript"/>
        </w:rPr>
        <w:t>-1</w:t>
      </w:r>
      <w:r w:rsidRPr="00CA6A7B">
        <w:rPr>
          <w:sz w:val="20"/>
          <w:szCs w:val="20"/>
        </w:rPr>
        <w:t>s</w:t>
      </w:r>
      <w:r w:rsidRPr="00CA6A7B">
        <w:rPr>
          <w:sz w:val="20"/>
          <w:szCs w:val="20"/>
          <w:vertAlign w:val="superscript"/>
        </w:rPr>
        <w:t>-1</w:t>
      </w:r>
      <w:r w:rsidRPr="00CA6A7B">
        <w:rPr>
          <w:sz w:val="20"/>
          <w:szCs w:val="20"/>
        </w:rPr>
        <w:t xml:space="preserve"> )</w:t>
      </w:r>
      <w:sdt>
        <w:sdtPr>
          <w:rPr>
            <w:sz w:val="20"/>
            <w:szCs w:val="20"/>
          </w:rPr>
          <w:alias w:val="SmartCite Citation"/>
          <w:tag w:val="a9dd3b03-3b21-4292-9bd7-12442751f366:9cbe8aa6-5930-4d14-a4c4-a9e5881f73ef+"/>
          <w:id w:val="-360505670"/>
          <w:placeholder>
            <w:docPart w:val="5AE3374522CD4E819F6AAFA0FF816ADA"/>
          </w:placeholder>
        </w:sdtPr>
        <w:sdtContent>
          <w:r w:rsidRPr="009D6902">
            <w:rPr>
              <w:color w:val="000000"/>
              <w:sz w:val="20"/>
            </w:rPr>
            <w:t>[24]</w:t>
          </w:r>
        </w:sdtContent>
      </w:sdt>
      <w:r w:rsidRPr="00CA6A7B">
        <w:rPr>
          <w:sz w:val="20"/>
          <w:szCs w:val="20"/>
        </w:rPr>
        <w:t xml:space="preserve">, </w:t>
      </w:r>
      <w:proofErr w:type="spellStart"/>
      <w:r w:rsidRPr="00CA6A7B">
        <w:rPr>
          <w:sz w:val="20"/>
          <w:szCs w:val="20"/>
        </w:rPr>
        <w:t>k</w:t>
      </w:r>
      <w:r w:rsidRPr="00CA6A7B">
        <w:rPr>
          <w:sz w:val="20"/>
          <w:szCs w:val="20"/>
          <w:vertAlign w:val="subscript"/>
        </w:rPr>
        <w:t>off</w:t>
      </w:r>
      <w:proofErr w:type="spellEnd"/>
      <w:r w:rsidRPr="00CA6A7B">
        <w:rPr>
          <w:sz w:val="20"/>
          <w:szCs w:val="20"/>
        </w:rPr>
        <w:t xml:space="preserve"> is the tubulin dissociation rate constant per </w:t>
      </w:r>
      <w:proofErr w:type="spellStart"/>
      <w:r w:rsidRPr="00CA6A7B">
        <w:rPr>
          <w:sz w:val="20"/>
          <w:szCs w:val="20"/>
        </w:rPr>
        <w:t>protofilament</w:t>
      </w:r>
      <w:proofErr w:type="spellEnd"/>
      <w:r w:rsidRPr="00CA6A7B">
        <w:rPr>
          <w:sz w:val="20"/>
          <w:szCs w:val="20"/>
        </w:rPr>
        <w:t xml:space="preserve"> (assumed to be 15s</w:t>
      </w:r>
      <w:r w:rsidRPr="00CA6A7B">
        <w:rPr>
          <w:sz w:val="20"/>
          <w:szCs w:val="20"/>
          <w:vertAlign w:val="superscript"/>
        </w:rPr>
        <w:t xml:space="preserve">-1 </w:t>
      </w:r>
      <w:r w:rsidRPr="00CA6A7B">
        <w:rPr>
          <w:sz w:val="20"/>
          <w:szCs w:val="20"/>
        </w:rPr>
        <w:t>)</w:t>
      </w:r>
      <w:sdt>
        <w:sdtPr>
          <w:rPr>
            <w:sz w:val="20"/>
            <w:szCs w:val="20"/>
          </w:rPr>
          <w:alias w:val="SmartCite Citation"/>
          <w:tag w:val="a9dd3b03-3b21-4292-9bd7-12442751f366:9cbe8aa6-5930-4d14-a4c4-a9e5881f73ef+"/>
          <w:id w:val="-597636718"/>
          <w:placeholder>
            <w:docPart w:val="5AE3374522CD4E819F6AAFA0FF816ADA"/>
          </w:placeholder>
        </w:sdtPr>
        <w:sdtContent>
          <w:r w:rsidRPr="009D6902">
            <w:rPr>
              <w:color w:val="000000"/>
              <w:sz w:val="20"/>
            </w:rPr>
            <w:t>[24]</w:t>
          </w:r>
        </w:sdtContent>
      </w:sdt>
      <w:r w:rsidRPr="00CA6A7B">
        <w:rPr>
          <w:sz w:val="20"/>
          <w:szCs w:val="20"/>
        </w:rPr>
        <w:t>, and [Tb] is the concentration of free tubulin</w:t>
      </w:r>
      <w:sdt>
        <w:sdtPr>
          <w:rPr>
            <w:sz w:val="20"/>
            <w:szCs w:val="20"/>
          </w:rPr>
          <w:alias w:val="SmartCite Citation"/>
          <w:tag w:val="4350b113-26d2-47ed-8ec6-88a3dbcbf5dc:f2fb85e2-8fdd-4515-88c1-a3b357db41fa+"/>
          <w:id w:val="1094356540"/>
          <w:placeholder>
            <w:docPart w:val="CFA632036DBA42538BA6C684DC804EF5"/>
          </w:placeholder>
        </w:sdtPr>
        <w:sdtContent>
          <w:r w:rsidRPr="009D6902">
            <w:rPr>
              <w:color w:val="000000"/>
              <w:sz w:val="20"/>
            </w:rPr>
            <w:t>[4]</w:t>
          </w:r>
        </w:sdtContent>
      </w:sdt>
      <w:r w:rsidRPr="00CA6A7B">
        <w:rPr>
          <w:sz w:val="20"/>
          <w:szCs w:val="20"/>
        </w:rPr>
        <w:t xml:space="preserve">. </w:t>
      </w:r>
    </w:p>
    <w:p w:rsidR="00AE6071" w:rsidRPr="00CA6A7B" w:rsidRDefault="00AE6071" w:rsidP="00AE6071">
      <w:pPr>
        <w:jc w:val="center"/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0"/>
                  <w:szCs w:val="20"/>
                </w:rPr>
                <m:t>ν</m:t>
              </m:r>
            </m:e>
            <m:sub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</m:sub>
          </m:sSub>
          <m:r>
            <w:rPr>
              <w:rFonts w:ascii="Cambria Math" w:hAnsi="Cambria Math"/>
              <w:sz w:val="20"/>
              <w:szCs w:val="20"/>
            </w:rPr>
            <m:t>=d</m:t>
          </m:r>
          <m:d>
            <m:d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on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Tb</m:t>
                  </m:r>
                </m:e>
              </m:d>
              <m:r>
                <w:rPr>
                  <w:rFonts w:ascii="Cambria Math" w:hAnsi="Cambria Math"/>
                  <w:sz w:val="20"/>
                  <w:szCs w:val="20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off</m:t>
                  </m:r>
                </m:sub>
              </m:sSub>
            </m:e>
          </m:d>
          <m:r>
            <w:rPr>
              <w:rFonts w:ascii="Cambria Math" w:hAnsi="Cambria Math"/>
              <w:sz w:val="20"/>
              <w:szCs w:val="20"/>
            </w:rPr>
            <m:t>.</m:t>
          </m:r>
        </m:oMath>
      </m:oMathPara>
    </w:p>
    <w:p w:rsidR="00AE6071" w:rsidRPr="00CA6A7B" w:rsidRDefault="00AE6071" w:rsidP="00AE6071">
      <w:pPr>
        <w:rPr>
          <w:sz w:val="20"/>
          <w:szCs w:val="20"/>
        </w:rPr>
      </w:pPr>
      <w:r w:rsidRPr="00CA6A7B">
        <w:rPr>
          <w:sz w:val="20"/>
          <w:szCs w:val="20"/>
        </w:rPr>
        <w:t>Solving the equation of the line at a physiologic tubulin concentration of 5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 xml:space="preserve">M provides a theoretical value of 4.32 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>m s</w:t>
      </w:r>
      <w:r w:rsidRPr="00CA6A7B">
        <w:rPr>
          <w:sz w:val="20"/>
          <w:szCs w:val="20"/>
          <w:vertAlign w:val="superscript"/>
        </w:rPr>
        <w:t xml:space="preserve">-1 </w:t>
      </w:r>
      <w:r w:rsidRPr="00CA6A7B">
        <w:rPr>
          <w:sz w:val="20"/>
          <w:szCs w:val="20"/>
        </w:rPr>
        <w:t xml:space="preserve">for growth velocity. Using the </w:t>
      </w:r>
      <w:proofErr w:type="spellStart"/>
      <w:r w:rsidRPr="00CA6A7B">
        <w:rPr>
          <w:sz w:val="20"/>
          <w:szCs w:val="20"/>
        </w:rPr>
        <w:t>K</w:t>
      </w:r>
      <w:r w:rsidRPr="00CA6A7B">
        <w:rPr>
          <w:sz w:val="20"/>
          <w:szCs w:val="20"/>
          <w:vertAlign w:val="subscript"/>
        </w:rPr>
        <w:t>d</w:t>
      </w:r>
      <w:proofErr w:type="spellEnd"/>
      <w:r w:rsidRPr="00CA6A7B">
        <w:rPr>
          <w:sz w:val="20"/>
          <w:szCs w:val="20"/>
        </w:rPr>
        <w:t xml:space="preserve"> value for TTL-tubulin interaction at a tubulin concentration of 5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 xml:space="preserve">M suggests that an 8-fold overexpression of </w:t>
      </w:r>
      <w:proofErr w:type="gramStart"/>
      <w:r w:rsidRPr="00CA6A7B">
        <w:rPr>
          <w:sz w:val="20"/>
          <w:szCs w:val="20"/>
        </w:rPr>
        <w:t>TTL</w:t>
      </w:r>
      <w:proofErr w:type="gramEnd"/>
      <w:sdt>
        <w:sdtPr>
          <w:rPr>
            <w:sz w:val="20"/>
            <w:szCs w:val="20"/>
          </w:rPr>
          <w:alias w:val="SmartCite Citation"/>
          <w:tag w:val="a9dd3b03-3b21-4292-9bd7-12442751f366:cde7370d-8129-4385-926f-9941b7c13da4+"/>
          <w:id w:val="-1120762781"/>
          <w:placeholder>
            <w:docPart w:val="932213E5414D493CB746A468334051CF"/>
          </w:placeholder>
        </w:sdtPr>
        <w:sdtContent>
          <w:r w:rsidRPr="009D6902">
            <w:rPr>
              <w:color w:val="000000"/>
              <w:sz w:val="20"/>
            </w:rPr>
            <w:t>[9]</w:t>
          </w:r>
        </w:sdtContent>
      </w:sdt>
      <w:r w:rsidRPr="00CA6A7B">
        <w:rPr>
          <w:sz w:val="20"/>
          <w:szCs w:val="20"/>
        </w:rPr>
        <w:t xml:space="preserve"> will produce 0.2 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 xml:space="preserve">M of TTL-tubulin complex. If we assume that tubulin bound to TTL cannot be polymerized, then only 4.8 </w:t>
      </w:r>
      <w:r w:rsidRPr="00CA6A7B">
        <w:rPr>
          <w:sz w:val="20"/>
          <w:szCs w:val="20"/>
        </w:rPr>
        <w:sym w:font="Symbol" w:char="F06D"/>
      </w:r>
      <w:r w:rsidRPr="00CA6A7B">
        <w:rPr>
          <w:sz w:val="20"/>
          <w:szCs w:val="20"/>
        </w:rPr>
        <w:t xml:space="preserve">M of free tubulin is polymerization-competent at any time. This change in polymerization-competent tubulin would lead to </w:t>
      </w:r>
      <w:r>
        <w:rPr>
          <w:sz w:val="20"/>
          <w:szCs w:val="20"/>
        </w:rPr>
        <w:t xml:space="preserve">a </w:t>
      </w:r>
      <w:r w:rsidRPr="00CA6A7B">
        <w:rPr>
          <w:sz w:val="20"/>
          <w:szCs w:val="20"/>
        </w:rPr>
        <w:t xml:space="preserve">~10% decrease in growth velocity. We did not observe an effect of E331Q on microtubule growth kinetics or on event frequency suggesting that the local tubulin concentration at the microtubule plus-tip is unaffected by the sequestration activity of TTL. </w:t>
      </w:r>
      <w:r>
        <w:rPr>
          <w:sz w:val="20"/>
          <w:szCs w:val="20"/>
        </w:rPr>
        <w:t xml:space="preserve">The bar represents mean ± 1SEM; </w:t>
      </w:r>
      <w:r>
        <w:rPr>
          <w:sz w:val="20"/>
          <w:szCs w:val="20"/>
          <w:lang w:eastAsia="zh-CN"/>
        </w:rPr>
        <w:t>s</w:t>
      </w:r>
      <w:r w:rsidRPr="00CA6A7B">
        <w:rPr>
          <w:sz w:val="20"/>
          <w:szCs w:val="20"/>
          <w:lang w:eastAsia="zh-CN"/>
        </w:rPr>
        <w:t xml:space="preserve">tatistical significance </w:t>
      </w:r>
      <w:r>
        <w:rPr>
          <w:sz w:val="20"/>
          <w:szCs w:val="20"/>
          <w:lang w:eastAsia="zh-CN"/>
        </w:rPr>
        <w:t xml:space="preserve">for (a) and (c) was </w:t>
      </w:r>
      <w:r w:rsidRPr="00CA6A7B">
        <w:rPr>
          <w:sz w:val="20"/>
          <w:szCs w:val="20"/>
          <w:lang w:eastAsia="zh-CN"/>
        </w:rPr>
        <w:t xml:space="preserve">determined </w:t>
      </w:r>
      <w:r>
        <w:rPr>
          <w:sz w:val="20"/>
          <w:szCs w:val="20"/>
          <w:lang w:eastAsia="zh-CN"/>
        </w:rPr>
        <w:t xml:space="preserve">using one-way ANOVA </w:t>
      </w:r>
      <w:r w:rsidRPr="00106620">
        <w:rPr>
          <w:sz w:val="20"/>
          <w:szCs w:val="20"/>
          <w:lang w:eastAsia="zh-CN"/>
        </w:rPr>
        <w:t>with post hoc test and for (b) was using Two-sample Student’s T-test.</w:t>
      </w:r>
      <w:r>
        <w:rPr>
          <w:sz w:val="20"/>
          <w:szCs w:val="20"/>
          <w:lang w:eastAsia="zh-CN"/>
        </w:rPr>
        <w:t xml:space="preserve"> </w:t>
      </w:r>
    </w:p>
    <w:p w:rsidR="00AE6071" w:rsidRDefault="00AE6071" w:rsidP="00AE607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AE6071" w:rsidRDefault="00AE6071" w:rsidP="00AE6071">
      <w:pPr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51EDCE53" wp14:editId="2B112922">
            <wp:extent cx="5886472" cy="5452533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222" cy="54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rPr>
          <w:b/>
          <w:bCs/>
          <w:sz w:val="20"/>
          <w:szCs w:val="20"/>
        </w:rPr>
      </w:pPr>
    </w:p>
    <w:p w:rsidR="00AE6071" w:rsidRDefault="00AE6071" w:rsidP="00AE6071">
      <w:pPr>
        <w:rPr>
          <w:sz w:val="20"/>
          <w:szCs w:val="20"/>
        </w:rPr>
      </w:pPr>
      <w:r w:rsidRPr="00CA6A7B">
        <w:rPr>
          <w:b/>
          <w:bCs/>
          <w:sz w:val="20"/>
          <w:szCs w:val="20"/>
        </w:rPr>
        <w:t xml:space="preserve">Supplemental </w:t>
      </w:r>
      <w:r>
        <w:rPr>
          <w:b/>
          <w:bCs/>
          <w:sz w:val="20"/>
          <w:szCs w:val="20"/>
        </w:rPr>
        <w:t>Fig.</w:t>
      </w:r>
      <w:r w:rsidRPr="00CA6A7B">
        <w:rPr>
          <w:b/>
          <w:bCs/>
          <w:sz w:val="20"/>
          <w:szCs w:val="20"/>
        </w:rPr>
        <w:t xml:space="preserve"> 5 (</w:t>
      </w:r>
      <w:r>
        <w:rPr>
          <w:b/>
          <w:bCs/>
          <w:sz w:val="20"/>
          <w:szCs w:val="20"/>
        </w:rPr>
        <w:t>a</w:t>
      </w:r>
      <w:r w:rsidRPr="00CA6A7B">
        <w:rPr>
          <w:b/>
          <w:bCs/>
          <w:sz w:val="20"/>
          <w:szCs w:val="20"/>
        </w:rPr>
        <w:t xml:space="preserve">) </w:t>
      </w:r>
      <w:r w:rsidRPr="00CA6A7B">
        <w:rPr>
          <w:sz w:val="20"/>
          <w:szCs w:val="20"/>
        </w:rPr>
        <w:t>Representative</w:t>
      </w:r>
      <w:r>
        <w:rPr>
          <w:sz w:val="20"/>
          <w:szCs w:val="20"/>
        </w:rPr>
        <w:t xml:space="preserve"> negative control</w:t>
      </w:r>
      <w:r w:rsidRPr="00CA6A7B">
        <w:rPr>
          <w:sz w:val="20"/>
          <w:szCs w:val="20"/>
        </w:rPr>
        <w:t xml:space="preserve"> </w:t>
      </w:r>
      <w:proofErr w:type="spellStart"/>
      <w:r w:rsidRPr="00CA6A7B">
        <w:rPr>
          <w:sz w:val="20"/>
          <w:szCs w:val="20"/>
        </w:rPr>
        <w:t>immunofluorescent</w:t>
      </w:r>
      <w:proofErr w:type="spellEnd"/>
      <w:r w:rsidRPr="00CA6A7B">
        <w:rPr>
          <w:sz w:val="20"/>
          <w:szCs w:val="20"/>
        </w:rPr>
        <w:t xml:space="preserve"> images after PLA in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without </w:t>
      </w:r>
      <w:r>
        <w:rPr>
          <w:sz w:val="20"/>
          <w:szCs w:val="20"/>
        </w:rPr>
        <w:t>EB1 or CLIP170</w:t>
      </w:r>
      <w:r w:rsidRPr="00CA6A7B">
        <w:rPr>
          <w:sz w:val="20"/>
          <w:szCs w:val="20"/>
        </w:rPr>
        <w:t xml:space="preserve"> primary antibodies.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b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Representative </w:t>
      </w:r>
      <w:proofErr w:type="spellStart"/>
      <w:r w:rsidRPr="00CA6A7B">
        <w:rPr>
          <w:sz w:val="20"/>
          <w:szCs w:val="20"/>
        </w:rPr>
        <w:t>thresholded</w:t>
      </w:r>
      <w:proofErr w:type="spellEnd"/>
      <w:r w:rsidRPr="00CA6A7B">
        <w:rPr>
          <w:sz w:val="20"/>
          <w:szCs w:val="20"/>
        </w:rPr>
        <w:t xml:space="preserve"> </w:t>
      </w:r>
      <w:proofErr w:type="spellStart"/>
      <w:r w:rsidRPr="00CA6A7B">
        <w:rPr>
          <w:sz w:val="20"/>
          <w:szCs w:val="20"/>
        </w:rPr>
        <w:t>immunofluorescent</w:t>
      </w:r>
      <w:proofErr w:type="spellEnd"/>
      <w:r w:rsidRPr="00CA6A7B">
        <w:rPr>
          <w:sz w:val="20"/>
          <w:szCs w:val="20"/>
        </w:rPr>
        <w:t xml:space="preserve"> images used in the analysis and quantification of EB1-CLIP170 in Figure 5</w:t>
      </w:r>
      <w:r>
        <w:rPr>
          <w:sz w:val="20"/>
          <w:szCs w:val="20"/>
        </w:rPr>
        <w:t>d</w:t>
      </w:r>
      <w:r w:rsidRPr="00CA6A7B">
        <w:rPr>
          <w:sz w:val="20"/>
          <w:szCs w:val="20"/>
        </w:rPr>
        <w:t xml:space="preserve">. </w:t>
      </w:r>
      <w:r w:rsidRPr="00CA6A7B">
        <w:rPr>
          <w:b/>
          <w:bCs/>
          <w:sz w:val="20"/>
          <w:szCs w:val="20"/>
        </w:rPr>
        <w:t>(</w:t>
      </w:r>
      <w:r>
        <w:rPr>
          <w:b/>
          <w:bCs/>
          <w:sz w:val="20"/>
          <w:szCs w:val="20"/>
        </w:rPr>
        <w:t>c</w:t>
      </w:r>
      <w:r w:rsidRPr="00CA6A7B">
        <w:rPr>
          <w:b/>
          <w:bCs/>
          <w:sz w:val="20"/>
          <w:szCs w:val="20"/>
        </w:rPr>
        <w:t>)</w:t>
      </w:r>
      <w:r w:rsidRPr="00CA6A7B">
        <w:rPr>
          <w:sz w:val="20"/>
          <w:szCs w:val="20"/>
        </w:rPr>
        <w:t xml:space="preserve"> Quantification of microtubule area in adult rat </w:t>
      </w:r>
      <w:proofErr w:type="spellStart"/>
      <w:r w:rsidRPr="00CA6A7B">
        <w:rPr>
          <w:sz w:val="20"/>
          <w:szCs w:val="20"/>
        </w:rPr>
        <w:t>cardiomyocytes</w:t>
      </w:r>
      <w:proofErr w:type="spellEnd"/>
      <w:r w:rsidRPr="00CA6A7B">
        <w:rPr>
          <w:sz w:val="20"/>
          <w:szCs w:val="20"/>
        </w:rPr>
        <w:t xml:space="preserve"> treated with Null, TTL, or E331Q adenovirus for 48h (N=3 rats, n=10 cells per rat). Bar </w:t>
      </w:r>
    </w:p>
    <w:p w:rsidR="00AE6071" w:rsidRDefault="00AE6071" w:rsidP="00AE6071">
      <w:pPr>
        <w:rPr>
          <w:sz w:val="20"/>
          <w:szCs w:val="20"/>
        </w:rPr>
      </w:pPr>
      <w:proofErr w:type="gramStart"/>
      <w:r w:rsidRPr="00CA6A7B">
        <w:rPr>
          <w:sz w:val="20"/>
          <w:szCs w:val="20"/>
        </w:rPr>
        <w:t>represents</w:t>
      </w:r>
      <w:proofErr w:type="gramEnd"/>
      <w:r w:rsidRPr="00CA6A7B">
        <w:rPr>
          <w:sz w:val="20"/>
          <w:szCs w:val="20"/>
        </w:rPr>
        <w:t xml:space="preserve"> mean ±1 SEM; statistical significance determined with </w:t>
      </w:r>
      <w:r>
        <w:rPr>
          <w:sz w:val="20"/>
          <w:szCs w:val="20"/>
        </w:rPr>
        <w:t>one-way</w:t>
      </w:r>
      <w:r w:rsidRPr="00CA6A7B">
        <w:rPr>
          <w:sz w:val="20"/>
          <w:szCs w:val="20"/>
        </w:rPr>
        <w:t xml:space="preserve"> ANOVA with </w:t>
      </w:r>
      <w:r w:rsidRPr="00AE6071">
        <w:rPr>
          <w:sz w:val="20"/>
          <w:szCs w:val="20"/>
        </w:rPr>
        <w:t>post hoc test</w:t>
      </w:r>
      <w:r w:rsidRPr="00CA6A7B">
        <w:rPr>
          <w:sz w:val="20"/>
          <w:szCs w:val="20"/>
        </w:rPr>
        <w:t>.</w:t>
      </w:r>
    </w:p>
    <w:p w:rsidR="00AE6071" w:rsidRDefault="00AE6071" w:rsidP="00AE607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6071" w:rsidRDefault="00AE6071" w:rsidP="00AE6071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4C63D52B" wp14:editId="2CF5A7F7">
            <wp:extent cx="4851814" cy="4599375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888" cy="462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71" w:rsidRDefault="00AE6071" w:rsidP="00AE6071">
      <w:pPr>
        <w:jc w:val="center"/>
        <w:rPr>
          <w:b/>
          <w:bCs/>
          <w:sz w:val="20"/>
          <w:szCs w:val="20"/>
        </w:rPr>
      </w:pPr>
    </w:p>
    <w:p w:rsidR="00AE6071" w:rsidRPr="00E23FDE" w:rsidRDefault="00AE6071" w:rsidP="00AE6071">
      <w:pPr>
        <w:rPr>
          <w:i/>
          <w:iCs/>
          <w:color w:val="000000" w:themeColor="text1"/>
          <w:sz w:val="20"/>
          <w:szCs w:val="20"/>
        </w:rPr>
      </w:pPr>
      <w:r>
        <w:rPr>
          <w:b/>
          <w:bCs/>
          <w:sz w:val="20"/>
          <w:szCs w:val="20"/>
        </w:rPr>
        <w:t>Supplemental Fig.</w:t>
      </w:r>
      <w:r w:rsidRPr="002A03A4">
        <w:rPr>
          <w:b/>
          <w:bCs/>
          <w:sz w:val="20"/>
          <w:szCs w:val="20"/>
        </w:rPr>
        <w:t xml:space="preserve"> 6</w:t>
      </w:r>
      <w:r w:rsidRPr="002A03A4">
        <w:rPr>
          <w:sz w:val="20"/>
          <w:szCs w:val="20"/>
        </w:rPr>
        <w:t xml:space="preserve"> </w:t>
      </w:r>
      <w:r w:rsidRPr="00E23FDE">
        <w:rPr>
          <w:i/>
          <w:iCs/>
          <w:sz w:val="20"/>
          <w:szCs w:val="20"/>
        </w:rPr>
        <w:t xml:space="preserve">Cartoon summary of the results: </w:t>
      </w:r>
      <w:proofErr w:type="spellStart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>Desmin</w:t>
      </w:r>
      <w:proofErr w:type="spellEnd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intermediate filaments and tubulin </w:t>
      </w:r>
      <w:proofErr w:type="spellStart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>detyrosination</w:t>
      </w:r>
      <w:proofErr w:type="spellEnd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stabilize growing microtubules in the </w:t>
      </w:r>
      <w:proofErr w:type="spellStart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>cardiomyocyt</w:t>
      </w:r>
      <w:r>
        <w:rPr>
          <w:i/>
          <w:iCs/>
          <w:color w:val="000000" w:themeColor="text1"/>
          <w:sz w:val="20"/>
          <w:szCs w:val="20"/>
          <w:shd w:val="clear" w:color="auto" w:fill="FFFFFF"/>
        </w:rPr>
        <w:t>e</w:t>
      </w:r>
      <w:proofErr w:type="spellEnd"/>
      <w:r w:rsidRPr="00E23FDE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1664B7" w:rsidRDefault="001664B7"/>
    <w:sectPr w:rsidR="00166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71"/>
    <w:rsid w:val="00040B21"/>
    <w:rsid w:val="0008712A"/>
    <w:rsid w:val="00091F47"/>
    <w:rsid w:val="000B1979"/>
    <w:rsid w:val="000D1A06"/>
    <w:rsid w:val="000D770E"/>
    <w:rsid w:val="001040FE"/>
    <w:rsid w:val="00106620"/>
    <w:rsid w:val="00143FFC"/>
    <w:rsid w:val="001664B7"/>
    <w:rsid w:val="0017751B"/>
    <w:rsid w:val="001A635E"/>
    <w:rsid w:val="001C6CBA"/>
    <w:rsid w:val="00251B8F"/>
    <w:rsid w:val="00254BE4"/>
    <w:rsid w:val="00261403"/>
    <w:rsid w:val="00295773"/>
    <w:rsid w:val="00297F28"/>
    <w:rsid w:val="002D45D0"/>
    <w:rsid w:val="002E0FD3"/>
    <w:rsid w:val="002E75E6"/>
    <w:rsid w:val="0033635E"/>
    <w:rsid w:val="0034135A"/>
    <w:rsid w:val="003E5559"/>
    <w:rsid w:val="00466592"/>
    <w:rsid w:val="004701BA"/>
    <w:rsid w:val="0047651E"/>
    <w:rsid w:val="005164DC"/>
    <w:rsid w:val="00522BFF"/>
    <w:rsid w:val="0057369D"/>
    <w:rsid w:val="005D3364"/>
    <w:rsid w:val="00605353"/>
    <w:rsid w:val="00613559"/>
    <w:rsid w:val="00614ECF"/>
    <w:rsid w:val="00624E21"/>
    <w:rsid w:val="00643976"/>
    <w:rsid w:val="006775DC"/>
    <w:rsid w:val="006A3CCD"/>
    <w:rsid w:val="00734959"/>
    <w:rsid w:val="00745A18"/>
    <w:rsid w:val="0076294F"/>
    <w:rsid w:val="007A30A3"/>
    <w:rsid w:val="008548D4"/>
    <w:rsid w:val="00866878"/>
    <w:rsid w:val="008D062C"/>
    <w:rsid w:val="00920EDF"/>
    <w:rsid w:val="00934C50"/>
    <w:rsid w:val="00944692"/>
    <w:rsid w:val="009629FC"/>
    <w:rsid w:val="009C47D8"/>
    <w:rsid w:val="00A37F41"/>
    <w:rsid w:val="00AE6071"/>
    <w:rsid w:val="00B06B50"/>
    <w:rsid w:val="00B74486"/>
    <w:rsid w:val="00BD727C"/>
    <w:rsid w:val="00C02493"/>
    <w:rsid w:val="00C56900"/>
    <w:rsid w:val="00CE15E3"/>
    <w:rsid w:val="00D012C4"/>
    <w:rsid w:val="00D0381A"/>
    <w:rsid w:val="00D2657F"/>
    <w:rsid w:val="00D44E32"/>
    <w:rsid w:val="00E307CA"/>
    <w:rsid w:val="00E46C15"/>
    <w:rsid w:val="00E72889"/>
    <w:rsid w:val="00E86C86"/>
    <w:rsid w:val="00F8059B"/>
    <w:rsid w:val="00F84A86"/>
    <w:rsid w:val="00FB3B61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E6F8A-C53E-4BF2-8A08-1D962A4B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FA632036DBA42538BA6C684DC804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1AFCD-A907-4A4A-AA66-C19DDF196793}"/>
      </w:docPartPr>
      <w:docPartBody>
        <w:p w:rsidR="00000000" w:rsidRDefault="00D826AA" w:rsidP="00D826AA">
          <w:pPr>
            <w:pStyle w:val="CFA632036DBA42538BA6C684DC804EF5"/>
          </w:pPr>
          <w:r w:rsidRPr="00BF59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3374522CD4E819F6AAFA0FF816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66C7E-EAF2-45AD-AC55-54B192733C4B}"/>
      </w:docPartPr>
      <w:docPartBody>
        <w:p w:rsidR="00000000" w:rsidRDefault="00D826AA" w:rsidP="00D826AA">
          <w:pPr>
            <w:pStyle w:val="5AE3374522CD4E819F6AAFA0FF816ADA"/>
          </w:pPr>
          <w:r w:rsidRPr="00BF59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2213E5414D493CB746A46833405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E02A8-6685-4409-9E35-85D0814E5196}"/>
      </w:docPartPr>
      <w:docPartBody>
        <w:p w:rsidR="00000000" w:rsidRDefault="00D826AA" w:rsidP="00D826AA">
          <w:pPr>
            <w:pStyle w:val="932213E5414D493CB746A468334051CF"/>
          </w:pPr>
          <w:r w:rsidRPr="00BF59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6AA"/>
    <w:rsid w:val="00D8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26AA"/>
    <w:rPr>
      <w:color w:val="808080"/>
    </w:rPr>
  </w:style>
  <w:style w:type="paragraph" w:customStyle="1" w:styleId="CFA632036DBA42538BA6C684DC804EF5">
    <w:name w:val="CFA632036DBA42538BA6C684DC804EF5"/>
    <w:rsid w:val="00D826AA"/>
  </w:style>
  <w:style w:type="paragraph" w:customStyle="1" w:styleId="5AE3374522CD4E819F6AAFA0FF816ADA">
    <w:name w:val="5AE3374522CD4E819F6AAFA0FF816ADA"/>
    <w:rsid w:val="00D826AA"/>
  </w:style>
  <w:style w:type="paragraph" w:customStyle="1" w:styleId="932213E5414D493CB746A468334051CF">
    <w:name w:val="932213E5414D493CB746A468334051CF"/>
    <w:rsid w:val="00D8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2022-10-19T03:24:00Z</dcterms:created>
  <dcterms:modified xsi:type="dcterms:W3CDTF">2022-10-19T03:25:00Z</dcterms:modified>
</cp:coreProperties>
</file>