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DE8" w:rsidRDefault="00960DE8" w:rsidP="00960DE8">
      <w:pPr>
        <w:spacing w:after="0" w:line="240" w:lineRule="auto"/>
        <w:jc w:val="both"/>
        <w:rPr>
          <w:rFonts w:cs="Times New Roman"/>
        </w:rPr>
      </w:pPr>
      <w:r w:rsidRPr="00902DF1">
        <w:rPr>
          <w:rFonts w:cs="Times New Roman"/>
          <w:b/>
          <w:bCs/>
        </w:rPr>
        <w:t xml:space="preserve">Figure S1. </w:t>
      </w:r>
      <w:r w:rsidRPr="00902DF1">
        <w:rPr>
          <w:rFonts w:cs="Times New Roman"/>
          <w:b/>
          <w:bCs/>
          <w:iCs/>
        </w:rPr>
        <w:t>Plasmids used to generate recombinant adeno-associated virus (</w:t>
      </w:r>
      <w:proofErr w:type="spellStart"/>
      <w:r w:rsidRPr="00902DF1">
        <w:rPr>
          <w:rFonts w:cs="Times New Roman"/>
          <w:b/>
          <w:bCs/>
          <w:iCs/>
        </w:rPr>
        <w:t>rAAV</w:t>
      </w:r>
      <w:proofErr w:type="spellEnd"/>
      <w:r w:rsidRPr="00902DF1">
        <w:rPr>
          <w:rFonts w:cs="Times New Roman"/>
          <w:b/>
          <w:bCs/>
          <w:iCs/>
        </w:rPr>
        <w:t>).</w:t>
      </w:r>
      <w:r w:rsidRPr="00902DF1">
        <w:rPr>
          <w:rFonts w:cs="Times New Roman"/>
        </w:rPr>
        <w:t xml:space="preserve"> </w:t>
      </w:r>
    </w:p>
    <w:p w:rsidR="00902DF1" w:rsidRPr="00902DF1" w:rsidRDefault="00902DF1" w:rsidP="00960DE8">
      <w:pPr>
        <w:spacing w:after="0" w:line="240" w:lineRule="auto"/>
        <w:jc w:val="both"/>
        <w:rPr>
          <w:rFonts w:cs="Times New Roman"/>
        </w:rPr>
      </w:pPr>
    </w:p>
    <w:p w:rsidR="006F0DF2" w:rsidRPr="00902DF1" w:rsidRDefault="006F0DF2" w:rsidP="006F0DF2">
      <w:pPr>
        <w:spacing w:after="0" w:line="240" w:lineRule="auto"/>
        <w:jc w:val="center"/>
        <w:rPr>
          <w:rFonts w:cs="Times New Roman"/>
        </w:rPr>
      </w:pPr>
      <w:r w:rsidRPr="00902DF1">
        <w:rPr>
          <w:rFonts w:cs="Times New Roman"/>
          <w:noProof/>
        </w:rPr>
        <w:drawing>
          <wp:inline distT="0" distB="0" distL="0" distR="0" wp14:anchorId="002A5C84">
            <wp:extent cx="3911269" cy="4947920"/>
            <wp:effectExtent l="19050" t="19050" r="13335" b="2413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224" cy="495039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60DE8" w:rsidRPr="00902DF1" w:rsidRDefault="00960DE8" w:rsidP="00960DE8">
      <w:pPr>
        <w:spacing w:after="0" w:line="240" w:lineRule="auto"/>
        <w:jc w:val="both"/>
        <w:rPr>
          <w:rFonts w:cs="Times New Roman"/>
        </w:rPr>
      </w:pPr>
    </w:p>
    <w:p w:rsidR="00960DE8" w:rsidRPr="00902DF1" w:rsidRDefault="00960DE8" w:rsidP="00960DE8">
      <w:pPr>
        <w:spacing w:after="0" w:line="240" w:lineRule="auto"/>
        <w:jc w:val="both"/>
        <w:rPr>
          <w:rFonts w:cs="Times New Roman"/>
        </w:rPr>
      </w:pPr>
      <w:r w:rsidRPr="00902DF1">
        <w:rPr>
          <w:rFonts w:cs="Times New Roman"/>
        </w:rPr>
        <w:t>(</w:t>
      </w:r>
      <w:r w:rsidRPr="00902DF1">
        <w:rPr>
          <w:rFonts w:cs="Times New Roman"/>
          <w:b/>
          <w:bCs/>
        </w:rPr>
        <w:t>A</w:t>
      </w:r>
      <w:r w:rsidRPr="00902DF1">
        <w:rPr>
          <w:rFonts w:cs="Times New Roman"/>
        </w:rPr>
        <w:t>) Plasmid for h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>3AR-rAAV production. (</w:t>
      </w:r>
      <w:r w:rsidRPr="00902DF1">
        <w:rPr>
          <w:rFonts w:cs="Times New Roman"/>
          <w:b/>
          <w:bCs/>
        </w:rPr>
        <w:t>B</w:t>
      </w:r>
      <w:r w:rsidRPr="00902DF1">
        <w:rPr>
          <w:rFonts w:cs="Times New Roman"/>
        </w:rPr>
        <w:t>) Plasmid used for control EGFP-</w:t>
      </w:r>
      <w:proofErr w:type="spellStart"/>
      <w:r w:rsidRPr="00902DF1">
        <w:rPr>
          <w:rFonts w:cs="Times New Roman"/>
        </w:rPr>
        <w:t>rAAV</w:t>
      </w:r>
      <w:proofErr w:type="spellEnd"/>
      <w:r w:rsidRPr="00902DF1">
        <w:rPr>
          <w:rFonts w:cs="Times New Roman"/>
        </w:rPr>
        <w:t xml:space="preserve"> production. ITR, recognition site for AVV packaging; Cmr4, enhancer sequence; Prom </w:t>
      </w:r>
      <w:proofErr w:type="spellStart"/>
      <w:r w:rsidRPr="00902DF1">
        <w:rPr>
          <w:rFonts w:cs="Times New Roman"/>
        </w:rPr>
        <w:t>cTnT</w:t>
      </w:r>
      <w:proofErr w:type="spellEnd"/>
      <w:r w:rsidRPr="00902DF1">
        <w:rPr>
          <w:rFonts w:cs="Times New Roman"/>
        </w:rPr>
        <w:t xml:space="preserve">, troponin T promoter sequence for cardiomyocyte-specific expression; ADRB3, c-DNA sequence of the human 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 xml:space="preserve">3AR receptor; EGFP, enhanced green fluorescent protein sequence; IRES, internal ribosome entry site. </w:t>
      </w:r>
    </w:p>
    <w:p w:rsidR="00960DE8" w:rsidRPr="00902DF1" w:rsidRDefault="00960DE8" w:rsidP="00960D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cs="Times New Roman"/>
          <w:b/>
          <w:bCs/>
        </w:rPr>
      </w:pPr>
    </w:p>
    <w:p w:rsidR="006F0DF2" w:rsidRPr="00902DF1" w:rsidRDefault="006F0D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/>
          <w:bCs/>
        </w:rPr>
      </w:pPr>
      <w:r w:rsidRPr="00902DF1">
        <w:rPr>
          <w:rFonts w:cs="Times New Roman"/>
          <w:b/>
          <w:bCs/>
        </w:rPr>
        <w:br w:type="page"/>
      </w:r>
    </w:p>
    <w:p w:rsidR="00960DE8" w:rsidRDefault="00960DE8" w:rsidP="00960D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cs="Times New Roman"/>
          <w:b/>
        </w:rPr>
      </w:pPr>
      <w:r w:rsidRPr="00902DF1">
        <w:rPr>
          <w:rFonts w:cs="Times New Roman"/>
          <w:b/>
          <w:bCs/>
        </w:rPr>
        <w:lastRenderedPageBreak/>
        <w:t>Figure S2</w:t>
      </w:r>
      <w:r w:rsidRPr="00902DF1">
        <w:rPr>
          <w:rFonts w:cs="Times New Roman"/>
          <w:b/>
          <w:bCs/>
          <w:iCs/>
        </w:rPr>
        <w:t>. Beta3-adrenergic receptor overexpression protects neonatal rat ventricular myocytes from isoproterenol-induced hypertrophy</w:t>
      </w:r>
      <w:r w:rsidRPr="00902DF1">
        <w:rPr>
          <w:rFonts w:cs="Times New Roman"/>
          <w:b/>
        </w:rPr>
        <w:t xml:space="preserve">. </w:t>
      </w:r>
    </w:p>
    <w:p w:rsidR="00902DF1" w:rsidRPr="00902DF1" w:rsidRDefault="00902DF1" w:rsidP="00960D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cs="Times New Roman"/>
          <w:b/>
        </w:rPr>
      </w:pPr>
    </w:p>
    <w:p w:rsidR="006F0DF2" w:rsidRPr="00902DF1" w:rsidRDefault="006F0DF2" w:rsidP="006F0D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cs="Times New Roman"/>
          <w:b/>
        </w:rPr>
      </w:pPr>
      <w:r w:rsidRPr="00902DF1">
        <w:rPr>
          <w:rFonts w:cs="Times New Roman"/>
          <w:b/>
          <w:noProof/>
        </w:rPr>
        <w:drawing>
          <wp:inline distT="0" distB="0" distL="0" distR="0" wp14:anchorId="66DB1187">
            <wp:extent cx="4738628" cy="3205480"/>
            <wp:effectExtent l="19050" t="19050" r="24130" b="139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862" cy="3206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60DE8" w:rsidRPr="00902DF1" w:rsidRDefault="00960DE8" w:rsidP="00960DE8">
      <w:pPr>
        <w:spacing w:after="0" w:line="240" w:lineRule="auto"/>
        <w:jc w:val="both"/>
        <w:rPr>
          <w:rFonts w:cs="Times New Roman"/>
          <w:b/>
        </w:rPr>
      </w:pPr>
    </w:p>
    <w:p w:rsidR="00960DE8" w:rsidRPr="00902DF1" w:rsidRDefault="00960DE8" w:rsidP="00960DE8">
      <w:pPr>
        <w:spacing w:after="0" w:line="240" w:lineRule="auto"/>
        <w:jc w:val="both"/>
        <w:rPr>
          <w:rFonts w:cs="Times New Roman"/>
        </w:rPr>
      </w:pPr>
      <w:r w:rsidRPr="00902DF1">
        <w:rPr>
          <w:rFonts w:cs="Times New Roman"/>
        </w:rPr>
        <w:t>(</w:t>
      </w:r>
      <w:r w:rsidRPr="00902DF1">
        <w:rPr>
          <w:rFonts w:cs="Times New Roman"/>
          <w:b/>
          <w:bCs/>
        </w:rPr>
        <w:t>A</w:t>
      </w:r>
      <w:r w:rsidRPr="00902DF1">
        <w:rPr>
          <w:rFonts w:cs="Times New Roman"/>
        </w:rPr>
        <w:t>) Representative images of neonatal rat ventricular myocytes (NRVM) transfected with EGFP adeno-associated virus serotype 6 at 10K MOI for 48 hours (top) and 72 hours (bottom). EGFP signal is evident in most cells after 72 hours of transduction. Scale bar, 100µm. (</w:t>
      </w:r>
      <w:r w:rsidRPr="00902DF1">
        <w:rPr>
          <w:rFonts w:cs="Times New Roman"/>
          <w:b/>
          <w:bCs/>
        </w:rPr>
        <w:t>B</w:t>
      </w:r>
      <w:r w:rsidRPr="00902DF1">
        <w:rPr>
          <w:rFonts w:cs="Times New Roman"/>
        </w:rPr>
        <w:t>) Luciferase activity quantification in NRVMs transduced for 72 hours with hβ3AR-luciferase adeno-associated virus serotype 6 at 5K, 10K, and 50K MOI. A 10K MOI sufficiently transduces NRVMs. Data are means ± SEM from two independent experiments. (</w:t>
      </w:r>
      <w:r w:rsidRPr="00902DF1">
        <w:rPr>
          <w:rFonts w:cs="Times New Roman"/>
          <w:b/>
          <w:bCs/>
        </w:rPr>
        <w:t>C</w:t>
      </w:r>
      <w:r w:rsidRPr="00902DF1">
        <w:rPr>
          <w:rFonts w:cs="Times New Roman"/>
        </w:rPr>
        <w:t xml:space="preserve">) Immunostaining for </w:t>
      </w:r>
      <w:r w:rsidRPr="00902DF1">
        <w:rPr>
          <w:rFonts w:cs="Times New Roman"/>
          <w:lang w:val="el-GR"/>
        </w:rPr>
        <w:t>α</w:t>
      </w:r>
      <w:r w:rsidRPr="00902DF1">
        <w:rPr>
          <w:rFonts w:cs="Times New Roman"/>
        </w:rPr>
        <w:t xml:space="preserve">-actin (green) and hβ3AR (red) in NRVMs transduced for 72 hours with control (AAV6-EGFP) or human β3AR adeno-associated virus (AAV6-hβ3AR), showing membrane localization of hβ3AR and no signal in control cells. Scale bar, 20 µm. Data are means ± SEM. </w:t>
      </w:r>
    </w:p>
    <w:p w:rsidR="00960DE8" w:rsidRPr="00902DF1" w:rsidRDefault="00960DE8" w:rsidP="00960D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cs="Times New Roman"/>
          <w:b/>
          <w:bCs/>
        </w:rPr>
      </w:pPr>
    </w:p>
    <w:p w:rsidR="006F0DF2" w:rsidRPr="00902DF1" w:rsidRDefault="006F0D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/>
        </w:rPr>
      </w:pPr>
      <w:r w:rsidRPr="00902DF1">
        <w:rPr>
          <w:rFonts w:cs="Times New Roman"/>
          <w:b/>
        </w:rPr>
        <w:br w:type="page"/>
      </w:r>
    </w:p>
    <w:p w:rsidR="00960DE8" w:rsidRDefault="00960DE8" w:rsidP="00960DE8">
      <w:pPr>
        <w:spacing w:after="0" w:line="240" w:lineRule="auto"/>
        <w:jc w:val="both"/>
        <w:rPr>
          <w:rFonts w:cs="Times New Roman"/>
          <w:b/>
        </w:rPr>
      </w:pPr>
      <w:r w:rsidRPr="00902DF1">
        <w:rPr>
          <w:rFonts w:cs="Times New Roman"/>
          <w:b/>
        </w:rPr>
        <w:lastRenderedPageBreak/>
        <w:t xml:space="preserve">Figure S3. </w:t>
      </w:r>
      <w:r w:rsidRPr="00902DF1">
        <w:rPr>
          <w:rFonts w:cs="Times New Roman"/>
          <w:b/>
          <w:i/>
        </w:rPr>
        <w:t>In vivo</w:t>
      </w:r>
      <w:r w:rsidRPr="00902DF1">
        <w:rPr>
          <w:rFonts w:cs="Times New Roman"/>
          <w:b/>
        </w:rPr>
        <w:t xml:space="preserve"> assessment of LV function in c-h</w:t>
      </w:r>
      <w:r w:rsidRPr="00902DF1">
        <w:rPr>
          <w:rFonts w:cs="Times New Roman"/>
          <w:b/>
          <w:lang w:val="el-GR"/>
        </w:rPr>
        <w:t>β</w:t>
      </w:r>
      <w:r w:rsidRPr="00902DF1">
        <w:rPr>
          <w:rFonts w:cs="Times New Roman"/>
          <w:b/>
        </w:rPr>
        <w:t>3tg m</w:t>
      </w:r>
      <w:r w:rsidRPr="00902DF1">
        <w:rPr>
          <w:rFonts w:cs="Times New Roman"/>
          <w:b/>
          <w:lang w:val="el-GR"/>
        </w:rPr>
        <w:t>β</w:t>
      </w:r>
      <w:r w:rsidRPr="00902DF1">
        <w:rPr>
          <w:rFonts w:cs="Times New Roman"/>
          <w:b/>
        </w:rPr>
        <w:t>3KO mice and m</w:t>
      </w:r>
      <w:r w:rsidRPr="00902DF1">
        <w:rPr>
          <w:rFonts w:cs="Times New Roman"/>
          <w:b/>
          <w:lang w:val="el-GR"/>
        </w:rPr>
        <w:t>β</w:t>
      </w:r>
      <w:r w:rsidRPr="00902DF1">
        <w:rPr>
          <w:rFonts w:cs="Times New Roman"/>
          <w:b/>
        </w:rPr>
        <w:t>3KO control littermates</w:t>
      </w:r>
    </w:p>
    <w:p w:rsidR="00902DF1" w:rsidRPr="00902DF1" w:rsidRDefault="00902DF1" w:rsidP="00960DE8">
      <w:pPr>
        <w:spacing w:after="0" w:line="240" w:lineRule="auto"/>
        <w:jc w:val="both"/>
        <w:rPr>
          <w:rFonts w:cs="Times New Roman"/>
          <w:b/>
        </w:rPr>
      </w:pPr>
    </w:p>
    <w:p w:rsidR="006F0DF2" w:rsidRPr="00902DF1" w:rsidRDefault="006F0DF2" w:rsidP="006F0DF2">
      <w:pPr>
        <w:spacing w:after="0" w:line="240" w:lineRule="auto"/>
        <w:jc w:val="center"/>
        <w:rPr>
          <w:rFonts w:cs="Times New Roman"/>
          <w:b/>
        </w:rPr>
      </w:pPr>
      <w:r w:rsidRPr="00902DF1">
        <w:rPr>
          <w:rFonts w:cs="Times New Roman"/>
          <w:b/>
          <w:noProof/>
        </w:rPr>
        <w:drawing>
          <wp:inline distT="0" distB="0" distL="0" distR="0" wp14:anchorId="7109ADB6">
            <wp:extent cx="4339135" cy="5639719"/>
            <wp:effectExtent l="19050" t="19050" r="23495" b="184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451" cy="56414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60DE8" w:rsidRPr="00902DF1" w:rsidRDefault="00960DE8" w:rsidP="00960DE8">
      <w:pPr>
        <w:spacing w:after="0" w:line="240" w:lineRule="auto"/>
        <w:jc w:val="both"/>
        <w:rPr>
          <w:rFonts w:cs="Times New Roman"/>
          <w:b/>
        </w:rPr>
      </w:pPr>
    </w:p>
    <w:p w:rsidR="00960DE8" w:rsidRPr="00902DF1" w:rsidRDefault="00960DE8" w:rsidP="00960DE8">
      <w:pPr>
        <w:spacing w:after="0" w:line="240" w:lineRule="auto"/>
        <w:jc w:val="both"/>
        <w:rPr>
          <w:rFonts w:cs="Times New Roman"/>
        </w:rPr>
      </w:pPr>
      <w:r w:rsidRPr="00902DF1">
        <w:rPr>
          <w:rFonts w:cs="Times New Roman"/>
        </w:rPr>
        <w:t>(</w:t>
      </w:r>
      <w:r w:rsidRPr="00902DF1">
        <w:rPr>
          <w:rFonts w:cs="Times New Roman"/>
          <w:b/>
          <w:bCs/>
        </w:rPr>
        <w:t>A</w:t>
      </w:r>
      <w:r w:rsidRPr="00902DF1">
        <w:rPr>
          <w:rFonts w:cs="Times New Roman"/>
        </w:rPr>
        <w:t>) Increased chronotropic response to mirabegron in c-h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>3tg m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>3KO mice indicated by the effect on heart rate (HR). (</w:t>
      </w:r>
      <w:r w:rsidRPr="00902DF1">
        <w:rPr>
          <w:rFonts w:cs="Times New Roman"/>
          <w:b/>
          <w:bCs/>
        </w:rPr>
        <w:t>B-D</w:t>
      </w:r>
      <w:r w:rsidRPr="00902DF1">
        <w:rPr>
          <w:rFonts w:cs="Times New Roman"/>
        </w:rPr>
        <w:t>) Increased in systolic function in c-h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>3tg m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>3KO mice: (</w:t>
      </w:r>
      <w:r w:rsidRPr="00902DF1">
        <w:rPr>
          <w:rFonts w:cs="Times New Roman"/>
          <w:b/>
        </w:rPr>
        <w:t>B</w:t>
      </w:r>
      <w:r w:rsidRPr="00902DF1">
        <w:rPr>
          <w:rFonts w:cs="Times New Roman"/>
        </w:rPr>
        <w:t>) maximal derivative of LV pressure (</w:t>
      </w:r>
      <w:proofErr w:type="spellStart"/>
      <w:r w:rsidRPr="00902DF1">
        <w:rPr>
          <w:rFonts w:cs="Times New Roman"/>
        </w:rPr>
        <w:t>dP</w:t>
      </w:r>
      <w:proofErr w:type="spellEnd"/>
      <w:r w:rsidRPr="00902DF1">
        <w:rPr>
          <w:rFonts w:cs="Times New Roman"/>
        </w:rPr>
        <w:t>/</w:t>
      </w:r>
      <w:proofErr w:type="spellStart"/>
      <w:r w:rsidRPr="00902DF1">
        <w:rPr>
          <w:rFonts w:cs="Times New Roman"/>
        </w:rPr>
        <w:t>dt</w:t>
      </w:r>
      <w:r w:rsidRPr="00902DF1">
        <w:rPr>
          <w:rFonts w:cs="Times New Roman"/>
          <w:vertAlign w:val="subscript"/>
        </w:rPr>
        <w:t>max</w:t>
      </w:r>
      <w:proofErr w:type="spellEnd"/>
      <w:r w:rsidRPr="00902DF1">
        <w:rPr>
          <w:rFonts w:cs="Times New Roman"/>
        </w:rPr>
        <w:t>); (</w:t>
      </w:r>
      <w:r w:rsidRPr="00902DF1">
        <w:rPr>
          <w:rFonts w:cs="Times New Roman"/>
          <w:b/>
          <w:bCs/>
        </w:rPr>
        <w:t>C, D</w:t>
      </w:r>
      <w:r w:rsidRPr="00902DF1">
        <w:rPr>
          <w:rFonts w:cs="Times New Roman"/>
        </w:rPr>
        <w:t>) left ventricular end-systolic pressure (LVESP). (</w:t>
      </w:r>
      <w:r w:rsidRPr="00902DF1">
        <w:rPr>
          <w:rFonts w:cs="Times New Roman"/>
          <w:b/>
          <w:bCs/>
        </w:rPr>
        <w:t>E, G</w:t>
      </w:r>
      <w:r w:rsidRPr="00902DF1">
        <w:rPr>
          <w:rFonts w:cs="Times New Roman"/>
        </w:rPr>
        <w:t>) Increased diastolic function in c-h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>3tg m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>3KO mice: (</w:t>
      </w:r>
      <w:r w:rsidRPr="00902DF1">
        <w:rPr>
          <w:rFonts w:cs="Times New Roman"/>
          <w:b/>
        </w:rPr>
        <w:t>E, F</w:t>
      </w:r>
      <w:r w:rsidRPr="00902DF1">
        <w:rPr>
          <w:rFonts w:cs="Times New Roman"/>
        </w:rPr>
        <w:t>) minimal derivative of LV pressure (</w:t>
      </w:r>
      <w:proofErr w:type="spellStart"/>
      <w:r w:rsidRPr="00902DF1">
        <w:rPr>
          <w:rFonts w:cs="Times New Roman"/>
        </w:rPr>
        <w:t>dP</w:t>
      </w:r>
      <w:proofErr w:type="spellEnd"/>
      <w:r w:rsidRPr="00902DF1">
        <w:rPr>
          <w:rFonts w:cs="Times New Roman"/>
        </w:rPr>
        <w:t>/</w:t>
      </w:r>
      <w:proofErr w:type="spellStart"/>
      <w:r w:rsidRPr="00902DF1">
        <w:rPr>
          <w:rFonts w:cs="Times New Roman"/>
        </w:rPr>
        <w:t>dt</w:t>
      </w:r>
      <w:r w:rsidRPr="00902DF1">
        <w:rPr>
          <w:rFonts w:cs="Times New Roman"/>
          <w:vertAlign w:val="subscript"/>
        </w:rPr>
        <w:t>min</w:t>
      </w:r>
      <w:proofErr w:type="spellEnd"/>
      <w:r w:rsidRPr="00902DF1">
        <w:rPr>
          <w:rFonts w:cs="Times New Roman"/>
        </w:rPr>
        <w:t>); (</w:t>
      </w:r>
      <w:r w:rsidRPr="00902DF1">
        <w:rPr>
          <w:rFonts w:cs="Times New Roman"/>
          <w:b/>
          <w:bCs/>
        </w:rPr>
        <w:t>G</w:t>
      </w:r>
      <w:r w:rsidRPr="00902DF1">
        <w:rPr>
          <w:rFonts w:cs="Times New Roman"/>
        </w:rPr>
        <w:t>) time constant of isovolumic relaxation (Tau). (</w:t>
      </w:r>
      <w:r w:rsidRPr="00902DF1">
        <w:rPr>
          <w:rFonts w:cs="Times New Roman"/>
          <w:b/>
          <w:bCs/>
        </w:rPr>
        <w:t>H</w:t>
      </w:r>
      <w:r w:rsidRPr="00902DF1">
        <w:rPr>
          <w:rFonts w:cs="Times New Roman"/>
        </w:rPr>
        <w:t>) Representative pressure-volume loops showing an upward and leftward shift after mirabegron administration in c-h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>3tg vs. m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>3KO mice, indicating enhanced contractility. c-hβ3tg m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>3KO mice (red, n=3) and m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 xml:space="preserve">3KO control littermates (gray, n=3) at baseline and in response to the 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 xml:space="preserve">3AR agonist mirabegron (1µg/kg). Data are means ± SEM. Two-way ANOVA, **p&lt;0.01 and Student </w:t>
      </w:r>
      <w:r w:rsidRPr="00902DF1">
        <w:rPr>
          <w:rFonts w:cs="Times New Roman"/>
          <w:i/>
        </w:rPr>
        <w:t>t</w:t>
      </w:r>
      <w:r w:rsidRPr="00902DF1">
        <w:rPr>
          <w:rFonts w:cs="Times New Roman"/>
        </w:rPr>
        <w:t>-test (for increase plots), *p&lt;0.05, **p&lt;0.01.</w:t>
      </w:r>
    </w:p>
    <w:p w:rsidR="00960DE8" w:rsidRPr="00902DF1" w:rsidRDefault="00960DE8" w:rsidP="00960DE8">
      <w:pPr>
        <w:spacing w:after="0" w:line="240" w:lineRule="auto"/>
        <w:jc w:val="both"/>
        <w:rPr>
          <w:rFonts w:cs="Times New Roman"/>
          <w:b/>
          <w:bCs/>
        </w:rPr>
      </w:pPr>
    </w:p>
    <w:p w:rsidR="006F0DF2" w:rsidRPr="00902DF1" w:rsidRDefault="006F0D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/>
          <w:bCs/>
        </w:rPr>
      </w:pPr>
      <w:r w:rsidRPr="00902DF1">
        <w:rPr>
          <w:rFonts w:cs="Times New Roman"/>
          <w:b/>
          <w:bCs/>
        </w:rPr>
        <w:br w:type="page"/>
      </w:r>
    </w:p>
    <w:p w:rsidR="00960DE8" w:rsidRDefault="00960DE8" w:rsidP="00960DE8">
      <w:pPr>
        <w:spacing w:after="0" w:line="240" w:lineRule="auto"/>
        <w:jc w:val="both"/>
        <w:rPr>
          <w:rFonts w:cs="Times New Roman"/>
          <w:b/>
          <w:bCs/>
        </w:rPr>
      </w:pPr>
      <w:r w:rsidRPr="00902DF1">
        <w:rPr>
          <w:rFonts w:cs="Times New Roman"/>
          <w:b/>
          <w:bCs/>
        </w:rPr>
        <w:lastRenderedPageBreak/>
        <w:t xml:space="preserve">Figure S4. </w:t>
      </w:r>
      <w:r w:rsidR="007A772D" w:rsidRPr="00902DF1">
        <w:rPr>
          <w:rFonts w:cs="Times New Roman"/>
          <w:b/>
          <w:bCs/>
        </w:rPr>
        <w:t xml:space="preserve">Assessment of βAR transcripts in adult cardiomyocytes. </w:t>
      </w:r>
    </w:p>
    <w:p w:rsidR="00902DF1" w:rsidRPr="00902DF1" w:rsidRDefault="00902DF1" w:rsidP="00960DE8">
      <w:pPr>
        <w:spacing w:after="0" w:line="240" w:lineRule="auto"/>
        <w:jc w:val="both"/>
        <w:rPr>
          <w:rFonts w:cs="Times New Roman"/>
          <w:b/>
          <w:bCs/>
        </w:rPr>
      </w:pPr>
    </w:p>
    <w:p w:rsidR="006F0DF2" w:rsidRPr="00902DF1" w:rsidRDefault="006F0DF2" w:rsidP="006F0DF2">
      <w:pPr>
        <w:spacing w:after="0" w:line="240" w:lineRule="auto"/>
        <w:jc w:val="center"/>
        <w:rPr>
          <w:rFonts w:cs="Times New Roman"/>
          <w:b/>
          <w:bCs/>
        </w:rPr>
      </w:pPr>
      <w:r w:rsidRPr="00902DF1">
        <w:rPr>
          <w:rFonts w:cs="Times New Roman"/>
          <w:b/>
          <w:bCs/>
          <w:noProof/>
        </w:rPr>
        <w:drawing>
          <wp:inline distT="0" distB="0" distL="0" distR="0" wp14:anchorId="3C27801B">
            <wp:extent cx="4586906" cy="4813935"/>
            <wp:effectExtent l="19050" t="19050" r="23495" b="2476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576" cy="48146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A772D" w:rsidRPr="00902DF1" w:rsidRDefault="007A772D" w:rsidP="00960DE8">
      <w:pPr>
        <w:spacing w:after="0" w:line="240" w:lineRule="auto"/>
        <w:jc w:val="both"/>
        <w:rPr>
          <w:rFonts w:cs="Times New Roman"/>
          <w:b/>
          <w:bCs/>
        </w:rPr>
      </w:pPr>
    </w:p>
    <w:p w:rsidR="007A772D" w:rsidRPr="00902DF1" w:rsidRDefault="007A772D" w:rsidP="007A772D">
      <w:pPr>
        <w:spacing w:after="0" w:line="240" w:lineRule="auto"/>
        <w:jc w:val="both"/>
        <w:rPr>
          <w:rFonts w:cs="Times New Roman"/>
          <w:bCs/>
        </w:rPr>
      </w:pPr>
      <w:r w:rsidRPr="00902DF1">
        <w:rPr>
          <w:rFonts w:cs="Times New Roman"/>
          <w:bCs/>
        </w:rPr>
        <w:t xml:space="preserve">Evaluation of endogenous mouse </w:t>
      </w:r>
      <w:r w:rsidRPr="00902DF1">
        <w:rPr>
          <w:rFonts w:cs="Times New Roman"/>
          <w:bCs/>
          <w:i/>
        </w:rPr>
        <w:t>Adrb1</w:t>
      </w:r>
      <w:r w:rsidRPr="00902DF1">
        <w:rPr>
          <w:rFonts w:cs="Times New Roman"/>
          <w:bCs/>
        </w:rPr>
        <w:t xml:space="preserve"> (A), </w:t>
      </w:r>
      <w:r w:rsidRPr="00902DF1">
        <w:rPr>
          <w:rFonts w:cs="Times New Roman"/>
          <w:bCs/>
          <w:i/>
        </w:rPr>
        <w:t xml:space="preserve">Adrb2 </w:t>
      </w:r>
      <w:r w:rsidRPr="00902DF1">
        <w:rPr>
          <w:rFonts w:cs="Times New Roman"/>
          <w:bCs/>
        </w:rPr>
        <w:t xml:space="preserve">(B) and </w:t>
      </w:r>
      <w:r w:rsidRPr="00902DF1">
        <w:rPr>
          <w:rFonts w:cs="Times New Roman"/>
          <w:bCs/>
          <w:i/>
        </w:rPr>
        <w:t>Adrb3</w:t>
      </w:r>
      <w:r w:rsidRPr="00902DF1">
        <w:rPr>
          <w:rFonts w:cs="Times New Roman"/>
          <w:bCs/>
        </w:rPr>
        <w:t xml:space="preserve"> (C) transcripts in the context of transgenic human β3AR overexpression (c-hβ3tg mice) by qPCR. (D) Levels of the human </w:t>
      </w:r>
      <w:r w:rsidRPr="00902DF1">
        <w:rPr>
          <w:rFonts w:cs="Times New Roman"/>
          <w:bCs/>
          <w:i/>
        </w:rPr>
        <w:t>Adrb3</w:t>
      </w:r>
      <w:r w:rsidRPr="00902DF1">
        <w:rPr>
          <w:rFonts w:cs="Times New Roman"/>
          <w:bCs/>
        </w:rPr>
        <w:t xml:space="preserve"> transcript were also assessed.</w:t>
      </w:r>
      <w:r w:rsidRPr="00902DF1">
        <w:rPr>
          <w:rFonts w:cs="Times New Roman"/>
        </w:rPr>
        <w:t xml:space="preserve"> Data are means ± SEM. Student </w:t>
      </w:r>
      <w:r w:rsidRPr="00902DF1">
        <w:rPr>
          <w:rFonts w:cs="Times New Roman"/>
          <w:i/>
        </w:rPr>
        <w:t>t</w:t>
      </w:r>
      <w:r w:rsidRPr="00902DF1">
        <w:rPr>
          <w:rFonts w:cs="Times New Roman"/>
        </w:rPr>
        <w:t>-test</w:t>
      </w:r>
      <w:r w:rsidR="0051286D" w:rsidRPr="00902DF1">
        <w:rPr>
          <w:rFonts w:cs="Times New Roman"/>
        </w:rPr>
        <w:t xml:space="preserve"> or Mann-Whitney test</w:t>
      </w:r>
      <w:r w:rsidRPr="00902DF1">
        <w:rPr>
          <w:rFonts w:cs="Times New Roman"/>
        </w:rPr>
        <w:t xml:space="preserve"> </w:t>
      </w:r>
      <w:r w:rsidR="0051286D" w:rsidRPr="00902DF1">
        <w:rPr>
          <w:rFonts w:cs="Times New Roman"/>
        </w:rPr>
        <w:t>were</w:t>
      </w:r>
      <w:r w:rsidRPr="00902DF1">
        <w:rPr>
          <w:rFonts w:cs="Times New Roman"/>
        </w:rPr>
        <w:t xml:space="preserve"> used to compare differences between </w:t>
      </w:r>
      <w:r w:rsidR="0051286D" w:rsidRPr="00902DF1">
        <w:rPr>
          <w:rFonts w:cs="Times New Roman"/>
        </w:rPr>
        <w:t>WT</w:t>
      </w:r>
      <w:r w:rsidRPr="00902DF1">
        <w:rPr>
          <w:rFonts w:cs="Times New Roman"/>
        </w:rPr>
        <w:t xml:space="preserve"> (n=4) and c-hβ3tg mice (n=3). </w:t>
      </w:r>
      <w:r w:rsidR="00BA6F31" w:rsidRPr="00902DF1">
        <w:rPr>
          <w:rFonts w:cs="Times New Roman"/>
        </w:rPr>
        <w:t>NS, not significant</w:t>
      </w:r>
      <w:r w:rsidR="009A7502" w:rsidRPr="00902DF1">
        <w:rPr>
          <w:rFonts w:cs="Times New Roman"/>
        </w:rPr>
        <w:t>;</w:t>
      </w:r>
      <w:r w:rsidR="00BA6F31" w:rsidRPr="00902DF1">
        <w:rPr>
          <w:rFonts w:cs="Times New Roman"/>
        </w:rPr>
        <w:t xml:space="preserve"> *p&lt;0.05.</w:t>
      </w:r>
    </w:p>
    <w:p w:rsidR="00960DE8" w:rsidRPr="00902DF1" w:rsidRDefault="00960DE8" w:rsidP="00960DE8">
      <w:pPr>
        <w:spacing w:after="0" w:line="240" w:lineRule="auto"/>
        <w:jc w:val="both"/>
        <w:rPr>
          <w:rFonts w:cs="Times New Roman"/>
          <w:b/>
          <w:bCs/>
        </w:rPr>
      </w:pPr>
    </w:p>
    <w:p w:rsidR="006F0DF2" w:rsidRPr="00902DF1" w:rsidRDefault="006F0D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/>
          <w:bCs/>
        </w:rPr>
      </w:pPr>
      <w:r w:rsidRPr="00902DF1">
        <w:rPr>
          <w:rFonts w:cs="Times New Roman"/>
          <w:b/>
          <w:bCs/>
        </w:rPr>
        <w:br w:type="page"/>
      </w:r>
    </w:p>
    <w:p w:rsidR="0051286D" w:rsidRDefault="00960DE8" w:rsidP="00960DE8">
      <w:pPr>
        <w:spacing w:after="0" w:line="240" w:lineRule="auto"/>
        <w:jc w:val="both"/>
        <w:rPr>
          <w:rFonts w:cs="Times New Roman"/>
          <w:b/>
          <w:bCs/>
        </w:rPr>
      </w:pPr>
      <w:r w:rsidRPr="00902DF1">
        <w:rPr>
          <w:rFonts w:cs="Times New Roman"/>
          <w:b/>
          <w:bCs/>
        </w:rPr>
        <w:lastRenderedPageBreak/>
        <w:t xml:space="preserve">Figure S5. </w:t>
      </w:r>
      <w:r w:rsidR="0051286D" w:rsidRPr="00902DF1">
        <w:rPr>
          <w:rFonts w:cs="Times New Roman"/>
          <w:b/>
          <w:bCs/>
        </w:rPr>
        <w:t xml:space="preserve">Adult mouse hearts perfusion and cNMPs evaluation. </w:t>
      </w:r>
    </w:p>
    <w:p w:rsidR="00902DF1" w:rsidRPr="00902DF1" w:rsidRDefault="00902DF1" w:rsidP="00960DE8">
      <w:pPr>
        <w:spacing w:after="0" w:line="240" w:lineRule="auto"/>
        <w:jc w:val="both"/>
        <w:rPr>
          <w:rFonts w:cs="Times New Roman"/>
          <w:b/>
          <w:bCs/>
        </w:rPr>
      </w:pPr>
    </w:p>
    <w:p w:rsidR="006F0DF2" w:rsidRPr="00902DF1" w:rsidRDefault="006F0DF2" w:rsidP="006F0DF2">
      <w:pPr>
        <w:spacing w:after="0" w:line="240" w:lineRule="auto"/>
        <w:jc w:val="center"/>
        <w:rPr>
          <w:rFonts w:cs="Times New Roman"/>
          <w:b/>
          <w:bCs/>
        </w:rPr>
      </w:pPr>
      <w:r w:rsidRPr="00902DF1">
        <w:rPr>
          <w:rFonts w:cs="Times New Roman"/>
          <w:b/>
          <w:bCs/>
          <w:noProof/>
        </w:rPr>
        <w:drawing>
          <wp:inline distT="0" distB="0" distL="0" distR="0" wp14:anchorId="328979CF">
            <wp:extent cx="4342520" cy="1911350"/>
            <wp:effectExtent l="19050" t="19050" r="20320" b="1270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744" cy="19127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1286D" w:rsidRPr="00902DF1" w:rsidRDefault="0051286D" w:rsidP="00960DE8">
      <w:pPr>
        <w:spacing w:after="0" w:line="240" w:lineRule="auto"/>
        <w:jc w:val="both"/>
        <w:rPr>
          <w:rFonts w:cs="Times New Roman"/>
          <w:b/>
          <w:bCs/>
        </w:rPr>
      </w:pPr>
    </w:p>
    <w:p w:rsidR="00960DE8" w:rsidRPr="00902DF1" w:rsidRDefault="0051286D" w:rsidP="00960DE8">
      <w:pPr>
        <w:spacing w:after="0" w:line="240" w:lineRule="auto"/>
        <w:jc w:val="both"/>
        <w:rPr>
          <w:rFonts w:cs="Times New Roman"/>
          <w:bCs/>
        </w:rPr>
      </w:pPr>
      <w:r w:rsidRPr="00902DF1">
        <w:rPr>
          <w:rFonts w:cs="Times New Roman"/>
          <w:bCs/>
        </w:rPr>
        <w:t xml:space="preserve">Hearts from c-hβ3tg and WT mice were explanted and </w:t>
      </w:r>
      <w:r w:rsidRPr="00902DF1">
        <w:rPr>
          <w:rFonts w:cs="Times New Roman"/>
          <w:bCs/>
          <w:i/>
        </w:rPr>
        <w:t>ex vivo</w:t>
      </w:r>
      <w:r w:rsidRPr="00902DF1">
        <w:rPr>
          <w:rFonts w:cs="Times New Roman"/>
          <w:bCs/>
        </w:rPr>
        <w:t xml:space="preserve"> perfused with the β3AR agonist mirabegron. Upon exposure to β3AR agonist, the predominant effect was a massive increase in cGMP levels (A); however, there was a concurrent modest increase in cAMP levels (B). Therefore, </w:t>
      </w:r>
      <w:proofErr w:type="spellStart"/>
      <w:r w:rsidRPr="00902DF1">
        <w:rPr>
          <w:rFonts w:cs="Times New Roman"/>
          <w:bCs/>
        </w:rPr>
        <w:t>cGMP:cAMP</w:t>
      </w:r>
      <w:proofErr w:type="spellEnd"/>
      <w:r w:rsidRPr="00902DF1">
        <w:rPr>
          <w:rFonts w:cs="Times New Roman"/>
          <w:bCs/>
        </w:rPr>
        <w:t xml:space="preserve"> ratio was increased. </w:t>
      </w:r>
      <w:r w:rsidRPr="00902DF1">
        <w:rPr>
          <w:rFonts w:cs="Times New Roman"/>
        </w:rPr>
        <w:t xml:space="preserve">Data are means ± SEM. Student </w:t>
      </w:r>
      <w:r w:rsidRPr="00902DF1">
        <w:rPr>
          <w:rFonts w:cs="Times New Roman"/>
          <w:i/>
        </w:rPr>
        <w:t>t</w:t>
      </w:r>
      <w:r w:rsidRPr="00902DF1">
        <w:rPr>
          <w:rFonts w:cs="Times New Roman"/>
        </w:rPr>
        <w:t>-test or Mann-Whitney test were used to compare differences between WT (n=4) and c-hβ3tg</w:t>
      </w:r>
      <w:r w:rsidR="00BA6F31" w:rsidRPr="00902DF1">
        <w:rPr>
          <w:rFonts w:cs="Times New Roman"/>
        </w:rPr>
        <w:t xml:space="preserve"> mice (n=3). *p&lt;0.05.</w:t>
      </w:r>
    </w:p>
    <w:p w:rsidR="00960DE8" w:rsidRPr="00902DF1" w:rsidRDefault="00960DE8" w:rsidP="00960DE8">
      <w:pPr>
        <w:spacing w:after="0" w:line="240" w:lineRule="auto"/>
        <w:jc w:val="both"/>
        <w:rPr>
          <w:rFonts w:cs="Times New Roman"/>
          <w:b/>
          <w:bCs/>
        </w:rPr>
      </w:pPr>
    </w:p>
    <w:p w:rsidR="00BA6F31" w:rsidRPr="00902DF1" w:rsidRDefault="00BA6F31" w:rsidP="00960DE8">
      <w:pPr>
        <w:spacing w:after="0" w:line="240" w:lineRule="auto"/>
        <w:jc w:val="both"/>
        <w:rPr>
          <w:rFonts w:cs="Times New Roman"/>
          <w:b/>
          <w:bCs/>
        </w:rPr>
      </w:pPr>
    </w:p>
    <w:p w:rsidR="006F0DF2" w:rsidRPr="00902DF1" w:rsidRDefault="006F0D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/>
          <w:bCs/>
        </w:rPr>
      </w:pPr>
      <w:r w:rsidRPr="00902DF1">
        <w:rPr>
          <w:rFonts w:cs="Times New Roman"/>
          <w:b/>
          <w:bCs/>
        </w:rPr>
        <w:br w:type="page"/>
      </w:r>
    </w:p>
    <w:p w:rsidR="00960DE8" w:rsidRDefault="00960DE8" w:rsidP="00960DE8">
      <w:pPr>
        <w:spacing w:after="0" w:line="240" w:lineRule="auto"/>
        <w:jc w:val="both"/>
        <w:rPr>
          <w:rFonts w:cs="Times New Roman"/>
          <w:b/>
          <w:bCs/>
        </w:rPr>
      </w:pPr>
      <w:r w:rsidRPr="00902DF1">
        <w:rPr>
          <w:rFonts w:cs="Times New Roman"/>
          <w:b/>
          <w:bCs/>
        </w:rPr>
        <w:lastRenderedPageBreak/>
        <w:t>Figure S6.</w:t>
      </w:r>
      <w:r w:rsidR="00BA6F31" w:rsidRPr="00902DF1">
        <w:rPr>
          <w:rFonts w:cs="Times New Roman"/>
          <w:b/>
          <w:bCs/>
        </w:rPr>
        <w:t xml:space="preserve"> Pre-treatment with L-NAME in c-hβ3tg mice before TAC induction.</w:t>
      </w:r>
    </w:p>
    <w:p w:rsidR="00902DF1" w:rsidRPr="00902DF1" w:rsidRDefault="00902DF1" w:rsidP="00960DE8">
      <w:pPr>
        <w:spacing w:after="0" w:line="240" w:lineRule="auto"/>
        <w:jc w:val="both"/>
        <w:rPr>
          <w:rFonts w:cs="Times New Roman"/>
          <w:b/>
          <w:bCs/>
        </w:rPr>
      </w:pPr>
    </w:p>
    <w:p w:rsidR="006F0DF2" w:rsidRPr="00902DF1" w:rsidRDefault="006F0DF2" w:rsidP="006F0DF2">
      <w:pPr>
        <w:spacing w:after="0" w:line="240" w:lineRule="auto"/>
        <w:jc w:val="center"/>
        <w:rPr>
          <w:rFonts w:cs="Times New Roman"/>
          <w:b/>
          <w:bCs/>
        </w:rPr>
      </w:pPr>
      <w:r w:rsidRPr="00902DF1">
        <w:rPr>
          <w:rFonts w:cs="Times New Roman"/>
          <w:b/>
          <w:bCs/>
          <w:noProof/>
        </w:rPr>
        <w:drawing>
          <wp:inline distT="0" distB="0" distL="0" distR="0" wp14:anchorId="343FAEF8">
            <wp:extent cx="3509635" cy="4517239"/>
            <wp:effectExtent l="19050" t="19050" r="15240" b="1714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057" cy="45216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A6F31" w:rsidRPr="00902DF1" w:rsidRDefault="00BA6F31" w:rsidP="00960DE8">
      <w:pPr>
        <w:spacing w:after="0" w:line="240" w:lineRule="auto"/>
        <w:jc w:val="both"/>
        <w:rPr>
          <w:rFonts w:cs="Times New Roman"/>
          <w:b/>
          <w:bCs/>
        </w:rPr>
      </w:pPr>
    </w:p>
    <w:p w:rsidR="0051286D" w:rsidRPr="00902DF1" w:rsidRDefault="0051286D" w:rsidP="00960DE8">
      <w:pPr>
        <w:spacing w:after="0" w:line="240" w:lineRule="auto"/>
        <w:jc w:val="both"/>
        <w:rPr>
          <w:rFonts w:cs="Times New Roman"/>
          <w:bCs/>
        </w:rPr>
      </w:pPr>
      <w:r w:rsidRPr="00902DF1">
        <w:rPr>
          <w:rFonts w:cs="Times New Roman"/>
          <w:bCs/>
        </w:rPr>
        <w:t xml:space="preserve">c-hβ3tg mice previously pre-treated with the nitric oxide synthase inhibitor L-NAME (1mg/mL) for 15d or vehicle were subjected to TAC and followed up. 15d treatment with L-NAME in c-hβ3AR mice resulted in an increase of systolic (A) and diastolic pressures (B). </w:t>
      </w:r>
      <w:r w:rsidRPr="00902DF1">
        <w:rPr>
          <w:rFonts w:cs="Times New Roman"/>
        </w:rPr>
        <w:t xml:space="preserve">Data are means ± SEM. Student </w:t>
      </w:r>
      <w:r w:rsidRPr="00902DF1">
        <w:rPr>
          <w:rFonts w:cs="Times New Roman"/>
          <w:i/>
        </w:rPr>
        <w:t>t</w:t>
      </w:r>
      <w:r w:rsidRPr="00902DF1">
        <w:rPr>
          <w:rFonts w:cs="Times New Roman"/>
        </w:rPr>
        <w:t xml:space="preserve">-test </w:t>
      </w:r>
      <w:r w:rsidR="00BA6F31" w:rsidRPr="00902DF1">
        <w:rPr>
          <w:rFonts w:cs="Times New Roman"/>
        </w:rPr>
        <w:t>was</w:t>
      </w:r>
      <w:r w:rsidRPr="00902DF1">
        <w:rPr>
          <w:rFonts w:cs="Times New Roman"/>
        </w:rPr>
        <w:t xml:space="preserve"> used to compare differences between vehicle (n=3) and L-NAME-treated mice (n=4). </w:t>
      </w:r>
      <w:r w:rsidRPr="00902DF1">
        <w:rPr>
          <w:rFonts w:cs="Times New Roman"/>
          <w:bCs/>
        </w:rPr>
        <w:t>Additionally, c-hβ3tg mice under L-NAME had significantly less survival treatment than c-hβ3AR not receiving L-NAME (C).</w:t>
      </w:r>
      <w:r w:rsidRPr="00902DF1">
        <w:rPr>
          <w:rFonts w:cs="Times New Roman"/>
        </w:rPr>
        <w:t xml:space="preserve"> </w:t>
      </w:r>
      <w:r w:rsidR="00BA6F31" w:rsidRPr="00902DF1">
        <w:rPr>
          <w:rFonts w:cs="Times New Roman"/>
        </w:rPr>
        <w:t>Data are shown as a Kaplan-Meier Curve. *p&lt;0.05.</w:t>
      </w:r>
    </w:p>
    <w:p w:rsidR="00960DE8" w:rsidRPr="00902DF1" w:rsidRDefault="00960DE8" w:rsidP="00960DE8">
      <w:pPr>
        <w:spacing w:after="0" w:line="240" w:lineRule="auto"/>
        <w:jc w:val="both"/>
        <w:rPr>
          <w:rFonts w:cs="Times New Roman"/>
          <w:b/>
          <w:bCs/>
        </w:rPr>
      </w:pPr>
    </w:p>
    <w:p w:rsidR="006F0DF2" w:rsidRPr="00902DF1" w:rsidRDefault="006F0D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/>
          <w:bCs/>
        </w:rPr>
      </w:pPr>
      <w:r w:rsidRPr="00902DF1">
        <w:rPr>
          <w:rFonts w:cs="Times New Roman"/>
          <w:b/>
          <w:bCs/>
        </w:rPr>
        <w:br w:type="page"/>
      </w:r>
    </w:p>
    <w:p w:rsidR="00960DE8" w:rsidRDefault="00960DE8" w:rsidP="00960DE8">
      <w:pPr>
        <w:spacing w:after="0" w:line="240" w:lineRule="auto"/>
        <w:jc w:val="both"/>
        <w:rPr>
          <w:rFonts w:cs="Times New Roman"/>
          <w:b/>
          <w:bCs/>
        </w:rPr>
      </w:pPr>
      <w:r w:rsidRPr="00902DF1">
        <w:rPr>
          <w:rFonts w:cs="Times New Roman"/>
          <w:b/>
          <w:bCs/>
        </w:rPr>
        <w:lastRenderedPageBreak/>
        <w:t xml:space="preserve">Figure S7. </w:t>
      </w:r>
      <w:r w:rsidRPr="00902DF1">
        <w:rPr>
          <w:rFonts w:cs="Times New Roman"/>
          <w:b/>
          <w:lang w:val="en-GB"/>
        </w:rPr>
        <w:t>Cardiomyocyte</w:t>
      </w:r>
      <w:r w:rsidRPr="00902DF1">
        <w:rPr>
          <w:rFonts w:cs="Times New Roman"/>
          <w:b/>
          <w:bCs/>
        </w:rPr>
        <w:t xml:space="preserve"> free fatty-acid and glucose utilization.</w:t>
      </w:r>
    </w:p>
    <w:p w:rsidR="00902DF1" w:rsidRPr="00902DF1" w:rsidRDefault="00902DF1" w:rsidP="00960DE8">
      <w:pPr>
        <w:spacing w:after="0" w:line="240" w:lineRule="auto"/>
        <w:jc w:val="both"/>
        <w:rPr>
          <w:rFonts w:cs="Times New Roman"/>
          <w:b/>
          <w:bCs/>
        </w:rPr>
      </w:pPr>
    </w:p>
    <w:p w:rsidR="006F0DF2" w:rsidRPr="00902DF1" w:rsidRDefault="006F0DF2" w:rsidP="006F0DF2">
      <w:pPr>
        <w:spacing w:after="0" w:line="240" w:lineRule="auto"/>
        <w:jc w:val="center"/>
        <w:rPr>
          <w:rFonts w:cs="Times New Roman"/>
          <w:b/>
          <w:bCs/>
        </w:rPr>
      </w:pPr>
      <w:r w:rsidRPr="00902DF1">
        <w:rPr>
          <w:rFonts w:cs="Times New Roman"/>
          <w:b/>
          <w:bCs/>
          <w:noProof/>
        </w:rPr>
        <w:drawing>
          <wp:inline distT="0" distB="0" distL="0" distR="0" wp14:anchorId="2172EECC">
            <wp:extent cx="4688798" cy="4323715"/>
            <wp:effectExtent l="19050" t="19050" r="17145" b="1968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854" cy="432468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60DE8" w:rsidRPr="00902DF1" w:rsidRDefault="00960DE8" w:rsidP="00960DE8">
      <w:pPr>
        <w:spacing w:after="0" w:line="240" w:lineRule="auto"/>
        <w:jc w:val="both"/>
        <w:rPr>
          <w:rFonts w:cs="Times New Roman"/>
          <w:b/>
          <w:bCs/>
        </w:rPr>
      </w:pPr>
    </w:p>
    <w:p w:rsidR="00960DE8" w:rsidRPr="00902DF1" w:rsidRDefault="00960DE8" w:rsidP="00960DE8">
      <w:pPr>
        <w:spacing w:after="0" w:line="240" w:lineRule="auto"/>
        <w:jc w:val="both"/>
        <w:rPr>
          <w:rFonts w:cs="Times New Roman"/>
        </w:rPr>
      </w:pPr>
      <w:r w:rsidRPr="00902DF1">
        <w:rPr>
          <w:rFonts w:cs="Times New Roman"/>
        </w:rPr>
        <w:t>(A, B) Cardiomyocyte free fatty-acid utilization. (</w:t>
      </w:r>
      <w:r w:rsidRPr="00902DF1">
        <w:rPr>
          <w:rFonts w:cs="Times New Roman"/>
          <w:b/>
        </w:rPr>
        <w:t>A</w:t>
      </w:r>
      <w:r w:rsidRPr="00902DF1">
        <w:rPr>
          <w:rFonts w:cs="Times New Roman"/>
        </w:rPr>
        <w:t xml:space="preserve">) Oxygen consumption rates in cardiomyocytes isolated from healthy adult mβ3KO mice and c-hβ3tg mβ3KO mice. Cardiomyocytes were exposed to increasing doses of the free fatty acid palmitate (Palm) in the presence or absence of the 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>3AR agonist BRL37344 (1μM, n=8). Two-way ANOVA, **p&lt;0.01 for c-hβ3tg mβ3KO in the presence or absence of BRL37344. (</w:t>
      </w:r>
      <w:r w:rsidRPr="00902DF1">
        <w:rPr>
          <w:rFonts w:cs="Times New Roman"/>
          <w:b/>
        </w:rPr>
        <w:t>B</w:t>
      </w:r>
      <w:r w:rsidRPr="00902DF1">
        <w:rPr>
          <w:rFonts w:cs="Times New Roman"/>
        </w:rPr>
        <w:t xml:space="preserve">) Oxygen consumption rates at the highest palmitate concentration (3mM). The elevated BRL-activated oxygen consumption rate in c-hβ3tg mβ3KO cardiomyocytes indicates increased </w:t>
      </w:r>
      <w:r w:rsidRPr="00902DF1">
        <w:rPr>
          <w:rFonts w:cs="Times New Roman"/>
          <w:bCs/>
        </w:rPr>
        <w:t>fatty-acid utilization Student’s t test, *p&lt;0.05</w:t>
      </w:r>
      <w:r w:rsidRPr="00902DF1">
        <w:rPr>
          <w:rFonts w:cs="Times New Roman"/>
        </w:rPr>
        <w:t>. (</w:t>
      </w:r>
      <w:r w:rsidRPr="00902DF1">
        <w:rPr>
          <w:rFonts w:cs="Times New Roman"/>
          <w:b/>
        </w:rPr>
        <w:t>C, D</w:t>
      </w:r>
      <w:r w:rsidRPr="00902DF1">
        <w:rPr>
          <w:rFonts w:cs="Times New Roman"/>
        </w:rPr>
        <w:t>) Cardiomyocyte glucose utilization. (</w:t>
      </w:r>
      <w:r w:rsidRPr="00902DF1">
        <w:rPr>
          <w:rFonts w:cs="Times New Roman"/>
          <w:b/>
          <w:bCs/>
        </w:rPr>
        <w:t>C</w:t>
      </w:r>
      <w:r w:rsidRPr="00902DF1">
        <w:rPr>
          <w:rFonts w:cs="Times New Roman"/>
        </w:rPr>
        <w:t>) Extracellular acidification rate (an index of lactic acid production) in cardiomyocytes isolated from healthy adult mβ3KO mice and c-hβ3tg mβ3KO mice; cardiomyocytes were exposed to increasing doses of glucose (Glu) in the presence or absence of 1μM BRL37344 (n=8). Two-way ANOVA, NS, not significant, for c-hβ3tg mβ3KO in the presence or absence of BRL37344. (</w:t>
      </w:r>
      <w:r w:rsidRPr="00902DF1">
        <w:rPr>
          <w:rFonts w:cs="Times New Roman"/>
          <w:b/>
        </w:rPr>
        <w:t>D</w:t>
      </w:r>
      <w:r w:rsidRPr="00902DF1">
        <w:rPr>
          <w:rFonts w:cs="Times New Roman"/>
        </w:rPr>
        <w:t xml:space="preserve">) Extracellular acidification rates at the highest glucose concentration (40mM). Cellular metabolic parameters were measured using a Seahorse Bioscience XF96 Extracellular Flux Analyzer. Data are means ± SEM. </w:t>
      </w:r>
    </w:p>
    <w:p w:rsidR="00960DE8" w:rsidRPr="00902DF1" w:rsidRDefault="00960DE8" w:rsidP="00960DE8">
      <w:pPr>
        <w:spacing w:after="0" w:line="240" w:lineRule="auto"/>
        <w:jc w:val="both"/>
        <w:rPr>
          <w:rFonts w:cs="Times New Roman"/>
        </w:rPr>
      </w:pPr>
    </w:p>
    <w:p w:rsidR="006F0DF2" w:rsidRPr="00902DF1" w:rsidRDefault="006F0D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/>
        </w:rPr>
      </w:pPr>
      <w:r w:rsidRPr="00902DF1">
        <w:rPr>
          <w:rFonts w:cs="Times New Roman"/>
          <w:b/>
        </w:rPr>
        <w:br w:type="page"/>
      </w:r>
    </w:p>
    <w:p w:rsidR="00960DE8" w:rsidRDefault="00960DE8" w:rsidP="00960DE8">
      <w:pPr>
        <w:spacing w:after="0" w:line="240" w:lineRule="auto"/>
        <w:jc w:val="both"/>
        <w:rPr>
          <w:rFonts w:cs="Times New Roman"/>
          <w:b/>
        </w:rPr>
      </w:pPr>
      <w:r w:rsidRPr="00902DF1">
        <w:rPr>
          <w:rFonts w:cs="Times New Roman"/>
          <w:b/>
        </w:rPr>
        <w:lastRenderedPageBreak/>
        <w:t xml:space="preserve">Figure S8. </w:t>
      </w:r>
      <w:r w:rsidR="00BA6F31" w:rsidRPr="00902DF1">
        <w:rPr>
          <w:rFonts w:cs="Times New Roman"/>
          <w:b/>
        </w:rPr>
        <w:t>OPA1 and MFN2 evaluation in sham-operated mice.</w:t>
      </w:r>
    </w:p>
    <w:p w:rsidR="00902DF1" w:rsidRPr="00902DF1" w:rsidRDefault="00902DF1" w:rsidP="00960DE8">
      <w:pPr>
        <w:spacing w:after="0" w:line="240" w:lineRule="auto"/>
        <w:jc w:val="both"/>
        <w:rPr>
          <w:rFonts w:cs="Times New Roman"/>
          <w:b/>
        </w:rPr>
      </w:pPr>
    </w:p>
    <w:p w:rsidR="006F0DF2" w:rsidRPr="00902DF1" w:rsidRDefault="006F0DF2" w:rsidP="006F0DF2">
      <w:pPr>
        <w:spacing w:after="0" w:line="240" w:lineRule="auto"/>
        <w:jc w:val="center"/>
        <w:rPr>
          <w:rFonts w:cs="Times New Roman"/>
          <w:b/>
        </w:rPr>
      </w:pPr>
      <w:r w:rsidRPr="00902DF1">
        <w:rPr>
          <w:rFonts w:cs="Times New Roman"/>
          <w:b/>
          <w:noProof/>
        </w:rPr>
        <w:drawing>
          <wp:inline distT="0" distB="0" distL="0" distR="0" wp14:anchorId="21BC2C18">
            <wp:extent cx="3934460" cy="5269388"/>
            <wp:effectExtent l="19050" t="19050" r="27940" b="2667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375" cy="52719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A6F31" w:rsidRPr="00902DF1" w:rsidRDefault="00BA6F31" w:rsidP="00960DE8">
      <w:pPr>
        <w:spacing w:after="0" w:line="240" w:lineRule="auto"/>
        <w:jc w:val="both"/>
        <w:rPr>
          <w:rFonts w:cs="Times New Roman"/>
          <w:b/>
        </w:rPr>
      </w:pPr>
    </w:p>
    <w:p w:rsidR="00BA6F31" w:rsidRPr="00902DF1" w:rsidRDefault="00BA6F31" w:rsidP="00960DE8">
      <w:pPr>
        <w:spacing w:after="0" w:line="240" w:lineRule="auto"/>
        <w:jc w:val="both"/>
        <w:rPr>
          <w:rFonts w:cs="Times New Roman"/>
        </w:rPr>
      </w:pPr>
      <w:r w:rsidRPr="00902DF1">
        <w:rPr>
          <w:rFonts w:cs="Times New Roman"/>
        </w:rPr>
        <w:t xml:space="preserve">Protein expression of OPA1 (A, B) and MFN2 (A, C) in mice overexpressing hβ3AR (n=3) or WT (n=4) without TAC (sham) were evaluated, with no differences observed between genotypes. Expression of UCP-2 was also assessed in c-hβ3tg (n=5) or WT (n=4) 12 weeks after TAC induction. Data are means ± SEM. Student </w:t>
      </w:r>
      <w:r w:rsidRPr="00902DF1">
        <w:rPr>
          <w:rFonts w:cs="Times New Roman"/>
          <w:i/>
        </w:rPr>
        <w:t>t</w:t>
      </w:r>
      <w:r w:rsidRPr="00902DF1">
        <w:rPr>
          <w:rFonts w:cs="Times New Roman"/>
        </w:rPr>
        <w:t xml:space="preserve">-test was used to compare differences between </w:t>
      </w:r>
      <w:r w:rsidR="009A7502" w:rsidRPr="00902DF1">
        <w:rPr>
          <w:rFonts w:cs="Times New Roman"/>
        </w:rPr>
        <w:t>genotypes.</w:t>
      </w:r>
      <w:r w:rsidRPr="00902DF1">
        <w:rPr>
          <w:rFonts w:cs="Times New Roman"/>
        </w:rPr>
        <w:t xml:space="preserve"> </w:t>
      </w:r>
      <w:r w:rsidR="009A7502" w:rsidRPr="00902DF1">
        <w:rPr>
          <w:rFonts w:cs="Times New Roman"/>
        </w:rPr>
        <w:t xml:space="preserve">NS, not significant; </w:t>
      </w:r>
      <w:r w:rsidRPr="00902DF1">
        <w:rPr>
          <w:rFonts w:cs="Times New Roman"/>
        </w:rPr>
        <w:t>*p&lt;0.05.</w:t>
      </w:r>
    </w:p>
    <w:p w:rsidR="00960DE8" w:rsidRPr="00902DF1" w:rsidRDefault="00960DE8" w:rsidP="00960DE8">
      <w:pPr>
        <w:spacing w:after="0" w:line="240" w:lineRule="auto"/>
        <w:jc w:val="both"/>
        <w:rPr>
          <w:rFonts w:cs="Times New Roman"/>
        </w:rPr>
      </w:pPr>
    </w:p>
    <w:p w:rsidR="006F0DF2" w:rsidRPr="00902DF1" w:rsidRDefault="006F0D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/>
          <w:bCs/>
        </w:rPr>
      </w:pPr>
      <w:r w:rsidRPr="00902DF1">
        <w:rPr>
          <w:rFonts w:cs="Times New Roman"/>
          <w:b/>
          <w:bCs/>
        </w:rPr>
        <w:br w:type="page"/>
      </w:r>
    </w:p>
    <w:p w:rsidR="00960DE8" w:rsidRDefault="00960DE8" w:rsidP="00960DE8">
      <w:pPr>
        <w:spacing w:after="0" w:line="240" w:lineRule="auto"/>
        <w:jc w:val="both"/>
        <w:rPr>
          <w:rFonts w:cs="Times New Roman"/>
          <w:b/>
        </w:rPr>
      </w:pPr>
      <w:r w:rsidRPr="00902DF1">
        <w:rPr>
          <w:rFonts w:cs="Times New Roman"/>
          <w:b/>
          <w:bCs/>
        </w:rPr>
        <w:lastRenderedPageBreak/>
        <w:t xml:space="preserve">Figure S9. </w:t>
      </w:r>
      <w:r w:rsidRPr="00902DF1">
        <w:rPr>
          <w:rFonts w:cs="Times New Roman"/>
          <w:b/>
          <w:bCs/>
          <w:iCs/>
        </w:rPr>
        <w:t>Adeno-associated virus serotype 9 (AAV9) efficiently transduces cardiac tissue in mice.</w:t>
      </w:r>
      <w:r w:rsidRPr="00902DF1">
        <w:rPr>
          <w:rFonts w:cs="Times New Roman"/>
          <w:b/>
        </w:rPr>
        <w:t xml:space="preserve"> </w:t>
      </w:r>
    </w:p>
    <w:p w:rsidR="00902DF1" w:rsidRPr="00902DF1" w:rsidRDefault="00902DF1" w:rsidP="00960DE8">
      <w:pPr>
        <w:spacing w:after="0" w:line="240" w:lineRule="auto"/>
        <w:jc w:val="both"/>
        <w:rPr>
          <w:rFonts w:cs="Times New Roman"/>
          <w:b/>
        </w:rPr>
      </w:pPr>
    </w:p>
    <w:p w:rsidR="00960DE8" w:rsidRPr="00902DF1" w:rsidRDefault="006F0DF2" w:rsidP="006F0DF2">
      <w:pPr>
        <w:spacing w:after="0" w:line="240" w:lineRule="auto"/>
        <w:jc w:val="center"/>
        <w:rPr>
          <w:rFonts w:cs="Times New Roman"/>
          <w:b/>
        </w:rPr>
      </w:pPr>
      <w:r w:rsidRPr="00902DF1">
        <w:rPr>
          <w:rFonts w:cs="Times New Roman"/>
          <w:b/>
          <w:noProof/>
        </w:rPr>
        <w:drawing>
          <wp:inline distT="0" distB="0" distL="0" distR="0" wp14:anchorId="05026BCF">
            <wp:extent cx="4976161" cy="3441065"/>
            <wp:effectExtent l="19050" t="19050" r="15240" b="2603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907" cy="344158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F0DF2" w:rsidRPr="00902DF1" w:rsidRDefault="006F0DF2" w:rsidP="00960DE8">
      <w:pPr>
        <w:spacing w:after="0" w:line="240" w:lineRule="auto"/>
        <w:jc w:val="both"/>
        <w:rPr>
          <w:rFonts w:cs="Times New Roman"/>
          <w:b/>
        </w:rPr>
      </w:pPr>
    </w:p>
    <w:p w:rsidR="00960DE8" w:rsidRPr="00902DF1" w:rsidRDefault="00960DE8" w:rsidP="00960DE8">
      <w:pPr>
        <w:spacing w:after="0" w:line="240" w:lineRule="auto"/>
        <w:jc w:val="both"/>
        <w:rPr>
          <w:rFonts w:cs="Times New Roman"/>
        </w:rPr>
      </w:pPr>
      <w:r w:rsidRPr="00902DF1">
        <w:rPr>
          <w:rFonts w:cs="Times New Roman"/>
        </w:rPr>
        <w:t xml:space="preserve"> (</w:t>
      </w:r>
      <w:r w:rsidRPr="00902DF1">
        <w:rPr>
          <w:rFonts w:cs="Times New Roman"/>
          <w:b/>
          <w:bCs/>
        </w:rPr>
        <w:t>A</w:t>
      </w:r>
      <w:r w:rsidRPr="00902DF1">
        <w:rPr>
          <w:rFonts w:cs="Times New Roman"/>
        </w:rPr>
        <w:t xml:space="preserve">) </w:t>
      </w:r>
      <w:r w:rsidRPr="00902DF1">
        <w:rPr>
          <w:rFonts w:cs="Times New Roman"/>
          <w:i/>
        </w:rPr>
        <w:t>In vivo</w:t>
      </w:r>
      <w:r w:rsidRPr="00902DF1">
        <w:rPr>
          <w:rFonts w:cs="Times New Roman"/>
        </w:rPr>
        <w:t xml:space="preserve"> bioluminescence images showing luciferase activity in C57Bl6J mice 2 weeks after intravenous (femoral vein) injection of AAV9 (3x10</w:t>
      </w:r>
      <w:r w:rsidRPr="00902DF1">
        <w:rPr>
          <w:rFonts w:cs="Times New Roman"/>
          <w:vertAlign w:val="superscript"/>
        </w:rPr>
        <w:t xml:space="preserve">11 </w:t>
      </w:r>
      <w:r w:rsidRPr="00902DF1">
        <w:rPr>
          <w:rFonts w:cs="Times New Roman"/>
        </w:rPr>
        <w:t>viral genomes/mouse) (left) or saline (right). (</w:t>
      </w:r>
      <w:r w:rsidRPr="00902DF1">
        <w:rPr>
          <w:rFonts w:cs="Times New Roman"/>
          <w:b/>
          <w:bCs/>
        </w:rPr>
        <w:t>B</w:t>
      </w:r>
      <w:r w:rsidRPr="00902DF1">
        <w:rPr>
          <w:rFonts w:cs="Times New Roman"/>
        </w:rPr>
        <w:t xml:space="preserve">) </w:t>
      </w:r>
      <w:r w:rsidRPr="00902DF1">
        <w:rPr>
          <w:rFonts w:cs="Times New Roman"/>
          <w:i/>
        </w:rPr>
        <w:t>Ex vivo</w:t>
      </w:r>
      <w:r w:rsidRPr="00902DF1">
        <w:rPr>
          <w:rFonts w:cs="Times New Roman"/>
        </w:rPr>
        <w:t xml:space="preserve"> bioluminescence images from D-luciferin–organs from mice transduced with AAV9 (left) or saline (right). K, kidney; S, spleen; Li, liver; B, brain; H, heart; Lu, lungs; SM, skeletal muscle. Luciferase activity was predominantly observed the heart and activity was low in the liver. (</w:t>
      </w:r>
      <w:r w:rsidRPr="00902DF1">
        <w:rPr>
          <w:rFonts w:cs="Times New Roman"/>
          <w:b/>
          <w:bCs/>
        </w:rPr>
        <w:t>C</w:t>
      </w:r>
      <w:r w:rsidRPr="00902DF1">
        <w:rPr>
          <w:rFonts w:cs="Times New Roman"/>
        </w:rPr>
        <w:t xml:space="preserve">) Fluorescence microscopy of heart </w:t>
      </w:r>
      <w:proofErr w:type="spellStart"/>
      <w:r w:rsidRPr="00902DF1">
        <w:rPr>
          <w:rFonts w:cs="Times New Roman"/>
        </w:rPr>
        <w:t>cryosections</w:t>
      </w:r>
      <w:proofErr w:type="spellEnd"/>
      <w:r w:rsidRPr="00902DF1">
        <w:rPr>
          <w:rFonts w:cs="Times New Roman"/>
        </w:rPr>
        <w:t xml:space="preserve"> from mice transduced with AAV9-EGFP (left) or saline (right), showing the mosaic cell distribution of transgene expression.</w:t>
      </w:r>
    </w:p>
    <w:p w:rsidR="00960DE8" w:rsidRPr="00902DF1" w:rsidRDefault="00960DE8" w:rsidP="00960DE8">
      <w:pPr>
        <w:spacing w:after="0" w:line="240" w:lineRule="auto"/>
        <w:jc w:val="both"/>
        <w:rPr>
          <w:rFonts w:cs="Times New Roman"/>
          <w:b/>
          <w:bCs/>
        </w:rPr>
      </w:pPr>
    </w:p>
    <w:p w:rsidR="006F0DF2" w:rsidRPr="00902DF1" w:rsidRDefault="006F0D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/>
          <w:bCs/>
        </w:rPr>
      </w:pPr>
      <w:r w:rsidRPr="00902DF1">
        <w:rPr>
          <w:rFonts w:cs="Times New Roman"/>
          <w:b/>
          <w:bCs/>
        </w:rPr>
        <w:br w:type="page"/>
      </w:r>
    </w:p>
    <w:p w:rsidR="00960DE8" w:rsidRDefault="00960DE8" w:rsidP="00960DE8">
      <w:pPr>
        <w:spacing w:after="0" w:line="240" w:lineRule="auto"/>
        <w:jc w:val="both"/>
        <w:rPr>
          <w:rFonts w:cs="Times New Roman"/>
          <w:b/>
          <w:bCs/>
          <w:iCs/>
        </w:rPr>
      </w:pPr>
      <w:r w:rsidRPr="00902DF1">
        <w:rPr>
          <w:rFonts w:cs="Times New Roman"/>
          <w:b/>
          <w:bCs/>
        </w:rPr>
        <w:lastRenderedPageBreak/>
        <w:t xml:space="preserve">Figure S10. </w:t>
      </w:r>
      <w:r w:rsidRPr="00902DF1">
        <w:rPr>
          <w:rFonts w:cs="Times New Roman"/>
          <w:b/>
          <w:bCs/>
          <w:iCs/>
        </w:rPr>
        <w:t>Mice transduced with AAV9-h</w:t>
      </w:r>
      <w:r w:rsidRPr="00902DF1">
        <w:rPr>
          <w:rFonts w:cs="Times New Roman"/>
          <w:b/>
          <w:bCs/>
          <w:iCs/>
          <w:lang w:val="el-GR"/>
        </w:rPr>
        <w:t>β</w:t>
      </w:r>
      <w:r w:rsidRPr="00902DF1">
        <w:rPr>
          <w:rFonts w:cs="Times New Roman"/>
          <w:b/>
          <w:bCs/>
          <w:iCs/>
        </w:rPr>
        <w:t xml:space="preserve">3AR express functional beta3-adrenergic receptors in cardiomyocytes. </w:t>
      </w:r>
    </w:p>
    <w:p w:rsidR="00902DF1" w:rsidRPr="00902DF1" w:rsidRDefault="00902DF1" w:rsidP="00960DE8">
      <w:pPr>
        <w:spacing w:after="0" w:line="240" w:lineRule="auto"/>
        <w:jc w:val="both"/>
        <w:rPr>
          <w:rFonts w:cs="Times New Roman"/>
          <w:b/>
          <w:bCs/>
          <w:iCs/>
        </w:rPr>
      </w:pPr>
    </w:p>
    <w:p w:rsidR="006F0DF2" w:rsidRPr="00902DF1" w:rsidRDefault="006F0DF2" w:rsidP="006F0DF2">
      <w:pPr>
        <w:spacing w:after="0" w:line="240" w:lineRule="auto"/>
        <w:jc w:val="center"/>
        <w:rPr>
          <w:rFonts w:cs="Times New Roman"/>
          <w:b/>
          <w:bCs/>
          <w:iCs/>
        </w:rPr>
      </w:pPr>
      <w:r w:rsidRPr="00902DF1">
        <w:rPr>
          <w:rFonts w:cs="Times New Roman"/>
          <w:b/>
          <w:bCs/>
          <w:iCs/>
          <w:noProof/>
        </w:rPr>
        <w:drawing>
          <wp:inline distT="0" distB="0" distL="0" distR="0" wp14:anchorId="100BC643">
            <wp:extent cx="3840562" cy="6472838"/>
            <wp:effectExtent l="19050" t="19050" r="26670" b="2349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216" cy="64739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60DE8" w:rsidRPr="00902DF1" w:rsidRDefault="00960DE8" w:rsidP="00960DE8">
      <w:pPr>
        <w:spacing w:after="0" w:line="240" w:lineRule="auto"/>
        <w:jc w:val="both"/>
        <w:rPr>
          <w:rFonts w:cs="Times New Roman"/>
          <w:b/>
          <w:bCs/>
          <w:iCs/>
        </w:rPr>
      </w:pPr>
    </w:p>
    <w:p w:rsidR="00960DE8" w:rsidRPr="00902DF1" w:rsidRDefault="00960DE8" w:rsidP="00960DE8">
      <w:pPr>
        <w:spacing w:after="0" w:line="240" w:lineRule="auto"/>
        <w:jc w:val="both"/>
        <w:rPr>
          <w:rFonts w:cs="Times New Roman"/>
        </w:rPr>
      </w:pPr>
      <w:r w:rsidRPr="00902DF1">
        <w:rPr>
          <w:rFonts w:cs="Times New Roman"/>
        </w:rPr>
        <w:t>(</w:t>
      </w:r>
      <w:r w:rsidRPr="00902DF1">
        <w:rPr>
          <w:rFonts w:cs="Times New Roman"/>
          <w:b/>
          <w:bCs/>
        </w:rPr>
        <w:t>A</w:t>
      </w:r>
      <w:r w:rsidRPr="00902DF1">
        <w:rPr>
          <w:rFonts w:cs="Times New Roman"/>
        </w:rPr>
        <w:t xml:space="preserve">) RT-PCR analysis showing </w:t>
      </w:r>
      <w:r w:rsidRPr="00902DF1">
        <w:rPr>
          <w:rFonts w:cs="Times New Roman"/>
          <w:i/>
        </w:rPr>
        <w:t>ADRB3</w:t>
      </w:r>
      <w:r w:rsidRPr="00902DF1">
        <w:rPr>
          <w:rFonts w:cs="Times New Roman"/>
        </w:rPr>
        <w:t xml:space="preserve"> gene expression in cardiomyocytes from mice transduced with AAV9-hβ3AR but not AAV9-EGFP. The probe was designed to target only the human 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>3AR cDNA sequence. (</w:t>
      </w:r>
      <w:r w:rsidRPr="00902DF1">
        <w:rPr>
          <w:rFonts w:cs="Times New Roman"/>
          <w:b/>
          <w:bCs/>
        </w:rPr>
        <w:t>B</w:t>
      </w:r>
      <w:r w:rsidRPr="00902DF1">
        <w:rPr>
          <w:rFonts w:cs="Times New Roman"/>
        </w:rPr>
        <w:t>) Representative immunostaining in adult mouse ventricular myocytes from mice injected with AAV9-h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>3AR (left) or control AAV9-EGFP (right). h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>3AR (red) is found at the sarcolemma of AAV9-h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>3AR-transduced cardiomyocytes. Lectin staining of membrane glycoproteins (green) is shown for comparison. Scale bar, 50µm. (</w:t>
      </w:r>
      <w:r w:rsidRPr="00902DF1">
        <w:rPr>
          <w:rFonts w:cs="Times New Roman"/>
          <w:b/>
          <w:bCs/>
        </w:rPr>
        <w:t>C</w:t>
      </w:r>
      <w:r w:rsidRPr="00902DF1">
        <w:rPr>
          <w:rFonts w:cs="Times New Roman"/>
        </w:rPr>
        <w:t xml:space="preserve">) 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 xml:space="preserve">3AR-driven cGMP production </w:t>
      </w:r>
      <w:r w:rsidRPr="00902DF1">
        <w:rPr>
          <w:rFonts w:cs="Times New Roman"/>
        </w:rPr>
        <w:lastRenderedPageBreak/>
        <w:t>in hearts from m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>3KO mice transduced with AAV9-h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 xml:space="preserve">3AR or AAV9-EGFP. Hearts were perfused </w:t>
      </w:r>
      <w:r w:rsidRPr="00902DF1">
        <w:rPr>
          <w:rFonts w:cs="Times New Roman"/>
          <w:i/>
        </w:rPr>
        <w:t>ex vivo</w:t>
      </w:r>
      <w:r w:rsidRPr="00902DF1">
        <w:rPr>
          <w:rFonts w:cs="Times New Roman"/>
        </w:rPr>
        <w:t xml:space="preserve"> with the 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>3AR agonist BRL37344 (BRL, 0.1μM) or vehicle (Control). (</w:t>
      </w:r>
      <w:r w:rsidRPr="00902DF1">
        <w:rPr>
          <w:rFonts w:cs="Times New Roman"/>
          <w:b/>
          <w:bCs/>
        </w:rPr>
        <w:t>D</w:t>
      </w:r>
      <w:r w:rsidRPr="00902DF1">
        <w:rPr>
          <w:rFonts w:cs="Times New Roman"/>
        </w:rPr>
        <w:t>-</w:t>
      </w:r>
      <w:r w:rsidRPr="00902DF1">
        <w:rPr>
          <w:rFonts w:cs="Times New Roman"/>
          <w:b/>
          <w:bCs/>
        </w:rPr>
        <w:t>G</w:t>
      </w:r>
      <w:r w:rsidRPr="00902DF1">
        <w:rPr>
          <w:rFonts w:cs="Times New Roman"/>
        </w:rPr>
        <w:t>) Analysis of left ventricular function in mice transduced with AAV9-h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>3AR (orange, n=9) or AAV9-EGFP (black, n=10) at baseline and in response to increasing doses of BRL 37344, with AAV9-h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>3AR-transduced mice showing an increased chronotropic response (heart rate, HR), increased systolic function indicated by maximal derivative of LV pressure (</w:t>
      </w:r>
      <w:proofErr w:type="spellStart"/>
      <w:r w:rsidRPr="00902DF1">
        <w:rPr>
          <w:rFonts w:cs="Times New Roman"/>
        </w:rPr>
        <w:t>dP</w:t>
      </w:r>
      <w:proofErr w:type="spellEnd"/>
      <w:r w:rsidRPr="00902DF1">
        <w:rPr>
          <w:rFonts w:cs="Times New Roman"/>
        </w:rPr>
        <w:t>/</w:t>
      </w:r>
      <w:proofErr w:type="spellStart"/>
      <w:r w:rsidRPr="00902DF1">
        <w:rPr>
          <w:rFonts w:cs="Times New Roman"/>
        </w:rPr>
        <w:t>dt</w:t>
      </w:r>
      <w:r w:rsidRPr="00902DF1">
        <w:rPr>
          <w:rFonts w:cs="Times New Roman"/>
          <w:vertAlign w:val="subscript"/>
        </w:rPr>
        <w:t>max</w:t>
      </w:r>
      <w:proofErr w:type="spellEnd"/>
      <w:r w:rsidRPr="00902DF1">
        <w:rPr>
          <w:rFonts w:cs="Times New Roman"/>
        </w:rPr>
        <w:t>) and left ventricular end-systolic pressure (LVESP), and increased diastolic function indicated by the minimal derivative of LV pressure (</w:t>
      </w:r>
      <w:proofErr w:type="spellStart"/>
      <w:r w:rsidRPr="00902DF1">
        <w:rPr>
          <w:rFonts w:cs="Times New Roman"/>
        </w:rPr>
        <w:t>dP</w:t>
      </w:r>
      <w:proofErr w:type="spellEnd"/>
      <w:r w:rsidRPr="00902DF1">
        <w:rPr>
          <w:rFonts w:cs="Times New Roman"/>
        </w:rPr>
        <w:t>/</w:t>
      </w:r>
      <w:proofErr w:type="spellStart"/>
      <w:r w:rsidRPr="00902DF1">
        <w:rPr>
          <w:rFonts w:cs="Times New Roman"/>
        </w:rPr>
        <w:t>dt</w:t>
      </w:r>
      <w:r w:rsidRPr="00902DF1">
        <w:rPr>
          <w:rFonts w:cs="Times New Roman"/>
          <w:vertAlign w:val="subscript"/>
        </w:rPr>
        <w:t>min</w:t>
      </w:r>
      <w:proofErr w:type="spellEnd"/>
      <w:r w:rsidRPr="00902DF1">
        <w:rPr>
          <w:rFonts w:cs="Times New Roman"/>
        </w:rPr>
        <w:t>). Data are means ± SEM. Two-way ANOVA, *p&lt;0.05</w:t>
      </w:r>
    </w:p>
    <w:p w:rsidR="00960DE8" w:rsidRPr="00902DF1" w:rsidRDefault="00960DE8" w:rsidP="00960DE8">
      <w:pPr>
        <w:spacing w:after="0" w:line="240" w:lineRule="auto"/>
        <w:jc w:val="both"/>
        <w:rPr>
          <w:rFonts w:cs="Times New Roman"/>
        </w:rPr>
      </w:pPr>
    </w:p>
    <w:p w:rsidR="006F0DF2" w:rsidRPr="00902DF1" w:rsidRDefault="006F0D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/>
          <w:bCs/>
        </w:rPr>
      </w:pPr>
      <w:r w:rsidRPr="00902DF1">
        <w:rPr>
          <w:rFonts w:cs="Times New Roman"/>
          <w:b/>
          <w:bCs/>
        </w:rPr>
        <w:br w:type="page"/>
      </w:r>
    </w:p>
    <w:p w:rsidR="00960DE8" w:rsidRDefault="00960DE8" w:rsidP="00960D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cs="Times New Roman"/>
          <w:i/>
          <w:iCs/>
        </w:rPr>
      </w:pPr>
      <w:r w:rsidRPr="00902DF1">
        <w:rPr>
          <w:rFonts w:cs="Times New Roman"/>
          <w:b/>
          <w:bCs/>
        </w:rPr>
        <w:lastRenderedPageBreak/>
        <w:t>Figure S11.</w:t>
      </w:r>
      <w:r w:rsidRPr="00902DF1">
        <w:rPr>
          <w:rFonts w:cs="Times New Roman"/>
          <w:b/>
          <w:bCs/>
          <w:i/>
          <w:iCs/>
        </w:rPr>
        <w:t xml:space="preserve"> </w:t>
      </w:r>
      <w:r w:rsidRPr="00902DF1">
        <w:rPr>
          <w:rFonts w:cs="Times New Roman"/>
          <w:b/>
          <w:bCs/>
          <w:iCs/>
        </w:rPr>
        <w:t>Gene-therapy– mediated beta3-adrenergic receptor overexpression in cardiomyocytes does not revert the cardiac metabolic switch in heart failure.</w:t>
      </w:r>
      <w:r w:rsidRPr="00902DF1">
        <w:rPr>
          <w:rFonts w:cs="Times New Roman"/>
          <w:i/>
          <w:iCs/>
        </w:rPr>
        <w:t xml:space="preserve"> </w:t>
      </w:r>
    </w:p>
    <w:p w:rsidR="00902DF1" w:rsidRPr="00902DF1" w:rsidRDefault="00902DF1" w:rsidP="00960D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cs="Times New Roman"/>
          <w:i/>
          <w:iCs/>
        </w:rPr>
      </w:pPr>
      <w:bookmarkStart w:id="0" w:name="_GoBack"/>
      <w:bookmarkEnd w:id="0"/>
    </w:p>
    <w:p w:rsidR="006F0DF2" w:rsidRPr="00902DF1" w:rsidRDefault="006F0DF2" w:rsidP="006F0D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cs="Times New Roman"/>
          <w:b/>
          <w:bCs/>
        </w:rPr>
      </w:pPr>
      <w:r w:rsidRPr="00902DF1">
        <w:rPr>
          <w:rFonts w:cs="Times New Roman"/>
          <w:b/>
          <w:bCs/>
          <w:noProof/>
        </w:rPr>
        <w:drawing>
          <wp:inline distT="0" distB="0" distL="0" distR="0" wp14:anchorId="5ED5BC39">
            <wp:extent cx="3428714" cy="4401820"/>
            <wp:effectExtent l="19050" t="19050" r="19685" b="1778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22" cy="440311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60DE8" w:rsidRPr="00902DF1" w:rsidRDefault="00960DE8" w:rsidP="00960DE8">
      <w:pPr>
        <w:spacing w:after="0" w:line="240" w:lineRule="auto"/>
        <w:jc w:val="both"/>
        <w:rPr>
          <w:rFonts w:cs="Times New Roman"/>
          <w:i/>
          <w:iCs/>
        </w:rPr>
      </w:pPr>
    </w:p>
    <w:p w:rsidR="00960DE8" w:rsidRDefault="00960DE8" w:rsidP="00960D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B050"/>
          <w:shd w:val="clear" w:color="auto" w:fill="FFFFFF"/>
        </w:rPr>
      </w:pPr>
      <w:r w:rsidRPr="00902DF1">
        <w:rPr>
          <w:rFonts w:cs="Times New Roman"/>
        </w:rPr>
        <w:t xml:space="preserve">C57Bl6J WT mice were subjected to transaortic constriction surgery (TAC) to induce </w:t>
      </w:r>
      <w:proofErr w:type="spellStart"/>
      <w:r w:rsidRPr="00902DF1">
        <w:rPr>
          <w:rFonts w:cs="Times New Roman"/>
          <w:color w:val="auto"/>
        </w:rPr>
        <w:t>supravalvular</w:t>
      </w:r>
      <w:proofErr w:type="spellEnd"/>
      <w:r w:rsidRPr="00902DF1">
        <w:rPr>
          <w:rFonts w:cs="Times New Roman"/>
          <w:color w:val="auto"/>
        </w:rPr>
        <w:t xml:space="preserve"> AS</w:t>
      </w:r>
      <w:r w:rsidRPr="00902DF1">
        <w:rPr>
          <w:rFonts w:cs="Times New Roman"/>
        </w:rPr>
        <w:t>. Eight weeks later, mice were transduced with AAV9-h</w:t>
      </w:r>
      <w:r w:rsidRPr="00902DF1">
        <w:rPr>
          <w:rFonts w:cs="Times New Roman"/>
          <w:lang w:val="el-GR"/>
        </w:rPr>
        <w:t>β</w:t>
      </w:r>
      <w:r w:rsidRPr="00902DF1">
        <w:rPr>
          <w:rFonts w:cs="Times New Roman"/>
        </w:rPr>
        <w:t>3AR or control AAV9-EGFP. PET-CT scans were performed 12 weeks after surgery. (</w:t>
      </w:r>
      <w:r w:rsidRPr="00902DF1">
        <w:rPr>
          <w:rFonts w:cs="Times New Roman"/>
          <w:b/>
          <w:bCs/>
        </w:rPr>
        <w:t>A</w:t>
      </w:r>
      <w:r w:rsidRPr="00902DF1">
        <w:rPr>
          <w:rFonts w:cs="Times New Roman"/>
        </w:rPr>
        <w:t>) Representative PET-CT thoracic scan images after [</w:t>
      </w:r>
      <w:r w:rsidRPr="00902DF1">
        <w:rPr>
          <w:rFonts w:cs="Times New Roman"/>
          <w:vertAlign w:val="superscript"/>
        </w:rPr>
        <w:t>18</w:t>
      </w:r>
      <w:proofErr w:type="gramStart"/>
      <w:r w:rsidRPr="00902DF1">
        <w:rPr>
          <w:rFonts w:cs="Times New Roman"/>
        </w:rPr>
        <w:t>F]FDG</w:t>
      </w:r>
      <w:proofErr w:type="gramEnd"/>
      <w:r w:rsidRPr="00902DF1">
        <w:rPr>
          <w:rFonts w:cs="Times New Roman"/>
        </w:rPr>
        <w:t xml:space="preserve"> injection. (</w:t>
      </w:r>
      <w:r w:rsidRPr="00902DF1">
        <w:rPr>
          <w:rFonts w:cs="Times New Roman"/>
          <w:b/>
          <w:bCs/>
        </w:rPr>
        <w:t>B</w:t>
      </w:r>
      <w:r w:rsidRPr="00902DF1">
        <w:rPr>
          <w:rFonts w:cs="Times New Roman"/>
        </w:rPr>
        <w:t xml:space="preserve">) Mean standardized uptake value (SUV). Data are means ± SEM. No significant differences were found by Student </w:t>
      </w:r>
      <w:r w:rsidRPr="00902DF1">
        <w:rPr>
          <w:rFonts w:cs="Times New Roman"/>
          <w:i/>
        </w:rPr>
        <w:t>t</w:t>
      </w:r>
      <w:r w:rsidRPr="00902DF1">
        <w:rPr>
          <w:rFonts w:cs="Times New Roman"/>
        </w:rPr>
        <w:t>-test.</w:t>
      </w:r>
      <w:r w:rsidRPr="006813E5">
        <w:rPr>
          <w:rFonts w:cs="Times New Roman"/>
        </w:rPr>
        <w:t xml:space="preserve"> </w:t>
      </w:r>
    </w:p>
    <w:p w:rsidR="00960DE8" w:rsidRDefault="00960DE8" w:rsidP="00960DE8"/>
    <w:sectPr w:rsidR="00960D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13A64"/>
    <w:multiLevelType w:val="hybridMultilevel"/>
    <w:tmpl w:val="56D6AF1A"/>
    <w:lvl w:ilvl="0" w:tplc="E56E427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02F8B"/>
    <w:multiLevelType w:val="hybridMultilevel"/>
    <w:tmpl w:val="B808A556"/>
    <w:lvl w:ilvl="0" w:tplc="DB42F6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13C98"/>
    <w:multiLevelType w:val="hybridMultilevel"/>
    <w:tmpl w:val="7DA24296"/>
    <w:lvl w:ilvl="0" w:tplc="FB101D1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DE8"/>
    <w:rsid w:val="00070376"/>
    <w:rsid w:val="002C5BCE"/>
    <w:rsid w:val="002D00A0"/>
    <w:rsid w:val="0051286D"/>
    <w:rsid w:val="00533D89"/>
    <w:rsid w:val="006F0DF2"/>
    <w:rsid w:val="007A772D"/>
    <w:rsid w:val="00902DF1"/>
    <w:rsid w:val="00960DE8"/>
    <w:rsid w:val="009A7502"/>
    <w:rsid w:val="00BA6F31"/>
    <w:rsid w:val="00BA789F"/>
    <w:rsid w:val="00C551B7"/>
    <w:rsid w:val="00CB5429"/>
    <w:rsid w:val="00E8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03E49"/>
  <w15:docId w15:val="{67D7592C-E2BC-40BC-88EA-E6A84009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60DE8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Calibri" w:hAnsi="Times New Roman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0DE8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960DE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60DE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60DE8"/>
    <w:rPr>
      <w:rFonts w:ascii="Times New Roman" w:eastAsia="Calibri" w:hAnsi="Times New Roman" w:cs="Calibri"/>
      <w:color w:val="000000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0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0DE8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1304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Agustin</dc:creator>
  <cp:lastModifiedBy>Borja Ibáñez</cp:lastModifiedBy>
  <cp:revision>3</cp:revision>
  <dcterms:created xsi:type="dcterms:W3CDTF">2022-10-30T08:01:00Z</dcterms:created>
  <dcterms:modified xsi:type="dcterms:W3CDTF">2022-10-30T08:01:00Z</dcterms:modified>
</cp:coreProperties>
</file>