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8BB" w:rsidRDefault="00C2708F">
      <w:pPr>
        <w:pStyle w:val="Heading1"/>
        <w:spacing w:line="480" w:lineRule="auto"/>
      </w:pPr>
      <w:bookmarkStart w:id="0" w:name="_5x5hk77hgn56" w:colFirst="0" w:colLast="0"/>
      <w:bookmarkEnd w:id="0"/>
      <w:r>
        <w:t xml:space="preserve">Supplement Figures </w:t>
      </w:r>
    </w:p>
    <w:p w:rsidR="002178BB" w:rsidRDefault="00C2708F">
      <w:pPr>
        <w:pStyle w:val="Heading1"/>
        <w:spacing w:line="360" w:lineRule="auto"/>
        <w:jc w:val="both"/>
        <w:rPr>
          <w:b/>
          <w:i/>
          <w:sz w:val="13"/>
          <w:szCs w:val="13"/>
        </w:rPr>
      </w:pPr>
      <w:bookmarkStart w:id="1" w:name="_9xuxjs755ooo" w:colFirst="0" w:colLast="0"/>
      <w:bookmarkEnd w:id="1"/>
      <w:r>
        <w:rPr>
          <w:sz w:val="32"/>
          <w:szCs w:val="32"/>
        </w:rPr>
        <w:t>Single-cell transcriptomics reveal distinctive patterns of fibroblast activation in heart failure with preserved ejection fraction</w:t>
      </w:r>
    </w:p>
    <w:p w:rsidR="002178BB" w:rsidRDefault="00C2708F">
      <w:pPr>
        <w:spacing w:line="360" w:lineRule="auto"/>
        <w:jc w:val="both"/>
        <w:rPr>
          <w:vertAlign w:val="superscript"/>
        </w:rPr>
      </w:pPr>
      <w:r>
        <w:t>Jan D. Lanzer</w:t>
      </w:r>
      <w:r>
        <w:rPr>
          <w:vertAlign w:val="superscript"/>
        </w:rPr>
        <w:t>1,2,3,4</w:t>
      </w:r>
      <w:r>
        <w:t>*, Laura M. Wienecke</w:t>
      </w:r>
      <w:r>
        <w:rPr>
          <w:vertAlign w:val="superscript"/>
        </w:rPr>
        <w:t>5,6</w:t>
      </w:r>
      <w:r>
        <w:t>*, Ricardo O. Ramirez-Flores</w:t>
      </w:r>
      <w:r>
        <w:rPr>
          <w:vertAlign w:val="superscript"/>
        </w:rPr>
        <w:t>1,2,4</w:t>
      </w:r>
      <w:r>
        <w:t>, Maura M. Zylla</w:t>
      </w:r>
      <w:r>
        <w:rPr>
          <w:vertAlign w:val="superscript"/>
        </w:rPr>
        <w:t>5</w:t>
      </w:r>
      <w:r>
        <w:t xml:space="preserve">, </w:t>
      </w:r>
      <w:r>
        <w:t>Celina Kley</w:t>
      </w:r>
      <w:r>
        <w:rPr>
          <w:vertAlign w:val="superscript"/>
        </w:rPr>
        <w:t>4,5</w:t>
      </w:r>
      <w:r>
        <w:t>,</w:t>
      </w:r>
      <w:r>
        <w:rPr>
          <w:color w:val="274E13"/>
        </w:rPr>
        <w:t xml:space="preserve"> </w:t>
      </w:r>
      <w:r>
        <w:t>Niklas Hartmann</w:t>
      </w:r>
      <w:r>
        <w:rPr>
          <w:vertAlign w:val="superscript"/>
        </w:rPr>
        <w:t>5,6</w:t>
      </w:r>
      <w:r>
        <w:t>, Florian Sicklinger</w:t>
      </w:r>
      <w:r>
        <w:rPr>
          <w:vertAlign w:val="superscript"/>
        </w:rPr>
        <w:t>5,6</w:t>
      </w:r>
      <w:r>
        <w:t>, Jobst-Hendrick Schultz</w:t>
      </w:r>
      <w:r>
        <w:rPr>
          <w:vertAlign w:val="superscript"/>
        </w:rPr>
        <w:t>3</w:t>
      </w:r>
      <w:r>
        <w:t>, Norbert Frey</w:t>
      </w:r>
      <w:r>
        <w:rPr>
          <w:vertAlign w:val="superscript"/>
        </w:rPr>
        <w:t>5,6</w:t>
      </w:r>
      <w:r>
        <w:t>, Julio Saez-Rodriguez</w:t>
      </w:r>
      <w:r>
        <w:rPr>
          <w:vertAlign w:val="superscript"/>
        </w:rPr>
        <w:t>1,4#</w:t>
      </w:r>
      <w:r>
        <w:t>, Florian Leuschner</w:t>
      </w:r>
      <w:r>
        <w:rPr>
          <w:vertAlign w:val="superscript"/>
        </w:rPr>
        <w:t>5,6#</w:t>
      </w:r>
    </w:p>
    <w:p w:rsidR="002178BB" w:rsidRDefault="002178BB">
      <w:pPr>
        <w:spacing w:line="480" w:lineRule="auto"/>
        <w:jc w:val="both"/>
      </w:pPr>
    </w:p>
    <w:p w:rsidR="00C2708F" w:rsidRDefault="00C2708F">
      <w:pPr>
        <w:spacing w:line="480" w:lineRule="auto"/>
        <w:jc w:val="both"/>
      </w:pPr>
    </w:p>
    <w:p w:rsidR="002178BB" w:rsidRDefault="00C2708F">
      <w:pPr>
        <w:spacing w:line="360" w:lineRule="auto"/>
        <w:jc w:val="both"/>
      </w:pPr>
      <w:r>
        <w:t xml:space="preserve">*co-first authorship, contributed to this work equally </w:t>
      </w:r>
    </w:p>
    <w:p w:rsidR="002178BB" w:rsidRDefault="00C2708F">
      <w:pPr>
        <w:spacing w:line="360" w:lineRule="auto"/>
        <w:jc w:val="both"/>
      </w:pPr>
      <w:r>
        <w:rPr>
          <w:vertAlign w:val="superscript"/>
        </w:rPr>
        <w:t>#</w:t>
      </w:r>
      <w:r>
        <w:t>corresponding authors, these authors jointly supe</w:t>
      </w:r>
      <w:r>
        <w:t>rvised this work</w:t>
      </w:r>
    </w:p>
    <w:p w:rsidR="002178BB" w:rsidRDefault="002178BB">
      <w:pPr>
        <w:spacing w:line="480" w:lineRule="auto"/>
        <w:jc w:val="both"/>
      </w:pPr>
    </w:p>
    <w:p w:rsidR="002178BB" w:rsidRDefault="00C2708F">
      <w:pPr>
        <w:spacing w:after="240" w:line="240" w:lineRule="auto"/>
      </w:pPr>
      <w:r>
        <w:rPr>
          <w:vertAlign w:val="superscript"/>
        </w:rPr>
        <w:t>1</w:t>
      </w:r>
      <w:r>
        <w:t xml:space="preserve"> Institute for Computational Biomedicine, Heidelberg University, Heidelberg, Germany</w:t>
      </w:r>
    </w:p>
    <w:p w:rsidR="002178BB" w:rsidRDefault="00C2708F">
      <w:pPr>
        <w:spacing w:after="240" w:line="240" w:lineRule="auto"/>
      </w:pPr>
      <w:r>
        <w:rPr>
          <w:vertAlign w:val="superscript"/>
        </w:rPr>
        <w:t>2</w:t>
      </w:r>
      <w:r>
        <w:t xml:space="preserve"> Faculty of Biosciences, Heidelberg University, Heidelberg, Germany</w:t>
      </w:r>
    </w:p>
    <w:p w:rsidR="002178BB" w:rsidRDefault="00C2708F">
      <w:pPr>
        <w:spacing w:after="240" w:line="240" w:lineRule="auto"/>
      </w:pPr>
      <w:r>
        <w:rPr>
          <w:vertAlign w:val="superscript"/>
        </w:rPr>
        <w:t>3</w:t>
      </w:r>
      <w:r>
        <w:t xml:space="preserve"> Internal Medicine II, Heidelberg University Hospital, Heidelberg, Germany</w:t>
      </w:r>
    </w:p>
    <w:p w:rsidR="002178BB" w:rsidRDefault="00C2708F">
      <w:pPr>
        <w:spacing w:after="240" w:line="240" w:lineRule="auto"/>
      </w:pPr>
      <w:r>
        <w:rPr>
          <w:vertAlign w:val="superscript"/>
        </w:rPr>
        <w:t>4</w:t>
      </w:r>
      <w:r>
        <w:t xml:space="preserve"> Infor</w:t>
      </w:r>
      <w:r>
        <w:t>matics for Life, Heidelberg, Germany</w:t>
      </w:r>
    </w:p>
    <w:p w:rsidR="002178BB" w:rsidRDefault="00C2708F">
      <w:pPr>
        <w:spacing w:after="240" w:line="240" w:lineRule="auto"/>
      </w:pPr>
      <w:r>
        <w:rPr>
          <w:vertAlign w:val="superscript"/>
        </w:rPr>
        <w:t>5</w:t>
      </w:r>
      <w:r>
        <w:t xml:space="preserve"> Department of Cardiology, Internal Medicine III, Heidelberg University Hospital, Heidelberg, Germany</w:t>
      </w:r>
    </w:p>
    <w:p w:rsidR="002178BB" w:rsidRDefault="00C2708F">
      <w:pPr>
        <w:spacing w:after="240" w:line="240" w:lineRule="auto"/>
      </w:pPr>
      <w:r>
        <w:rPr>
          <w:vertAlign w:val="superscript"/>
        </w:rPr>
        <w:t>6</w:t>
      </w:r>
      <w:r>
        <w:t xml:space="preserve"> German Center for Cardiovascular Research (DZHK), Partner Site Heidelberg, Heidelberg, Germany</w:t>
      </w:r>
    </w:p>
    <w:p w:rsidR="002178BB" w:rsidRDefault="002178BB"/>
    <w:p w:rsidR="002178BB" w:rsidRDefault="00C2708F">
      <w:r>
        <w:rPr>
          <w:noProof/>
          <w:lang w:val="en-IN"/>
        </w:rPr>
        <w:drawing>
          <wp:inline distT="114300" distB="114300" distL="114300" distR="114300">
            <wp:extent cx="6081713" cy="4236803"/>
            <wp:effectExtent l="0" t="0" r="0" b="0"/>
            <wp:docPr id="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
                    <a:srcRect l="800" r="219"/>
                    <a:stretch>
                      <a:fillRect/>
                    </a:stretch>
                  </pic:blipFill>
                  <pic:spPr>
                    <a:xfrm>
                      <a:off x="0" y="0"/>
                      <a:ext cx="6081713" cy="4236803"/>
                    </a:xfrm>
                    <a:prstGeom prst="rect">
                      <a:avLst/>
                    </a:prstGeom>
                    <a:ln/>
                  </pic:spPr>
                </pic:pic>
              </a:graphicData>
            </a:graphic>
          </wp:inline>
        </w:drawing>
      </w:r>
    </w:p>
    <w:p w:rsidR="002178BB" w:rsidRDefault="00C2708F">
      <w:pPr>
        <w:rPr>
          <w:b/>
          <w:sz w:val="24"/>
          <w:szCs w:val="24"/>
        </w:rPr>
      </w:pPr>
      <w:r>
        <w:rPr>
          <w:b/>
          <w:sz w:val="24"/>
          <w:szCs w:val="24"/>
        </w:rPr>
        <w:t>M</w:t>
      </w:r>
    </w:p>
    <w:p w:rsidR="002178BB" w:rsidRDefault="00C2708F">
      <w:r>
        <w:rPr>
          <w:noProof/>
          <w:lang w:val="en-IN"/>
        </w:rPr>
        <w:drawing>
          <wp:inline distT="114300" distB="114300" distL="114300" distR="114300">
            <wp:extent cx="3829050" cy="1668818"/>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
                    <a:srcRect l="7142" t="9471" b="4217"/>
                    <a:stretch>
                      <a:fillRect/>
                    </a:stretch>
                  </pic:blipFill>
                  <pic:spPr>
                    <a:xfrm>
                      <a:off x="0" y="0"/>
                      <a:ext cx="3829050" cy="1668818"/>
                    </a:xfrm>
                    <a:prstGeom prst="rect">
                      <a:avLst/>
                    </a:prstGeom>
                    <a:ln/>
                  </pic:spPr>
                </pic:pic>
              </a:graphicData>
            </a:graphic>
          </wp:inline>
        </w:drawing>
      </w:r>
    </w:p>
    <w:p w:rsidR="002178BB" w:rsidRDefault="00C2708F">
      <w:pPr>
        <w:pStyle w:val="Heading3"/>
      </w:pPr>
      <w:bookmarkStart w:id="2" w:name="_w2xvpcc411rr" w:colFirst="0" w:colLast="0"/>
      <w:bookmarkEnd w:id="2"/>
      <w:r>
        <w:t>Supplemental</w:t>
      </w:r>
      <w:r>
        <w:t xml:space="preserve"> Figure 1. HFpEF disease model characterization.</w:t>
      </w:r>
    </w:p>
    <w:p w:rsidR="002178BB" w:rsidRDefault="00C2708F">
      <w:pPr>
        <w:widowControl w:val="0"/>
        <w:spacing w:line="240" w:lineRule="auto"/>
        <w:jc w:val="both"/>
        <w:rPr>
          <w:highlight w:val="white"/>
        </w:rPr>
      </w:pPr>
      <w:r>
        <w:t>A) Body weight increase in mice between diet start and 7 weeks diet showing a significant increase in body weight after 7, but not after 5 weeks. B) Body weight of all animals at the time point of final echo</w:t>
      </w:r>
      <w:r>
        <w:t>cardiography. C) Heart weight after organ removal. D) Ratio between early diastolic LV blood flow over the mitral valve to late diastolic filling induced by atrial contraction. E) I</w:t>
      </w:r>
      <w:r>
        <w:rPr>
          <w:highlight w:val="white"/>
        </w:rPr>
        <w:t>sovolumic relaxation time (IVRT) measured in tissue doppler traces. Bad ult</w:t>
      </w:r>
      <w:r>
        <w:rPr>
          <w:highlight w:val="white"/>
        </w:rPr>
        <w:t xml:space="preserve">rasound conditions of obese 15w mice prevented robust IVRT measurements. F) </w:t>
      </w:r>
      <w:r>
        <w:t>Left ventricular end-diastolic volume (LVEDV) derived from semi-automated LV-traces of the parasternal long axis. G) Myocardial fractional shortening in M-mode traces. H) Fractiona</w:t>
      </w:r>
      <w:r>
        <w:t>l area change measured by semi-automated traces from the parasternal short axis. J) Cardiac stroke volume, acquired as volumes in F. K) Representative pulse wave doppler (upper panels) and tissue doppler (lower panels) images. L) Example image of global lo</w:t>
      </w:r>
      <w:r>
        <w:t xml:space="preserve">ngitudinal strain in the parasternal long axis analyzed by VevoStrain.  </w:t>
      </w:r>
      <w:r>
        <w:rPr>
          <w:highlight w:val="white"/>
        </w:rPr>
        <w:t xml:space="preserve">A-J display mean ± SD, </w:t>
      </w:r>
      <w:r>
        <w:t>statistical analysis performed by Students t-test (A) or one-way ANOVA, *p&lt;0.05, **p&lt;0.01, ***p&lt;0.001. M)</w:t>
      </w:r>
      <w:r>
        <w:rPr>
          <w:b/>
        </w:rPr>
        <w:t xml:space="preserve"> </w:t>
      </w:r>
      <w:r>
        <w:t>Representative long-axis stainings of picrosirius red (</w:t>
      </w:r>
      <w:r>
        <w:t>PSR) for quantification using the channel slit mode and conversion into binary greyscale images for analysis of the mean fluorescence intensity (MFI) of comparable areas containing one blood vessel of similar size in left ventricular tissue (black box). Ab</w:t>
      </w:r>
      <w:r>
        <w:t xml:space="preserve">solute MFI values/ 1000 are presented. Statistical analysis using unpaired t-test, n=2/3, *p&lt;0.05. </w:t>
      </w:r>
    </w:p>
    <w:p w:rsidR="002178BB" w:rsidRDefault="002178BB">
      <w:pPr>
        <w:widowControl w:val="0"/>
        <w:spacing w:line="240" w:lineRule="auto"/>
        <w:jc w:val="both"/>
      </w:pPr>
    </w:p>
    <w:p w:rsidR="00C2708F" w:rsidRDefault="00C2708F">
      <w:pPr>
        <w:widowControl w:val="0"/>
        <w:spacing w:line="240" w:lineRule="auto"/>
        <w:jc w:val="both"/>
      </w:pPr>
      <w:bookmarkStart w:id="3" w:name="_GoBack"/>
      <w:bookmarkEnd w:id="3"/>
    </w:p>
    <w:p w:rsidR="002178BB" w:rsidRDefault="002178BB"/>
    <w:p w:rsidR="002178BB" w:rsidRDefault="00C2708F">
      <w:r>
        <w:br w:type="page"/>
      </w:r>
    </w:p>
    <w:p w:rsidR="002178BB" w:rsidRDefault="00C2708F">
      <w:r>
        <w:rPr>
          <w:noProof/>
          <w:lang w:val="en-IN"/>
        </w:rPr>
        <w:drawing>
          <wp:inline distT="114300" distB="114300" distL="114300" distR="114300">
            <wp:extent cx="5731200" cy="79375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731200" cy="7937500"/>
                    </a:xfrm>
                    <a:prstGeom prst="rect">
                      <a:avLst/>
                    </a:prstGeom>
                    <a:ln/>
                  </pic:spPr>
                </pic:pic>
              </a:graphicData>
            </a:graphic>
          </wp:inline>
        </w:drawing>
      </w:r>
    </w:p>
    <w:p w:rsidR="002178BB" w:rsidRDefault="00C2708F">
      <w:pPr>
        <w:pStyle w:val="Heading3"/>
        <w:widowControl w:val="0"/>
      </w:pPr>
      <w:bookmarkStart w:id="4" w:name="_6ued6s3034ae" w:colFirst="0" w:colLast="0"/>
      <w:bookmarkEnd w:id="4"/>
      <w:r>
        <w:t>Supplemental Figure 2.</w:t>
      </w:r>
      <w:r>
        <w:t xml:space="preserve"> Quality control of single cell RNAseq data.</w:t>
      </w:r>
    </w:p>
    <w:p w:rsidR="002178BB" w:rsidRDefault="00C2708F">
      <w:pPr>
        <w:widowControl w:val="0"/>
        <w:spacing w:line="240" w:lineRule="auto"/>
        <w:jc w:val="both"/>
      </w:pPr>
      <w:r>
        <w:t>A) Doublet score distribution per sample calculated with scDoubletFinder.B) Total RNA count per sample. Mean of all cells is 8,240. C) Total feature count per sample (Mean of all cells 2,838). D) Dissociation score (weighted mean of dissociation associated</w:t>
      </w:r>
      <w:r>
        <w:t xml:space="preserve"> gene set) computed per sample. E) Total cell count per sample. F) RNA and feature count for all cells after filtering (&lt; 6000 &amp; &gt; 300 features). G) Doublet score distribution across cell types. H) RNA count distribution across cell types. I) Feature count</w:t>
      </w:r>
      <w:r>
        <w:t xml:space="preserve"> distribution across cell types. J) Dissociation score distribution across cell types. K) Mitochondrial percentage distribution across cell types. Boxplots in A-D, G-K display median and IQR. L ) Principial component analysis of sample-level pseudobulks. A</w:t>
      </w:r>
      <w:r>
        <w:t xml:space="preserve"> batch effect associated with sequencing run is associated with PC1, while PC2 associates with the contrast of diet. </w:t>
      </w:r>
    </w:p>
    <w:p w:rsidR="002178BB" w:rsidRDefault="002178BB">
      <w:pPr>
        <w:widowControl w:val="0"/>
        <w:spacing w:line="240" w:lineRule="auto"/>
        <w:jc w:val="both"/>
      </w:pPr>
    </w:p>
    <w:p w:rsidR="002178BB" w:rsidRDefault="00C2708F">
      <w:r>
        <w:rPr>
          <w:noProof/>
          <w:lang w:val="en-IN"/>
        </w:rPr>
        <w:drawing>
          <wp:inline distT="114300" distB="114300" distL="114300" distR="114300">
            <wp:extent cx="5731200" cy="3924300"/>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5731200" cy="3924300"/>
                    </a:xfrm>
                    <a:prstGeom prst="rect">
                      <a:avLst/>
                    </a:prstGeom>
                    <a:ln/>
                  </pic:spPr>
                </pic:pic>
              </a:graphicData>
            </a:graphic>
          </wp:inline>
        </w:drawing>
      </w:r>
    </w:p>
    <w:p w:rsidR="002178BB" w:rsidRDefault="002178BB">
      <w:pPr>
        <w:widowControl w:val="0"/>
        <w:spacing w:line="240" w:lineRule="auto"/>
        <w:jc w:val="both"/>
        <w:rPr>
          <w:b/>
        </w:rPr>
      </w:pPr>
    </w:p>
    <w:p w:rsidR="002178BB" w:rsidRDefault="00C2708F">
      <w:pPr>
        <w:pStyle w:val="Heading3"/>
        <w:widowControl w:val="0"/>
      </w:pPr>
      <w:bookmarkStart w:id="5" w:name="_r5nqfijwxnoj" w:colFirst="0" w:colLast="0"/>
      <w:bookmarkEnd w:id="5"/>
      <w:r>
        <w:t>Supplemental Figure 3</w:t>
      </w:r>
      <w:r>
        <w:t>. Label Permutation for composition analysis.</w:t>
      </w:r>
    </w:p>
    <w:p w:rsidR="002178BB" w:rsidRDefault="00C2708F">
      <w:pPr>
        <w:widowControl w:val="0"/>
        <w:spacing w:line="240" w:lineRule="auto"/>
        <w:jc w:val="both"/>
      </w:pPr>
      <w:r>
        <w:t>A) Histograms of compositional difference (delta.p) generated by la</w:t>
      </w:r>
      <w:r>
        <w:t>bel randomization. Vertical lines indicate observed difference. B) P-value of compositional differences based inferred from A) per cell type. Vertical line at 0.05. C) Classification performance by cell type measured by the area under the receiver operator</w:t>
      </w:r>
      <w:r>
        <w:t xml:space="preserve"> curve (AUC) based on the</w:t>
      </w:r>
      <w:r>
        <w:rPr>
          <w:i/>
        </w:rPr>
        <w:t xml:space="preserve"> Augur</w:t>
      </w:r>
      <w:r>
        <w:t xml:space="preserve"> method. </w:t>
      </w:r>
      <w:r>
        <w:br w:type="page"/>
      </w:r>
    </w:p>
    <w:p w:rsidR="002178BB" w:rsidRDefault="002178BB">
      <w:pPr>
        <w:widowControl w:val="0"/>
        <w:spacing w:line="240" w:lineRule="auto"/>
        <w:jc w:val="both"/>
      </w:pPr>
    </w:p>
    <w:p w:rsidR="002178BB" w:rsidRDefault="00C2708F">
      <w:r>
        <w:rPr>
          <w:noProof/>
          <w:lang w:val="en-IN"/>
        </w:rPr>
        <w:drawing>
          <wp:inline distT="114300" distB="114300" distL="114300" distR="114300">
            <wp:extent cx="4768027" cy="7359346"/>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768027" cy="7359346"/>
                    </a:xfrm>
                    <a:prstGeom prst="rect">
                      <a:avLst/>
                    </a:prstGeom>
                    <a:ln/>
                  </pic:spPr>
                </pic:pic>
              </a:graphicData>
            </a:graphic>
          </wp:inline>
        </w:drawing>
      </w:r>
    </w:p>
    <w:p w:rsidR="002178BB" w:rsidRDefault="00C2708F">
      <w:pPr>
        <w:pStyle w:val="Heading3"/>
        <w:widowControl w:val="0"/>
      </w:pPr>
      <w:bookmarkStart w:id="6" w:name="_lcm3cdwj9fhv" w:colFirst="0" w:colLast="0"/>
      <w:bookmarkEnd w:id="6"/>
      <w:r>
        <w:t>Supplemental Figure 4</w:t>
      </w:r>
      <w:r>
        <w:t xml:space="preserve">. Fibroblast annotation in AngII and MI model. </w:t>
      </w:r>
    </w:p>
    <w:p w:rsidR="002178BB" w:rsidRDefault="00C2708F">
      <w:pPr>
        <w:widowControl w:val="0"/>
        <w:spacing w:line="240" w:lineRule="auto"/>
        <w:jc w:val="both"/>
      </w:pPr>
      <w:r>
        <w:t>AngII model (A-C) and MI model (D-E). A, D) UMAP embedding of full cell atlas after processing, filtering and clustering. B) Expression of fib</w:t>
      </w:r>
      <w:r>
        <w:t>roblast marker genes (Gsn, Col1a1, Pdfgra) in AngII model per cluster. Cluster 0 and 8 were subset for downstream analysis. E) Expression of fibroblast marker genes (Gsn, Col1a1, Pdfgra) in MI model per cluster. Cluster 0, 5 and 6 were subset for downstrea</w:t>
      </w:r>
      <w:r>
        <w:t>m analysis. C, F) Expression of marker gene UMAP.</w:t>
      </w:r>
    </w:p>
    <w:p w:rsidR="002178BB" w:rsidRDefault="00C2708F">
      <w:pPr>
        <w:widowControl w:val="0"/>
        <w:spacing w:line="240" w:lineRule="auto"/>
        <w:jc w:val="both"/>
      </w:pPr>
      <w:r>
        <w:rPr>
          <w:noProof/>
          <w:lang w:val="en-IN"/>
        </w:rPr>
        <w:drawing>
          <wp:inline distT="114300" distB="114300" distL="114300" distR="114300">
            <wp:extent cx="5731200" cy="7683500"/>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5731200" cy="7683500"/>
                    </a:xfrm>
                    <a:prstGeom prst="rect">
                      <a:avLst/>
                    </a:prstGeom>
                    <a:ln/>
                  </pic:spPr>
                </pic:pic>
              </a:graphicData>
            </a:graphic>
          </wp:inline>
        </w:drawing>
      </w:r>
    </w:p>
    <w:p w:rsidR="002178BB" w:rsidRDefault="00C2708F">
      <w:pPr>
        <w:pStyle w:val="Heading3"/>
        <w:widowControl w:val="0"/>
      </w:pPr>
      <w:bookmarkStart w:id="7" w:name="_7jc6uewgk0gs" w:colFirst="0" w:colLast="0"/>
      <w:bookmarkEnd w:id="7"/>
      <w:r>
        <w:t>Supplemental Figure 5</w:t>
      </w:r>
      <w:r>
        <w:t xml:space="preserve">. Integrated cell state (IFS) comparison. </w:t>
      </w:r>
    </w:p>
    <w:p w:rsidR="002178BB" w:rsidRDefault="00C2708F">
      <w:pPr>
        <w:widowControl w:val="0"/>
        <w:spacing w:line="240" w:lineRule="auto"/>
        <w:jc w:val="both"/>
      </w:pPr>
      <w:r>
        <w:t>A) Composition of integrated cell states per study. B) UMAPs colored by selected gene marker expression across the integrated fibroblast atl</w:t>
      </w:r>
      <w:r>
        <w:t>as. C) Overrepresentation analysis of IFS markers with markers derived from a perturbed and steady state cross-organ fibroblast atlas. D) IFS composition separated by experimental group (color) and HF models (panels). E) IFS composition of the myocardial i</w:t>
      </w:r>
      <w:r>
        <w:t>nfarction samples by time points in days (x-axis). F) Overrepresentation analysis of MSIG DB gene sets with IFS state marker. C+F, hypergeometric test, with Benjamini Hochberg correction, *q &lt; 0.05, **q &lt; 0.01, ***q &lt; 0.001.</w:t>
      </w:r>
    </w:p>
    <w:p w:rsidR="002178BB" w:rsidRDefault="002178BB">
      <w:pPr>
        <w:widowControl w:val="0"/>
        <w:spacing w:line="240" w:lineRule="auto"/>
      </w:pPr>
    </w:p>
    <w:p w:rsidR="002178BB" w:rsidRDefault="002178BB">
      <w:pPr>
        <w:widowControl w:val="0"/>
        <w:spacing w:line="240" w:lineRule="auto"/>
      </w:pPr>
    </w:p>
    <w:p w:rsidR="002178BB" w:rsidRDefault="00C2708F">
      <w:pPr>
        <w:widowControl w:val="0"/>
        <w:spacing w:line="240" w:lineRule="auto"/>
      </w:pPr>
      <w:r>
        <w:rPr>
          <w:noProof/>
          <w:lang w:val="en-IN"/>
        </w:rPr>
        <w:drawing>
          <wp:inline distT="114300" distB="114300" distL="114300" distR="114300">
            <wp:extent cx="5731200" cy="6019800"/>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5731200" cy="6019800"/>
                    </a:xfrm>
                    <a:prstGeom prst="rect">
                      <a:avLst/>
                    </a:prstGeom>
                    <a:ln/>
                  </pic:spPr>
                </pic:pic>
              </a:graphicData>
            </a:graphic>
          </wp:inline>
        </w:drawing>
      </w:r>
    </w:p>
    <w:p w:rsidR="002178BB" w:rsidRDefault="00C2708F">
      <w:pPr>
        <w:pStyle w:val="Heading3"/>
        <w:widowControl w:val="0"/>
      </w:pPr>
      <w:bookmarkStart w:id="8" w:name="_rgwqwwoetdqa" w:colFirst="0" w:colLast="0"/>
      <w:bookmarkEnd w:id="8"/>
      <w:r>
        <w:t xml:space="preserve">Supplemental Figure </w:t>
      </w:r>
      <w:r>
        <w:t>6</w:t>
      </w:r>
      <w:r>
        <w:t>.</w:t>
      </w:r>
      <w:r>
        <w:t xml:space="preserve"> Asse</w:t>
      </w:r>
      <w:r>
        <w:t>ssing transcriptomic shifts across mouse models.</w:t>
      </w:r>
    </w:p>
    <w:p w:rsidR="002178BB" w:rsidRDefault="00C2708F">
      <w:pPr>
        <w:jc w:val="both"/>
      </w:pPr>
      <w:r>
        <w:t xml:space="preserve">A) Heatmaps of geneset overrepresentation in study specific fibroblast disease signatures. Significantly enriched gene sets common between signatures. Hypergeometric test with Benjamini Hochberg correction, </w:t>
      </w:r>
      <w:r>
        <w:t>*q&lt;0.01, **q&lt;0.001, ***q&lt;0.0001. B) Estimated transcription factor activities with DoRothEA based on effect size (log fold change) of target genes per HF models. C) Gene set scores of disease signatures calculated for individual cells, across IFS (x-axis),</w:t>
      </w:r>
      <w:r>
        <w:t xml:space="preserve"> disease groups (color) and studies (panels). D) Quantification of IFS separability by module scores from panel C, assessed via area under the receiver operator curve (AUROC). E) Quantification of IFS separability assessed via AUROC based on expression of </w:t>
      </w:r>
      <w:r>
        <w:t>selected genes, Col1a1, Col1a2, Col4a1, Col4a2, Postn and Angtpl4 per heart failure model. Wilcoxon test, *p&lt;0.05, **p&lt;0.01, ***p&lt;0.001. F) Assessing possible background expression. Fibroblast signatures (y-axis) are summed to module scores per cell and us</w:t>
      </w:r>
      <w:r>
        <w:t xml:space="preserve">ed to calculate AUROCs between control and heart failure samples within the HFpEF data set for each cell type (x-axis). </w:t>
      </w:r>
    </w:p>
    <w:p w:rsidR="002178BB" w:rsidRDefault="002178BB">
      <w:pPr>
        <w:jc w:val="both"/>
      </w:pPr>
    </w:p>
    <w:p w:rsidR="002178BB" w:rsidRDefault="00C2708F">
      <w:pPr>
        <w:widowControl w:val="0"/>
        <w:spacing w:line="240" w:lineRule="auto"/>
      </w:pPr>
      <w:r>
        <w:rPr>
          <w:noProof/>
          <w:lang w:val="en-IN"/>
        </w:rPr>
        <w:drawing>
          <wp:inline distT="114300" distB="114300" distL="114300" distR="114300">
            <wp:extent cx="6386513" cy="5665302"/>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6386513" cy="5665302"/>
                    </a:xfrm>
                    <a:prstGeom prst="rect">
                      <a:avLst/>
                    </a:prstGeom>
                    <a:ln/>
                  </pic:spPr>
                </pic:pic>
              </a:graphicData>
            </a:graphic>
          </wp:inline>
        </w:drawing>
      </w:r>
    </w:p>
    <w:p w:rsidR="002178BB" w:rsidRDefault="00C2708F">
      <w:pPr>
        <w:pStyle w:val="Heading3"/>
        <w:widowControl w:val="0"/>
      </w:pPr>
      <w:bookmarkStart w:id="9" w:name="_d87r0nkz94fg" w:colFirst="0" w:colLast="0"/>
      <w:bookmarkEnd w:id="9"/>
      <w:r>
        <w:t>Supplemental</w:t>
      </w:r>
      <w:r>
        <w:t xml:space="preserve"> Figure 7</w:t>
      </w:r>
      <w:r>
        <w:t xml:space="preserve">. CILP and FAP protein expression in HFpEF and MI mouse models. </w:t>
      </w:r>
    </w:p>
    <w:p w:rsidR="002178BB" w:rsidRDefault="00C2708F">
      <w:pPr>
        <w:widowControl w:val="0"/>
        <w:spacing w:line="240" w:lineRule="auto"/>
        <w:jc w:val="both"/>
      </w:pPr>
      <w:r>
        <w:t xml:space="preserve">A) Demonstration of the large infarct area 28 </w:t>
      </w:r>
      <w:r>
        <w:t>days after minimal-invasively induced myocardial infarction. B) Immunohistochemistry DAB stainings of FAP and Cilp in control, HFpEF 10 week-diet hearts and of the fibrotic and remote zone 28 days after myocardial infarction (MI). C) Images of 68Ga-FAPI-46</w:t>
      </w:r>
      <w:r>
        <w:t xml:space="preserve"> PET-CT in three individual HFpEF mice after 15 weeks of dietary intervention. Upper panels show transverse and lower panels show coronal planes of the heart. D) Immunohistochemistry validation of FAP using mouse kidney tissue for positive control as recom</w:t>
      </w:r>
      <w:r>
        <w:t>mended by the manufacturer. Validation of Angptl4 staining by intracardiac blood leukocytes as positive control. Right panel shows a respective image of isotype control stainings.</w:t>
      </w:r>
    </w:p>
    <w:p w:rsidR="002178BB" w:rsidRDefault="00C2708F">
      <w:pPr>
        <w:widowControl w:val="0"/>
        <w:spacing w:line="240" w:lineRule="auto"/>
        <w:jc w:val="both"/>
      </w:pPr>
      <w:r>
        <w:br w:type="page"/>
      </w:r>
      <w:r>
        <w:t xml:space="preserve"> </w:t>
      </w:r>
    </w:p>
    <w:p w:rsidR="002178BB" w:rsidRDefault="00C2708F">
      <w:pPr>
        <w:widowControl w:val="0"/>
        <w:spacing w:line="240" w:lineRule="auto"/>
      </w:pPr>
      <w:r>
        <w:rPr>
          <w:noProof/>
          <w:lang w:val="en-IN"/>
        </w:rPr>
        <w:drawing>
          <wp:inline distT="114300" distB="114300" distL="114300" distR="114300">
            <wp:extent cx="5731200" cy="3263900"/>
            <wp:effectExtent l="0" t="0" r="0" b="0"/>
            <wp:docPr id="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5731200" cy="3263900"/>
                    </a:xfrm>
                    <a:prstGeom prst="rect">
                      <a:avLst/>
                    </a:prstGeom>
                    <a:ln/>
                  </pic:spPr>
                </pic:pic>
              </a:graphicData>
            </a:graphic>
          </wp:inline>
        </w:drawing>
      </w:r>
    </w:p>
    <w:p w:rsidR="002178BB" w:rsidRDefault="00C2708F">
      <w:pPr>
        <w:pStyle w:val="Heading3"/>
        <w:widowControl w:val="0"/>
      </w:pPr>
      <w:bookmarkStart w:id="10" w:name="_thfmu4jt39yh" w:colFirst="0" w:colLast="0"/>
      <w:bookmarkEnd w:id="10"/>
      <w:r>
        <w:t xml:space="preserve">Supplemental Figure </w:t>
      </w:r>
      <w:r>
        <w:t xml:space="preserve">8. Bulk transcriptomics of murine HFpEF </w:t>
      </w:r>
    </w:p>
    <w:p w:rsidR="002178BB" w:rsidRDefault="00C2708F">
      <w:pPr>
        <w:jc w:val="both"/>
      </w:pPr>
      <w:r>
        <w:t>A) Principal component analysis of bulk transcriptomics of mice; three control, four 10-week and four 15-week of treatment with L-NAME and high fat diet. B) Single gene expression (normalized and log transformed) of selected genes. No gene reached signific</w:t>
      </w:r>
      <w:r>
        <w:t>ance after p-value correction (adjusted p-value&gt;0.05). C+D) Enrichment analysis of different gene sets (y-axis) in t-values from contrast analysis (15-week vs control, green; 10-week vs control, red). Score represents univariate linear model parameters. C)</w:t>
      </w:r>
      <w:r>
        <w:t xml:space="preserve"> Enrichment scores of fibroblast disease signatures from different murine heart failure models. All scores were significant (p&lt;0.05), except early MI signature in 15 weeks of HFpEF. D) Enrichment of integrated fibroblast state markers (y-axis). IFS 0, 1 ,2</w:t>
      </w:r>
      <w:r>
        <w:t xml:space="preserve">, 3, 4, 5 enrichment scores were significant in both contrasts;  IFS 7 enrichment score was significant in 10 weeks only (p&lt;0.05). </w:t>
      </w:r>
    </w:p>
    <w:p w:rsidR="002178BB" w:rsidRDefault="002178BB">
      <w:pPr>
        <w:jc w:val="both"/>
      </w:pPr>
    </w:p>
    <w:p w:rsidR="002178BB" w:rsidRDefault="00C2708F">
      <w:pPr>
        <w:widowControl w:val="0"/>
        <w:spacing w:line="240" w:lineRule="auto"/>
        <w:jc w:val="both"/>
      </w:pPr>
      <w:r>
        <w:br w:type="page"/>
      </w:r>
    </w:p>
    <w:p w:rsidR="002178BB" w:rsidRDefault="002178BB">
      <w:pPr>
        <w:widowControl w:val="0"/>
        <w:spacing w:line="240" w:lineRule="auto"/>
      </w:pPr>
    </w:p>
    <w:p w:rsidR="002178BB" w:rsidRDefault="00C2708F">
      <w:pPr>
        <w:widowControl w:val="0"/>
        <w:spacing w:line="240" w:lineRule="auto"/>
      </w:pPr>
      <w:r>
        <w:rPr>
          <w:noProof/>
          <w:lang w:val="en-IN"/>
        </w:rPr>
        <w:drawing>
          <wp:inline distT="114300" distB="114300" distL="114300" distR="114300">
            <wp:extent cx="6129338" cy="5860759"/>
            <wp:effectExtent l="0" t="0" r="0" b="0"/>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a:stretch>
                      <a:fillRect/>
                    </a:stretch>
                  </pic:blipFill>
                  <pic:spPr>
                    <a:xfrm>
                      <a:off x="0" y="0"/>
                      <a:ext cx="6129338" cy="5860759"/>
                    </a:xfrm>
                    <a:prstGeom prst="rect">
                      <a:avLst/>
                    </a:prstGeom>
                    <a:ln/>
                  </pic:spPr>
                </pic:pic>
              </a:graphicData>
            </a:graphic>
          </wp:inline>
        </w:drawing>
      </w:r>
    </w:p>
    <w:p w:rsidR="002178BB" w:rsidRDefault="00C2708F">
      <w:pPr>
        <w:pStyle w:val="Heading3"/>
        <w:widowControl w:val="0"/>
      </w:pPr>
      <w:bookmarkStart w:id="11" w:name="_whrmsa90pzcf" w:colFirst="0" w:colLast="0"/>
      <w:bookmarkEnd w:id="11"/>
      <w:r>
        <w:t>Supplem</w:t>
      </w:r>
      <w:r>
        <w:t>ental</w:t>
      </w:r>
      <w:r>
        <w:t xml:space="preserve"> Figure </w:t>
      </w:r>
      <w:r>
        <w:t>9</w:t>
      </w:r>
      <w:r>
        <w:t xml:space="preserve">. </w:t>
      </w:r>
      <w:r>
        <w:rPr>
          <w:rFonts w:ascii="Tahoma" w:eastAsia="Tahoma" w:hAnsi="Tahoma" w:cs="Tahoma"/>
        </w:rPr>
        <w:t>Flow cytometry of macrophages (M</w:t>
      </w:r>
      <w:r>
        <w:rPr>
          <w:rFonts w:ascii="Tahoma" w:eastAsia="Tahoma" w:hAnsi="Tahoma" w:cs="Tahoma"/>
        </w:rPr>
        <w:t>Փ</w:t>
      </w:r>
      <w:r>
        <w:rPr>
          <w:rFonts w:ascii="Tahoma" w:eastAsia="Tahoma" w:hAnsi="Tahoma" w:cs="Tahoma"/>
        </w:rPr>
        <w:t>) in HFpEF.</w:t>
      </w:r>
    </w:p>
    <w:p w:rsidR="002178BB" w:rsidRDefault="00C2708F">
      <w:pPr>
        <w:widowControl w:val="0"/>
        <w:spacing w:line="240" w:lineRule="auto"/>
        <w:jc w:val="both"/>
      </w:pPr>
      <w:r>
        <w:t>A) Top marker gene expression for macrophage and m</w:t>
      </w:r>
      <w:r>
        <w:t xml:space="preserve">onocyte subtypes. B) Flow cytometry gating strategy of heart samples. C-F) Quantification of absolute leukocyte flow cytometry results, obtained by running complete organ samples through the cytometer. </w:t>
      </w:r>
      <w:r>
        <w:rPr>
          <w:highlight w:val="white"/>
        </w:rPr>
        <w:t xml:space="preserve">G) </w:t>
      </w:r>
      <w:r>
        <w:rPr>
          <w:rFonts w:ascii="Tahoma" w:eastAsia="Tahoma" w:hAnsi="Tahoma" w:cs="Tahoma"/>
        </w:rPr>
        <w:t>Flow cytometry gating strategy of peritoneal macrop</w:t>
      </w:r>
      <w:r>
        <w:rPr>
          <w:rFonts w:ascii="Tahoma" w:eastAsia="Tahoma" w:hAnsi="Tahoma" w:cs="Tahoma"/>
        </w:rPr>
        <w:t>hages derived from peritoneal lavages. LPMs, large peritoneal macrophages; Interm, intermediate macrophages; SPMs, small peritoneal macrophages. H) Quantification of relative peritoneal monocytes/ macrophages (M</w:t>
      </w:r>
      <w:r>
        <w:rPr>
          <w:rFonts w:ascii="Tahoma" w:eastAsia="Tahoma" w:hAnsi="Tahoma" w:cs="Tahoma"/>
        </w:rPr>
        <w:t>Փ</w:t>
      </w:r>
      <w:r>
        <w:rPr>
          <w:rFonts w:ascii="Tahoma" w:eastAsia="Tahoma" w:hAnsi="Tahoma" w:cs="Tahoma"/>
        </w:rPr>
        <w:t xml:space="preserve">). </w:t>
      </w:r>
      <w:r>
        <w:rPr>
          <w:highlight w:val="white"/>
        </w:rPr>
        <w:t>I) F</w:t>
      </w:r>
      <w:r>
        <w:rPr>
          <w:rFonts w:ascii="Tahoma" w:eastAsia="Tahoma" w:hAnsi="Tahoma" w:cs="Tahoma"/>
        </w:rPr>
        <w:t>low cytometry gating strategy of sple</w:t>
      </w:r>
      <w:r>
        <w:rPr>
          <w:rFonts w:ascii="Tahoma" w:eastAsia="Tahoma" w:hAnsi="Tahoma" w:cs="Tahoma"/>
        </w:rPr>
        <w:t>en M</w:t>
      </w:r>
      <w:r>
        <w:rPr>
          <w:rFonts w:ascii="Tahoma" w:eastAsia="Tahoma" w:hAnsi="Tahoma" w:cs="Tahoma"/>
        </w:rPr>
        <w:t>Փ</w:t>
      </w:r>
      <w:r>
        <w:rPr>
          <w:rFonts w:ascii="Tahoma" w:eastAsia="Tahoma" w:hAnsi="Tahoma" w:cs="Tahoma"/>
        </w:rPr>
        <w:t xml:space="preserve"> and representative plots of Ly6C</w:t>
      </w:r>
      <w:r>
        <w:rPr>
          <w:vertAlign w:val="superscript"/>
        </w:rPr>
        <w:t>high/low</w:t>
      </w:r>
      <w:r>
        <w:rPr>
          <w:rFonts w:ascii="Tahoma" w:eastAsia="Tahoma" w:hAnsi="Tahoma" w:cs="Tahoma"/>
        </w:rPr>
        <w:t xml:space="preserve"> monocytes/ macrophages (M</w:t>
      </w:r>
      <w:r>
        <w:rPr>
          <w:rFonts w:ascii="Tahoma" w:eastAsia="Tahoma" w:hAnsi="Tahoma" w:cs="Tahoma"/>
        </w:rPr>
        <w:t>Փ</w:t>
      </w:r>
      <w:r>
        <w:rPr>
          <w:rFonts w:ascii="Tahoma" w:eastAsia="Tahoma" w:hAnsi="Tahoma" w:cs="Tahoma"/>
        </w:rPr>
        <w:t>). J) Quantification of relative splenic monocytes/ macrophages (M</w:t>
      </w:r>
      <w:r>
        <w:rPr>
          <w:rFonts w:ascii="Tahoma" w:eastAsia="Tahoma" w:hAnsi="Tahoma" w:cs="Tahoma"/>
        </w:rPr>
        <w:t>Փ</w:t>
      </w:r>
      <w:r>
        <w:rPr>
          <w:rFonts w:ascii="Tahoma" w:eastAsia="Tahoma" w:hAnsi="Tahoma" w:cs="Tahoma"/>
        </w:rPr>
        <w:t>). Statistical analysis using unpaired t-test, n=6/group, bar graphs indicate mean</w:t>
      </w:r>
      <w:r>
        <w:rPr>
          <w:highlight w:val="white"/>
        </w:rPr>
        <w:t>±SD, ns= not significant. K) Macro</w:t>
      </w:r>
      <w:r>
        <w:rPr>
          <w:highlight w:val="white"/>
        </w:rPr>
        <w:t>phage cellstate composition (mean percentage per group) comparison between control and HFpEF, from scRNAseq. No statistical analysis performed, due to low cell counts.</w:t>
      </w:r>
    </w:p>
    <w:p w:rsidR="002178BB" w:rsidRDefault="00C2708F">
      <w:pPr>
        <w:widowControl w:val="0"/>
        <w:spacing w:line="240" w:lineRule="auto"/>
      </w:pPr>
      <w:r>
        <w:br w:type="page"/>
      </w:r>
    </w:p>
    <w:p w:rsidR="002178BB" w:rsidRDefault="00C2708F">
      <w:pPr>
        <w:widowControl w:val="0"/>
        <w:spacing w:line="240" w:lineRule="auto"/>
      </w:pPr>
      <w:r>
        <w:rPr>
          <w:noProof/>
          <w:lang w:val="en-IN"/>
        </w:rPr>
        <w:drawing>
          <wp:inline distT="114300" distB="114300" distL="114300" distR="114300">
            <wp:extent cx="5731200" cy="8140700"/>
            <wp:effectExtent l="0" t="0" r="0" b="0"/>
            <wp:docPr id="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5731200" cy="8140700"/>
                    </a:xfrm>
                    <a:prstGeom prst="rect">
                      <a:avLst/>
                    </a:prstGeom>
                    <a:ln/>
                  </pic:spPr>
                </pic:pic>
              </a:graphicData>
            </a:graphic>
          </wp:inline>
        </w:drawing>
      </w:r>
    </w:p>
    <w:p w:rsidR="002178BB" w:rsidRDefault="00C2708F">
      <w:pPr>
        <w:pStyle w:val="Heading3"/>
        <w:widowControl w:val="0"/>
      </w:pPr>
      <w:bookmarkStart w:id="12" w:name="_cg54lh7b4rw8" w:colFirst="0" w:colLast="0"/>
      <w:bookmarkEnd w:id="12"/>
      <w:r>
        <w:t>Suppl</w:t>
      </w:r>
      <w:r>
        <w:t>emental</w:t>
      </w:r>
      <w:r>
        <w:t xml:space="preserve"> Figure 1</w:t>
      </w:r>
      <w:r>
        <w:t>0</w:t>
      </w:r>
      <w:r>
        <w:t>.</w:t>
      </w:r>
      <w:r>
        <w:t xml:space="preserve"> Ranking of Ligand Receptor (LR) pairs between Macrophages</w:t>
      </w:r>
      <w:r>
        <w:tab/>
      </w:r>
      <w:r>
        <w:t xml:space="preserve"> and Fibroblasts.</w:t>
      </w:r>
    </w:p>
    <w:p w:rsidR="002178BB" w:rsidRDefault="00C2708F">
      <w:pPr>
        <w:widowControl w:val="0"/>
        <w:spacing w:line="240" w:lineRule="auto"/>
        <w:jc w:val="both"/>
      </w:pPr>
      <w:r>
        <w:t>A) Aggregated ranks from HFpEF (x-axis) and control (y-axis) mice, coloring represents HF score (see methods). LR pairs in the upper left corner received high ranks in HFpEF mice and low ranks in control mice. B) Distribution of the HFpEF</w:t>
      </w:r>
      <w:r>
        <w:t xml:space="preserve"> specificity score. We selected LR pairs with hf_score &gt; 0.9 for downstream analysis. C) Selected LR pairs and their expression between control and HFpEF mice. Ligands (left panel ) and receptors (right panel) expressed in Macrophages and Fibroblasts, resp</w:t>
      </w:r>
      <w:r>
        <w:t>ectively. D) Top macrophage ligands and their normalized expression visualized in UMAP embedding in macrophages. E+F) Comparison of log fold change regulation in heart failure of ligands in macrophages (E) and receptors in fibroblasts (F) across heart fail</w:t>
      </w:r>
      <w:r>
        <w:t xml:space="preserve">ure models. </w:t>
      </w:r>
    </w:p>
    <w:p w:rsidR="002178BB" w:rsidRDefault="002178BB">
      <w:pPr>
        <w:widowControl w:val="0"/>
        <w:spacing w:line="240" w:lineRule="auto"/>
        <w:jc w:val="both"/>
      </w:pPr>
    </w:p>
    <w:p w:rsidR="002178BB" w:rsidRDefault="00C2708F">
      <w:pPr>
        <w:widowControl w:val="0"/>
        <w:spacing w:line="240" w:lineRule="auto"/>
        <w:jc w:val="both"/>
      </w:pPr>
      <w:r>
        <w:br w:type="page"/>
      </w:r>
    </w:p>
    <w:p w:rsidR="002178BB" w:rsidRDefault="002178BB">
      <w:pPr>
        <w:widowControl w:val="0"/>
        <w:spacing w:line="240" w:lineRule="auto"/>
        <w:jc w:val="both"/>
      </w:pPr>
    </w:p>
    <w:p w:rsidR="002178BB" w:rsidRDefault="00C2708F">
      <w:pPr>
        <w:widowControl w:val="0"/>
        <w:spacing w:line="240" w:lineRule="auto"/>
        <w:jc w:val="both"/>
      </w:pPr>
      <w:r>
        <w:rPr>
          <w:noProof/>
          <w:lang w:val="en-IN"/>
        </w:rPr>
        <w:drawing>
          <wp:inline distT="114300" distB="114300" distL="114300" distR="114300">
            <wp:extent cx="5719763" cy="4262371"/>
            <wp:effectExtent l="0" t="0" r="0" b="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5719763" cy="4262371"/>
                    </a:xfrm>
                    <a:prstGeom prst="rect">
                      <a:avLst/>
                    </a:prstGeom>
                    <a:ln/>
                  </pic:spPr>
                </pic:pic>
              </a:graphicData>
            </a:graphic>
          </wp:inline>
        </w:drawing>
      </w:r>
    </w:p>
    <w:p w:rsidR="002178BB" w:rsidRDefault="00C2708F">
      <w:pPr>
        <w:pStyle w:val="Heading3"/>
        <w:widowControl w:val="0"/>
      </w:pPr>
      <w:bookmarkStart w:id="13" w:name="_yikgylc4idv5" w:colFirst="0" w:colLast="0"/>
      <w:bookmarkEnd w:id="13"/>
      <w:r>
        <w:rPr>
          <w:noProof/>
          <w:lang w:val="en-IN"/>
        </w:rPr>
        <w:drawing>
          <wp:inline distT="114300" distB="114300" distL="114300" distR="114300">
            <wp:extent cx="4367213" cy="2133979"/>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4367213" cy="2133979"/>
                    </a:xfrm>
                    <a:prstGeom prst="rect">
                      <a:avLst/>
                    </a:prstGeom>
                    <a:ln/>
                  </pic:spPr>
                </pic:pic>
              </a:graphicData>
            </a:graphic>
          </wp:inline>
        </w:drawing>
      </w:r>
    </w:p>
    <w:p w:rsidR="002178BB" w:rsidRDefault="00C2708F">
      <w:pPr>
        <w:pStyle w:val="Heading3"/>
        <w:widowControl w:val="0"/>
      </w:pPr>
      <w:bookmarkStart w:id="14" w:name="_ry59otc8v9lk" w:colFirst="0" w:colLast="0"/>
      <w:bookmarkEnd w:id="14"/>
      <w:r>
        <w:t xml:space="preserve">Supplemental Figure 11. Expression of Angptl4 in interstitial cells and HF models. </w:t>
      </w:r>
    </w:p>
    <w:p w:rsidR="002178BB" w:rsidRDefault="00C2708F">
      <w:pPr>
        <w:jc w:val="both"/>
      </w:pPr>
      <w:r>
        <w:t>A+B) Angptl4 normalized gene expression among different cardiac interstitial cell types derived from the scRNAseq data as violin plots (A) and as perce</w:t>
      </w:r>
      <w:r>
        <w:t xml:space="preserve">ntage of cells expressing (B). C) Regulation of Angptl4 in fibroblasts compared between different HF mouse models. D) Correlation of clinical parameters to ANGPTL4 circulating levels in all patients (control and HFpEF) and (left panel) as subanalysis only </w:t>
      </w:r>
      <w:r>
        <w:t>in HFpEF patients using simple linear regression. p-val indicates p-value. hs= high sensitivity, LA= left atrial, MFU= months follow-up.</w:t>
      </w:r>
    </w:p>
    <w:p w:rsidR="002178BB" w:rsidRDefault="002178BB">
      <w:pPr>
        <w:jc w:val="both"/>
      </w:pPr>
    </w:p>
    <w:sectPr w:rsidR="002178BB" w:rsidSect="00C2708F">
      <w:pgSz w:w="11909" w:h="16834"/>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Haettenschweiler"/>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8BB"/>
    <w:rsid w:val="002178BB"/>
    <w:rsid w:val="00C2708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BCE902-D39B-469A-928F-E4B04DE50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de" w:eastAsia="en-I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line="240" w:lineRule="auto"/>
      <w:jc w:val="both"/>
      <w:outlineLvl w:val="2"/>
    </w:pPr>
    <w:rPr>
      <w:b/>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1610</Words>
  <Characters>9177</Characters>
  <Application>Microsoft Office Word</Application>
  <DocSecurity>0</DocSecurity>
  <Lines>76</Lines>
  <Paragraphs>21</Paragraphs>
  <ScaleCrop>false</ScaleCrop>
  <Company>HP Inc.</Company>
  <LinksUpToDate>false</LinksUpToDate>
  <CharactersWithSpaces>10766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 Alexander D Dennis MP</cp:lastModifiedBy>
  <cp:revision>2</cp:revision>
  <dcterms:created xsi:type="dcterms:W3CDTF">2024-08-06T07:21:00Z</dcterms:created>
  <dcterms:modified xsi:type="dcterms:W3CDTF">2024-08-06T07:21:00Z</dcterms:modified>
</cp:coreProperties>
</file>