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F7C" w:rsidRPr="00C331BF" w:rsidRDefault="00CB4F7C" w:rsidP="00CB4F7C">
      <w:pPr>
        <w:suppressLineNumbers/>
        <w:rPr>
          <w:rFonts w:ascii="Arial" w:eastAsiaTheme="minorEastAsia" w:hAnsi="Arial" w:cs="Arial"/>
          <w:b/>
          <w:bCs/>
          <w:kern w:val="24"/>
        </w:rPr>
      </w:pPr>
      <w:r w:rsidRPr="00C331BF">
        <w:rPr>
          <w:rFonts w:ascii="Arial" w:eastAsiaTheme="minorEastAsia" w:hAnsi="Arial" w:cs="Arial"/>
          <w:b/>
          <w:bCs/>
          <w:noProof/>
          <w:kern w:val="24"/>
          <w:lang w:eastAsia="en-IN"/>
        </w:rPr>
        <w:drawing>
          <wp:anchor distT="0" distB="0" distL="114300" distR="114300" simplePos="0" relativeHeight="251659264" behindDoc="0" locked="0" layoutInCell="1" allowOverlap="1" wp14:anchorId="284F3327" wp14:editId="016A14D2">
            <wp:simplePos x="0" y="0"/>
            <wp:positionH relativeFrom="column">
              <wp:posOffset>-161925</wp:posOffset>
            </wp:positionH>
            <wp:positionV relativeFrom="paragraph">
              <wp:posOffset>266700</wp:posOffset>
            </wp:positionV>
            <wp:extent cx="5943600" cy="736282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6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331BF">
        <w:rPr>
          <w:rFonts w:ascii="Arial" w:eastAsiaTheme="minorEastAsia" w:hAnsi="Arial" w:cs="Arial"/>
          <w:b/>
          <w:bCs/>
          <w:kern w:val="24"/>
        </w:rPr>
        <w:t>Supplementary Figures</w:t>
      </w:r>
    </w:p>
    <w:p w:rsidR="00CB4F7C" w:rsidRPr="00C331BF" w:rsidRDefault="00CB4F7C" w:rsidP="00CB4F7C">
      <w:pPr>
        <w:suppressLineNumbers/>
        <w:rPr>
          <w:rFonts w:ascii="Arial" w:eastAsiaTheme="minorEastAsia" w:hAnsi="Arial" w:cs="Arial"/>
          <w:b/>
          <w:bCs/>
          <w:kern w:val="24"/>
        </w:rPr>
      </w:pPr>
    </w:p>
    <w:p w:rsidR="00CB4F7C" w:rsidRPr="00C331BF" w:rsidRDefault="00CB4F7C" w:rsidP="00CB4F7C">
      <w:pPr>
        <w:suppressLineNumbers/>
        <w:rPr>
          <w:rFonts w:ascii="Arial" w:eastAsiaTheme="minorEastAsia" w:hAnsi="Arial" w:cs="Arial"/>
          <w:b/>
          <w:bCs/>
          <w:kern w:val="24"/>
        </w:rPr>
      </w:pPr>
      <w:bookmarkStart w:id="0" w:name="_Hlk156303437"/>
      <w:r w:rsidRPr="00C331BF">
        <w:rPr>
          <w:rFonts w:ascii="Arial" w:eastAsiaTheme="minorEastAsia" w:hAnsi="Arial" w:cs="Arial"/>
          <w:b/>
          <w:bCs/>
          <w:kern w:val="24"/>
        </w:rPr>
        <w:br w:type="page"/>
      </w:r>
    </w:p>
    <w:p w:rsidR="00CB4F7C" w:rsidRPr="00C331BF" w:rsidRDefault="00CB4F7C" w:rsidP="00CB4F7C">
      <w:pPr>
        <w:suppressLineNumbers/>
        <w:rPr>
          <w:rFonts w:ascii="Arial" w:eastAsiaTheme="minorEastAsia" w:hAnsi="Arial" w:cs="Arial"/>
          <w:b/>
          <w:bCs/>
          <w:kern w:val="24"/>
        </w:rPr>
      </w:pPr>
      <w:r w:rsidRPr="00C331BF">
        <w:rPr>
          <w:rFonts w:ascii="Arial" w:eastAsiaTheme="minorEastAsia" w:hAnsi="Arial" w:cs="Arial"/>
          <w:b/>
          <w:bCs/>
          <w:noProof/>
          <w:kern w:val="24"/>
          <w:lang w:eastAsia="en-IN"/>
        </w:rPr>
        <w:lastRenderedPageBreak/>
        <w:drawing>
          <wp:anchor distT="0" distB="0" distL="114300" distR="114300" simplePos="0" relativeHeight="251660288" behindDoc="0" locked="0" layoutInCell="1" allowOverlap="1" wp14:anchorId="5DAD71DC" wp14:editId="61F60041">
            <wp:simplePos x="0" y="0"/>
            <wp:positionH relativeFrom="column">
              <wp:posOffset>-434340</wp:posOffset>
            </wp:positionH>
            <wp:positionV relativeFrom="paragraph">
              <wp:posOffset>9525</wp:posOffset>
            </wp:positionV>
            <wp:extent cx="6882765" cy="532828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765" cy="532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331BF">
        <w:rPr>
          <w:rFonts w:ascii="Arial" w:eastAsiaTheme="minorEastAsia" w:hAnsi="Arial" w:cs="Arial"/>
          <w:b/>
          <w:bCs/>
          <w:kern w:val="24"/>
        </w:rPr>
        <w:br w:type="page"/>
      </w:r>
      <w:r w:rsidRPr="00C331BF">
        <w:rPr>
          <w:rFonts w:ascii="Arial" w:eastAsiaTheme="minorEastAsia" w:hAnsi="Arial" w:cs="Arial"/>
          <w:b/>
          <w:bCs/>
          <w:noProof/>
          <w:kern w:val="24"/>
          <w:lang w:eastAsia="en-IN"/>
        </w:rPr>
        <w:lastRenderedPageBreak/>
        <w:drawing>
          <wp:anchor distT="0" distB="0" distL="114300" distR="114300" simplePos="0" relativeHeight="251661312" behindDoc="0" locked="0" layoutInCell="1" allowOverlap="1" wp14:anchorId="3574A22B" wp14:editId="567E1C5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907530" cy="306641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7530" cy="306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331BF">
        <w:rPr>
          <w:rFonts w:ascii="Arial" w:eastAsiaTheme="minorEastAsia" w:hAnsi="Arial" w:cs="Arial"/>
          <w:b/>
          <w:bCs/>
          <w:kern w:val="24"/>
        </w:rPr>
        <w:br w:type="page"/>
      </w:r>
      <w:r w:rsidRPr="00C331BF">
        <w:rPr>
          <w:rFonts w:ascii="Arial" w:eastAsiaTheme="minorEastAsia" w:hAnsi="Arial" w:cs="Arial"/>
          <w:b/>
          <w:bCs/>
          <w:noProof/>
          <w:kern w:val="24"/>
          <w:lang w:eastAsia="en-IN"/>
        </w:rPr>
        <w:lastRenderedPageBreak/>
        <w:drawing>
          <wp:anchor distT="0" distB="0" distL="114300" distR="114300" simplePos="0" relativeHeight="251662336" behindDoc="0" locked="0" layoutInCell="1" allowOverlap="1" wp14:anchorId="3F114151" wp14:editId="14039DDD">
            <wp:simplePos x="0" y="0"/>
            <wp:positionH relativeFrom="column">
              <wp:posOffset>-491490</wp:posOffset>
            </wp:positionH>
            <wp:positionV relativeFrom="paragraph">
              <wp:posOffset>0</wp:posOffset>
            </wp:positionV>
            <wp:extent cx="6968490" cy="843788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490" cy="8437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331BF">
        <w:rPr>
          <w:rFonts w:ascii="Arial" w:eastAsiaTheme="minorEastAsia" w:hAnsi="Arial" w:cs="Arial"/>
          <w:b/>
          <w:bCs/>
          <w:kern w:val="24"/>
        </w:rPr>
        <w:br w:type="page"/>
      </w:r>
    </w:p>
    <w:p w:rsidR="00CB4F7C" w:rsidRPr="00C331BF" w:rsidRDefault="00CB4F7C" w:rsidP="00CB4F7C">
      <w:pPr>
        <w:spacing w:after="0" w:line="240" w:lineRule="auto"/>
        <w:rPr>
          <w:rFonts w:ascii="Arial" w:eastAsiaTheme="minorEastAsia" w:hAnsi="Arial" w:cs="Arial"/>
          <w:b/>
          <w:bCs/>
          <w:kern w:val="24"/>
        </w:rPr>
      </w:pPr>
      <w:r w:rsidRPr="00C331BF">
        <w:rPr>
          <w:rFonts w:ascii="Arial" w:eastAsiaTheme="minorEastAsia" w:hAnsi="Arial" w:cs="Arial"/>
          <w:b/>
          <w:bCs/>
          <w:kern w:val="24"/>
        </w:rPr>
        <w:lastRenderedPageBreak/>
        <w:t>Supplementary Fig. 1: Pharmacokinetic profile of IV TY1 in healthy mice</w:t>
      </w:r>
    </w:p>
    <w:p w:rsidR="00CB4F7C" w:rsidRPr="00C331BF" w:rsidRDefault="00CB4F7C" w:rsidP="00CB4F7C">
      <w:pPr>
        <w:spacing w:after="0" w:line="240" w:lineRule="auto"/>
        <w:rPr>
          <w:rFonts w:ascii="Arial" w:eastAsiaTheme="minorEastAsia" w:hAnsi="Arial" w:cs="Arial"/>
          <w:kern w:val="24"/>
        </w:rPr>
      </w:pPr>
      <w:r w:rsidRPr="00C331BF">
        <w:rPr>
          <w:rFonts w:ascii="Arial" w:eastAsiaTheme="minorEastAsia" w:hAnsi="Arial" w:cs="Arial"/>
          <w:b/>
          <w:bCs/>
          <w:kern w:val="24"/>
        </w:rPr>
        <w:t>A</w:t>
      </w:r>
      <w:r w:rsidRPr="00C331BF">
        <w:rPr>
          <w:rFonts w:ascii="Arial" w:eastAsiaTheme="minorEastAsia" w:hAnsi="Arial" w:cs="Arial"/>
          <w:kern w:val="24"/>
        </w:rPr>
        <w:t xml:space="preserve">, Schematic of IV TY1 pharmacokinetic study. Healthy C57BL6 mice were given a single IV infusion of TY1 and animals (n=4-5 animals per </w:t>
      </w:r>
      <w:proofErr w:type="spellStart"/>
      <w:r w:rsidRPr="00C331BF">
        <w:rPr>
          <w:rFonts w:ascii="Arial" w:eastAsiaTheme="minorEastAsia" w:hAnsi="Arial" w:cs="Arial"/>
          <w:kern w:val="24"/>
        </w:rPr>
        <w:t>timepoint</w:t>
      </w:r>
      <w:proofErr w:type="spellEnd"/>
      <w:r w:rsidRPr="00C331BF">
        <w:rPr>
          <w:rFonts w:ascii="Arial" w:eastAsiaTheme="minorEastAsia" w:hAnsi="Arial" w:cs="Arial"/>
          <w:kern w:val="24"/>
        </w:rPr>
        <w:t xml:space="preserve"> per group) were sacrificed at various time points to collect heart, lung, liver, kidney, spleen and plasma to assess TY1 abundance by qPCR (as compared to a vehicle control). </w:t>
      </w:r>
      <w:r w:rsidRPr="00C331BF">
        <w:rPr>
          <w:rFonts w:ascii="Arial" w:eastAsiaTheme="minorEastAsia" w:hAnsi="Arial" w:cs="Arial"/>
          <w:b/>
          <w:bCs/>
          <w:kern w:val="24"/>
        </w:rPr>
        <w:t>B</w:t>
      </w:r>
      <w:r w:rsidRPr="00C331BF">
        <w:rPr>
          <w:rFonts w:ascii="Arial" w:eastAsiaTheme="minorEastAsia" w:hAnsi="Arial" w:cs="Arial"/>
          <w:kern w:val="24"/>
        </w:rPr>
        <w:t>-</w:t>
      </w:r>
      <w:r w:rsidRPr="00C331BF">
        <w:rPr>
          <w:rFonts w:ascii="Arial" w:eastAsiaTheme="minorEastAsia" w:hAnsi="Arial" w:cs="Arial"/>
          <w:b/>
          <w:bCs/>
          <w:kern w:val="24"/>
        </w:rPr>
        <w:t>G</w:t>
      </w:r>
      <w:r w:rsidRPr="00C331BF">
        <w:rPr>
          <w:rFonts w:ascii="Arial" w:eastAsiaTheme="minorEastAsia" w:hAnsi="Arial" w:cs="Arial"/>
          <w:kern w:val="24"/>
        </w:rPr>
        <w:t xml:space="preserve">, abundance of TY1 in various tissue at multiple time points expressed as log2 fold change compared to vehicle animals. Points </w:t>
      </w:r>
      <w:proofErr w:type="spellStart"/>
      <w:r w:rsidRPr="00C331BF">
        <w:rPr>
          <w:rFonts w:ascii="Arial" w:eastAsiaTheme="minorEastAsia" w:hAnsi="Arial" w:cs="Arial"/>
          <w:kern w:val="24"/>
        </w:rPr>
        <w:t>reperesent</w:t>
      </w:r>
      <w:proofErr w:type="spellEnd"/>
      <w:r w:rsidRPr="00C331BF">
        <w:rPr>
          <w:rFonts w:ascii="Arial" w:eastAsiaTheme="minorEastAsia" w:hAnsi="Arial" w:cs="Arial"/>
          <w:kern w:val="24"/>
        </w:rPr>
        <w:t xml:space="preserve"> group means and error bars represent SEM. </w:t>
      </w:r>
    </w:p>
    <w:p w:rsidR="00CB4F7C" w:rsidRPr="00C331BF" w:rsidRDefault="00CB4F7C" w:rsidP="00CB4F7C">
      <w:pPr>
        <w:spacing w:after="0" w:line="240" w:lineRule="auto"/>
        <w:rPr>
          <w:rFonts w:ascii="Arial" w:eastAsiaTheme="minorEastAsia" w:hAnsi="Arial" w:cs="Arial"/>
          <w:b/>
          <w:bCs/>
          <w:kern w:val="24"/>
        </w:rPr>
      </w:pPr>
    </w:p>
    <w:p w:rsidR="00CB4F7C" w:rsidRPr="00C331BF" w:rsidRDefault="00CB4F7C" w:rsidP="00CB4F7C">
      <w:pPr>
        <w:spacing w:after="0" w:line="240" w:lineRule="auto"/>
        <w:rPr>
          <w:rFonts w:ascii="Arial" w:eastAsiaTheme="minorEastAsia" w:hAnsi="Arial" w:cs="Arial"/>
          <w:b/>
          <w:bCs/>
          <w:kern w:val="24"/>
        </w:rPr>
      </w:pPr>
    </w:p>
    <w:p w:rsidR="00CB4F7C" w:rsidRPr="00C331BF" w:rsidRDefault="00CB4F7C" w:rsidP="00CB4F7C">
      <w:pPr>
        <w:spacing w:after="0" w:line="240" w:lineRule="auto"/>
        <w:rPr>
          <w:rFonts w:ascii="Arial" w:eastAsiaTheme="minorEastAsia" w:hAnsi="Arial" w:cs="Arial"/>
          <w:kern w:val="24"/>
        </w:rPr>
      </w:pPr>
      <w:r w:rsidRPr="00C331BF">
        <w:rPr>
          <w:rFonts w:ascii="Arial" w:eastAsiaTheme="minorEastAsia" w:hAnsi="Arial" w:cs="Arial"/>
          <w:b/>
          <w:bCs/>
          <w:kern w:val="24"/>
        </w:rPr>
        <w:t>Supplementary Fig. 2: Therapeutic effects</w:t>
      </w:r>
      <w:r w:rsidRPr="00C331BF">
        <w:rPr>
          <w:rFonts w:ascii="Arial" w:hAnsi="Arial"/>
          <w:b/>
          <w:bCs/>
          <w:kern w:val="24"/>
        </w:rPr>
        <w:t xml:space="preserve"> of TY1 in </w:t>
      </w:r>
      <w:proofErr w:type="spellStart"/>
      <w:r w:rsidRPr="00C331BF">
        <w:rPr>
          <w:rFonts w:ascii="Arial" w:hAnsi="Arial"/>
          <w:b/>
          <w:bCs/>
          <w:kern w:val="24"/>
        </w:rPr>
        <w:t>HFpEF</w:t>
      </w:r>
      <w:proofErr w:type="spellEnd"/>
      <w:r w:rsidRPr="00C331BF">
        <w:rPr>
          <w:rFonts w:ascii="Arial" w:hAnsi="Arial"/>
          <w:b/>
          <w:bCs/>
          <w:kern w:val="24"/>
        </w:rPr>
        <w:t xml:space="preserve"> are not entirely attributable to anti-hypertensive effects. A</w:t>
      </w:r>
      <w:r w:rsidRPr="00C331BF">
        <w:rPr>
          <w:rFonts w:ascii="Arial" w:hAnsi="Arial"/>
          <w:kern w:val="24"/>
        </w:rPr>
        <w:t xml:space="preserve">, </w:t>
      </w:r>
      <w:r w:rsidRPr="00C331BF">
        <w:rPr>
          <w:rFonts w:ascii="Arial" w:hAnsi="Arial"/>
          <w:b/>
          <w:bCs/>
          <w:kern w:val="24"/>
        </w:rPr>
        <w:t>B</w:t>
      </w:r>
      <w:r w:rsidRPr="00C331BF">
        <w:rPr>
          <w:rFonts w:ascii="Arial" w:hAnsi="Arial"/>
          <w:kern w:val="24"/>
        </w:rPr>
        <w:t xml:space="preserve">, </w:t>
      </w:r>
      <w:proofErr w:type="spellStart"/>
      <w:r w:rsidRPr="00C331BF">
        <w:rPr>
          <w:rFonts w:ascii="Arial" w:hAnsi="Arial"/>
          <w:kern w:val="24"/>
        </w:rPr>
        <w:t>HFpeF</w:t>
      </w:r>
      <w:proofErr w:type="spellEnd"/>
      <w:r w:rsidRPr="00C331BF">
        <w:rPr>
          <w:rFonts w:ascii="Arial" w:hAnsi="Arial"/>
          <w:kern w:val="24"/>
        </w:rPr>
        <w:t xml:space="preserve"> mice receiving daily oral administration of the calcium channel blocker amlodipine (4 mg/kg) had anti-hypertensive effects comparable to mice receiving twice-weekly intravenous infusions of TY1. However, unlike the amlodipine group, animals given TY1 has significantly less circulating BNP and IL6 (</w:t>
      </w:r>
      <w:r w:rsidRPr="00C331BF">
        <w:rPr>
          <w:rFonts w:ascii="Arial" w:hAnsi="Arial"/>
          <w:b/>
          <w:bCs/>
          <w:kern w:val="24"/>
        </w:rPr>
        <w:t>B</w:t>
      </w:r>
      <w:r w:rsidRPr="00C331BF">
        <w:rPr>
          <w:rFonts w:ascii="Arial" w:hAnsi="Arial"/>
          <w:kern w:val="24"/>
        </w:rPr>
        <w:t xml:space="preserve"> and </w:t>
      </w:r>
      <w:r w:rsidRPr="00C331BF">
        <w:rPr>
          <w:rFonts w:ascii="Arial" w:hAnsi="Arial"/>
          <w:b/>
          <w:bCs/>
          <w:kern w:val="24"/>
        </w:rPr>
        <w:t>C</w:t>
      </w:r>
      <w:r w:rsidRPr="00C331BF">
        <w:rPr>
          <w:rFonts w:ascii="Arial" w:hAnsi="Arial"/>
          <w:kern w:val="24"/>
        </w:rPr>
        <w:t xml:space="preserve">, respectively), diastolic dysfunction (though a trend towards lower E/e’ was evident in the amlodipine group. </w:t>
      </w:r>
      <w:r w:rsidRPr="00C331BF">
        <w:rPr>
          <w:rFonts w:ascii="Arial" w:hAnsi="Arial"/>
          <w:b/>
          <w:bCs/>
          <w:kern w:val="24"/>
        </w:rPr>
        <w:t>D</w:t>
      </w:r>
      <w:r w:rsidRPr="00C331BF">
        <w:rPr>
          <w:rFonts w:ascii="Arial" w:hAnsi="Arial"/>
          <w:kern w:val="24"/>
        </w:rPr>
        <w:t xml:space="preserve">), and exercise endurance, E. N=4-5 animals per group. Bars represent group means and error bards represent </w:t>
      </w:r>
      <w:proofErr w:type="spellStart"/>
      <w:r w:rsidRPr="00C331BF">
        <w:rPr>
          <w:rFonts w:ascii="Arial" w:hAnsi="Arial"/>
          <w:kern w:val="24"/>
        </w:rPr>
        <w:t>s.d.</w:t>
      </w:r>
      <w:proofErr w:type="spellEnd"/>
      <w:r w:rsidRPr="00C331BF">
        <w:rPr>
          <w:rFonts w:ascii="Arial" w:hAnsi="Arial"/>
          <w:kern w:val="24"/>
        </w:rPr>
        <w:t xml:space="preserve"> </w:t>
      </w:r>
      <w:r w:rsidRPr="00C331BF">
        <w:rPr>
          <w:rFonts w:ascii="Arial" w:eastAsiaTheme="minorEastAsia" w:hAnsi="Arial" w:cs="Arial"/>
          <w:kern w:val="24"/>
        </w:rPr>
        <w:t>*,</w:t>
      </w:r>
      <w:r w:rsidRPr="00C331BF">
        <w:rPr>
          <w:rFonts w:ascii="Arial" w:eastAsiaTheme="minorEastAsia" w:hAnsi="Arial" w:cs="Arial"/>
          <w:kern w:val="24"/>
          <w:vertAlign w:val="superscript"/>
        </w:rPr>
        <w:t>†</w:t>
      </w:r>
      <w:r w:rsidRPr="00C331BF">
        <w:rPr>
          <w:rFonts w:ascii="Arial" w:eastAsiaTheme="minorEastAsia" w:hAnsi="Arial" w:cs="Arial"/>
          <w:kern w:val="24"/>
        </w:rPr>
        <w:t xml:space="preserve">P&lt;0.05; **, </w:t>
      </w:r>
      <w:r w:rsidRPr="00C331BF">
        <w:rPr>
          <w:rFonts w:ascii="Arial" w:eastAsiaTheme="minorEastAsia" w:hAnsi="Arial" w:cs="Arial"/>
          <w:kern w:val="24"/>
          <w:vertAlign w:val="superscript"/>
        </w:rPr>
        <w:t>††</w:t>
      </w:r>
      <w:r w:rsidRPr="00C331BF">
        <w:rPr>
          <w:rFonts w:ascii="Arial" w:eastAsiaTheme="minorEastAsia" w:hAnsi="Arial" w:cs="Arial"/>
          <w:kern w:val="24"/>
        </w:rPr>
        <w:t xml:space="preserve">P&lt;0.01; ***, </w:t>
      </w:r>
      <w:r w:rsidRPr="00C331BF">
        <w:rPr>
          <w:rFonts w:ascii="Arial" w:eastAsiaTheme="minorEastAsia" w:hAnsi="Arial" w:cs="Arial"/>
          <w:kern w:val="24"/>
          <w:vertAlign w:val="superscript"/>
        </w:rPr>
        <w:t>†††</w:t>
      </w:r>
      <w:r w:rsidRPr="00C331BF">
        <w:rPr>
          <w:rFonts w:ascii="Arial" w:eastAsiaTheme="minorEastAsia" w:hAnsi="Arial" w:cs="Arial"/>
          <w:kern w:val="24"/>
        </w:rPr>
        <w:t>P&lt;0.001. *; denotes comparison between groups and vehicle, †; denotes comparison between groups and control.</w:t>
      </w:r>
    </w:p>
    <w:p w:rsidR="00CB4F7C" w:rsidRPr="00C331BF" w:rsidRDefault="00CB4F7C" w:rsidP="00CB4F7C">
      <w:pPr>
        <w:tabs>
          <w:tab w:val="left" w:pos="1470"/>
        </w:tabs>
        <w:spacing w:after="0" w:line="240" w:lineRule="auto"/>
        <w:rPr>
          <w:rFonts w:ascii="Arial" w:eastAsiaTheme="minorEastAsia" w:hAnsi="Arial" w:cs="Arial"/>
          <w:b/>
          <w:bCs/>
          <w:kern w:val="24"/>
        </w:rPr>
      </w:pPr>
    </w:p>
    <w:p w:rsidR="00CB4F7C" w:rsidRPr="00C331BF" w:rsidRDefault="00CB4F7C" w:rsidP="00CB4F7C">
      <w:pPr>
        <w:tabs>
          <w:tab w:val="left" w:pos="1470"/>
        </w:tabs>
        <w:spacing w:after="0" w:line="240" w:lineRule="auto"/>
        <w:rPr>
          <w:rFonts w:ascii="Arial" w:eastAsiaTheme="minorEastAsia" w:hAnsi="Arial" w:cs="Arial"/>
          <w:kern w:val="24"/>
        </w:rPr>
      </w:pPr>
      <w:r w:rsidRPr="00C331BF">
        <w:rPr>
          <w:rFonts w:ascii="Arial" w:eastAsiaTheme="minorEastAsia" w:hAnsi="Arial" w:cs="Arial"/>
          <w:b/>
          <w:bCs/>
          <w:kern w:val="24"/>
        </w:rPr>
        <w:t xml:space="preserve">Supplementary Fig. 3 </w:t>
      </w:r>
      <w:r w:rsidRPr="00C331BF">
        <w:rPr>
          <w:rFonts w:ascii="Arial" w:hAnsi="Arial"/>
          <w:b/>
          <w:bCs/>
          <w:kern w:val="24"/>
        </w:rPr>
        <w:t xml:space="preserve">Salutary effects of TY1 in </w:t>
      </w:r>
      <w:proofErr w:type="spellStart"/>
      <w:r w:rsidRPr="00C331BF">
        <w:rPr>
          <w:rFonts w:ascii="Arial" w:hAnsi="Arial"/>
          <w:b/>
          <w:bCs/>
          <w:kern w:val="24"/>
        </w:rPr>
        <w:t>HFpEF</w:t>
      </w:r>
      <w:proofErr w:type="spellEnd"/>
      <w:r w:rsidRPr="00C331BF">
        <w:rPr>
          <w:rFonts w:ascii="Arial" w:hAnsi="Arial"/>
          <w:b/>
          <w:bCs/>
          <w:kern w:val="24"/>
        </w:rPr>
        <w:t xml:space="preserve"> is not due non-specific effects</w:t>
      </w:r>
    </w:p>
    <w:bookmarkEnd w:id="0"/>
    <w:p w:rsidR="00CB4F7C" w:rsidRPr="00C331BF" w:rsidRDefault="00CB4F7C" w:rsidP="00CB4F7C">
      <w:pPr>
        <w:spacing w:after="0" w:line="240" w:lineRule="auto"/>
        <w:rPr>
          <w:rFonts w:ascii="Arial" w:eastAsiaTheme="minorEastAsia" w:hAnsi="Arial" w:cs="Arial"/>
          <w:kern w:val="24"/>
        </w:rPr>
      </w:pPr>
      <w:r w:rsidRPr="00C331BF">
        <w:rPr>
          <w:rFonts w:ascii="Arial" w:hAnsi="Arial"/>
          <w:kern w:val="24"/>
        </w:rPr>
        <w:t xml:space="preserve">Loss of TY1 therapeutic bioactivity on diastolic dysfunction in </w:t>
      </w:r>
      <w:proofErr w:type="spellStart"/>
      <w:r w:rsidRPr="00C331BF">
        <w:rPr>
          <w:rFonts w:ascii="Arial" w:hAnsi="Arial"/>
          <w:kern w:val="24"/>
        </w:rPr>
        <w:t>HFpEF</w:t>
      </w:r>
      <w:proofErr w:type="spellEnd"/>
      <w:r w:rsidRPr="00C331BF">
        <w:rPr>
          <w:rFonts w:ascii="Arial" w:hAnsi="Arial"/>
          <w:kern w:val="24"/>
        </w:rPr>
        <w:t xml:space="preserve"> animals receiving TY1 without transfection reagent (-TR) as shown by exercise endurance, </w:t>
      </w:r>
      <w:r w:rsidRPr="00C331BF">
        <w:rPr>
          <w:rFonts w:ascii="Arial" w:hAnsi="Arial"/>
          <w:b/>
          <w:bCs/>
          <w:kern w:val="24"/>
        </w:rPr>
        <w:t>A</w:t>
      </w:r>
      <w:r w:rsidRPr="00C331BF">
        <w:rPr>
          <w:rFonts w:ascii="Arial" w:hAnsi="Arial"/>
          <w:kern w:val="24"/>
        </w:rPr>
        <w:t xml:space="preserve">, diastolic dysfunction, </w:t>
      </w:r>
      <w:r w:rsidRPr="00C331BF">
        <w:rPr>
          <w:rFonts w:ascii="Arial" w:hAnsi="Arial"/>
          <w:b/>
          <w:bCs/>
          <w:kern w:val="24"/>
        </w:rPr>
        <w:t>B</w:t>
      </w:r>
      <w:r w:rsidRPr="00C331BF">
        <w:rPr>
          <w:rFonts w:ascii="Arial" w:hAnsi="Arial"/>
          <w:kern w:val="24"/>
        </w:rPr>
        <w:t xml:space="preserve">, and circulating BNP levels, </w:t>
      </w:r>
      <w:r w:rsidRPr="00C331BF">
        <w:rPr>
          <w:rFonts w:ascii="Arial" w:hAnsi="Arial"/>
          <w:b/>
          <w:bCs/>
          <w:kern w:val="24"/>
        </w:rPr>
        <w:t>C</w:t>
      </w:r>
      <w:r w:rsidRPr="00C331BF">
        <w:rPr>
          <w:rFonts w:ascii="Arial" w:hAnsi="Arial"/>
          <w:kern w:val="24"/>
        </w:rPr>
        <w:t xml:space="preserve">. Lack of therapeutic bioactivity of a scramble sequence compared to TY1 in </w:t>
      </w:r>
      <w:proofErr w:type="spellStart"/>
      <w:r w:rsidRPr="00C331BF">
        <w:rPr>
          <w:rFonts w:ascii="Arial" w:hAnsi="Arial"/>
          <w:kern w:val="24"/>
        </w:rPr>
        <w:t>HFpEF</w:t>
      </w:r>
      <w:proofErr w:type="spellEnd"/>
      <w:r w:rsidRPr="00C331BF">
        <w:rPr>
          <w:rFonts w:ascii="Arial" w:hAnsi="Arial"/>
          <w:kern w:val="24"/>
        </w:rPr>
        <w:t xml:space="preserve"> animals as shown by lack of improvement in diastolic dysfunction in </w:t>
      </w:r>
      <w:proofErr w:type="spellStart"/>
      <w:r w:rsidRPr="00C331BF">
        <w:rPr>
          <w:rFonts w:ascii="Arial" w:hAnsi="Arial"/>
          <w:kern w:val="24"/>
        </w:rPr>
        <w:t>HFpEF</w:t>
      </w:r>
      <w:proofErr w:type="spellEnd"/>
      <w:r w:rsidRPr="00C331BF">
        <w:rPr>
          <w:rFonts w:ascii="Arial" w:hAnsi="Arial"/>
          <w:kern w:val="24"/>
        </w:rPr>
        <w:t xml:space="preserve"> animals (n=5 animals per group). </w:t>
      </w:r>
      <w:r w:rsidRPr="00C331BF">
        <w:rPr>
          <w:rFonts w:ascii="Arial" w:hAnsi="Arial"/>
          <w:b/>
          <w:bCs/>
          <w:kern w:val="24"/>
        </w:rPr>
        <w:t>D</w:t>
      </w:r>
      <w:r w:rsidRPr="00C331BF">
        <w:rPr>
          <w:rFonts w:ascii="Arial" w:hAnsi="Arial"/>
          <w:kern w:val="24"/>
        </w:rPr>
        <w:t>,</w:t>
      </w:r>
      <w:r w:rsidRPr="00C331BF">
        <w:rPr>
          <w:rFonts w:ascii="Arial" w:hAnsi="Arial"/>
          <w:b/>
          <w:bCs/>
          <w:kern w:val="24"/>
        </w:rPr>
        <w:t xml:space="preserve"> </w:t>
      </w:r>
      <w:r w:rsidRPr="00C331BF">
        <w:rPr>
          <w:rFonts w:ascii="Arial" w:eastAsiaTheme="minorEastAsia" w:hAnsi="Arial" w:cs="Arial"/>
          <w:kern w:val="24"/>
        </w:rPr>
        <w:t>Significance was determined by one-way ANOVA; *,</w:t>
      </w:r>
      <w:r w:rsidRPr="00C331BF">
        <w:rPr>
          <w:rFonts w:ascii="Arial" w:eastAsiaTheme="minorEastAsia" w:hAnsi="Arial" w:cs="Arial"/>
          <w:kern w:val="24"/>
          <w:vertAlign w:val="superscript"/>
        </w:rPr>
        <w:t>†</w:t>
      </w:r>
      <w:r w:rsidRPr="00C331BF">
        <w:rPr>
          <w:rFonts w:ascii="Arial" w:eastAsiaTheme="minorEastAsia" w:hAnsi="Arial" w:cs="Arial"/>
          <w:kern w:val="24"/>
        </w:rPr>
        <w:t xml:space="preserve">P&lt;0.05; **, </w:t>
      </w:r>
      <w:r w:rsidRPr="00C331BF">
        <w:rPr>
          <w:rFonts w:ascii="Arial" w:eastAsiaTheme="minorEastAsia" w:hAnsi="Arial" w:cs="Arial"/>
          <w:kern w:val="24"/>
          <w:vertAlign w:val="superscript"/>
        </w:rPr>
        <w:t>††</w:t>
      </w:r>
      <w:r w:rsidRPr="00C331BF">
        <w:rPr>
          <w:rFonts w:ascii="Arial" w:eastAsiaTheme="minorEastAsia" w:hAnsi="Arial" w:cs="Arial"/>
          <w:kern w:val="24"/>
        </w:rPr>
        <w:t xml:space="preserve">P&lt;0.01; ***, </w:t>
      </w:r>
      <w:r w:rsidRPr="00C331BF">
        <w:rPr>
          <w:rFonts w:ascii="Arial" w:eastAsiaTheme="minorEastAsia" w:hAnsi="Arial" w:cs="Arial"/>
          <w:kern w:val="24"/>
          <w:vertAlign w:val="superscript"/>
        </w:rPr>
        <w:t>†††</w:t>
      </w:r>
      <w:r w:rsidRPr="00C331BF">
        <w:rPr>
          <w:rFonts w:ascii="Arial" w:eastAsiaTheme="minorEastAsia" w:hAnsi="Arial" w:cs="Arial"/>
          <w:kern w:val="24"/>
        </w:rPr>
        <w:t>P&lt;0.001. *; denotes comparison between groups and vehicle, †; denotes comparison between groups and control.</w:t>
      </w:r>
    </w:p>
    <w:p w:rsidR="00CB4F7C" w:rsidRPr="00C331BF" w:rsidRDefault="00CB4F7C" w:rsidP="00CB4F7C">
      <w:pPr>
        <w:spacing w:after="0" w:line="240" w:lineRule="auto"/>
        <w:rPr>
          <w:rFonts w:ascii="Arial" w:eastAsiaTheme="minorEastAsia" w:hAnsi="Arial" w:cs="Arial"/>
          <w:kern w:val="24"/>
        </w:rPr>
      </w:pPr>
    </w:p>
    <w:p w:rsidR="00CB4F7C" w:rsidRPr="00C331BF" w:rsidRDefault="00CB4F7C" w:rsidP="00CB4F7C">
      <w:pPr>
        <w:spacing w:after="0" w:line="240" w:lineRule="auto"/>
        <w:rPr>
          <w:rFonts w:ascii="Arial" w:eastAsiaTheme="minorEastAsia" w:hAnsi="Arial" w:cs="Arial"/>
          <w:kern w:val="24"/>
        </w:rPr>
      </w:pPr>
    </w:p>
    <w:p w:rsidR="00CB4F7C" w:rsidRPr="00C331BF" w:rsidRDefault="00CB4F7C" w:rsidP="00CB4F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331BF">
        <w:rPr>
          <w:rFonts w:ascii="Arial" w:eastAsiaTheme="minorEastAsia" w:hAnsi="Arial" w:cs="Arial"/>
          <w:b/>
          <w:bCs/>
          <w:kern w:val="24"/>
        </w:rPr>
        <w:t xml:space="preserve">Supplementary Fig. 4 Sequencing of </w:t>
      </w:r>
      <w:proofErr w:type="spellStart"/>
      <w:r w:rsidRPr="00C331BF">
        <w:rPr>
          <w:rFonts w:ascii="Arial" w:eastAsiaTheme="minorEastAsia" w:hAnsi="Arial" w:cs="Arial"/>
          <w:b/>
          <w:bCs/>
          <w:kern w:val="24"/>
        </w:rPr>
        <w:t>HFpEF</w:t>
      </w:r>
      <w:proofErr w:type="spellEnd"/>
      <w:r w:rsidRPr="00C331BF">
        <w:rPr>
          <w:rFonts w:ascii="Arial" w:eastAsiaTheme="minorEastAsia" w:hAnsi="Arial" w:cs="Arial"/>
          <w:b/>
          <w:bCs/>
          <w:kern w:val="24"/>
        </w:rPr>
        <w:t xml:space="preserve"> heart tissue </w:t>
      </w:r>
      <w:r w:rsidRPr="00C331BF">
        <w:rPr>
          <w:rFonts w:ascii="Arial" w:eastAsiaTheme="minorEastAsia" w:hAnsi="Arial" w:cs="Arial"/>
          <w:kern w:val="24"/>
        </w:rPr>
        <w:t xml:space="preserve">Sequencing results showing TY1-induced normalization of </w:t>
      </w:r>
      <w:proofErr w:type="spellStart"/>
      <w:r w:rsidRPr="00C331BF">
        <w:rPr>
          <w:rFonts w:ascii="Arial" w:eastAsiaTheme="minorEastAsia" w:hAnsi="Arial" w:cs="Arial"/>
          <w:kern w:val="24"/>
        </w:rPr>
        <w:t>HFpEF</w:t>
      </w:r>
      <w:proofErr w:type="spellEnd"/>
      <w:r w:rsidRPr="00C331BF">
        <w:rPr>
          <w:rFonts w:ascii="Arial" w:eastAsiaTheme="minorEastAsia" w:hAnsi="Arial" w:cs="Arial"/>
          <w:kern w:val="24"/>
        </w:rPr>
        <w:t>-dysregulated genes (compared to vehicle) including structural, (</w:t>
      </w:r>
      <w:r w:rsidRPr="00C331BF">
        <w:rPr>
          <w:rFonts w:ascii="Arial" w:eastAsiaTheme="minorEastAsia" w:hAnsi="Arial" w:cs="Arial"/>
          <w:b/>
          <w:bCs/>
          <w:kern w:val="24"/>
        </w:rPr>
        <w:t>A</w:t>
      </w:r>
      <w:r w:rsidRPr="00C331BF">
        <w:rPr>
          <w:rFonts w:ascii="Arial" w:eastAsiaTheme="minorEastAsia" w:hAnsi="Arial" w:cs="Arial"/>
          <w:kern w:val="24"/>
        </w:rPr>
        <w:t>), developmental (</w:t>
      </w:r>
      <w:r w:rsidRPr="00C331BF">
        <w:rPr>
          <w:rFonts w:ascii="Arial" w:eastAsiaTheme="minorEastAsia" w:hAnsi="Arial" w:cs="Arial"/>
          <w:b/>
          <w:bCs/>
          <w:kern w:val="24"/>
        </w:rPr>
        <w:t>B</w:t>
      </w:r>
      <w:r w:rsidRPr="00C331BF">
        <w:rPr>
          <w:rFonts w:ascii="Arial" w:eastAsiaTheme="minorEastAsia" w:hAnsi="Arial" w:cs="Arial"/>
          <w:kern w:val="24"/>
        </w:rPr>
        <w:t>), calcium handling (</w:t>
      </w:r>
      <w:r w:rsidRPr="00C331BF">
        <w:rPr>
          <w:rFonts w:ascii="Arial" w:eastAsiaTheme="minorEastAsia" w:hAnsi="Arial" w:cs="Arial"/>
          <w:b/>
          <w:bCs/>
          <w:kern w:val="24"/>
        </w:rPr>
        <w:t>C</w:t>
      </w:r>
      <w:r w:rsidRPr="00C331BF">
        <w:rPr>
          <w:rFonts w:ascii="Arial" w:eastAsiaTheme="minorEastAsia" w:hAnsi="Arial" w:cs="Arial"/>
          <w:kern w:val="24"/>
        </w:rPr>
        <w:t>), potassium channels (</w:t>
      </w:r>
      <w:r w:rsidRPr="00C331BF">
        <w:rPr>
          <w:rFonts w:ascii="Arial" w:eastAsiaTheme="minorEastAsia" w:hAnsi="Arial" w:cs="Arial"/>
          <w:b/>
          <w:bCs/>
          <w:kern w:val="24"/>
        </w:rPr>
        <w:t>D</w:t>
      </w:r>
      <w:r w:rsidRPr="00C331BF">
        <w:rPr>
          <w:rFonts w:ascii="Arial" w:eastAsiaTheme="minorEastAsia" w:hAnsi="Arial" w:cs="Arial"/>
          <w:kern w:val="24"/>
        </w:rPr>
        <w:t>), and solute carrier membrane proteins (</w:t>
      </w:r>
      <w:r w:rsidRPr="00C331BF">
        <w:rPr>
          <w:rFonts w:ascii="Arial" w:eastAsiaTheme="minorEastAsia" w:hAnsi="Arial" w:cs="Arial"/>
          <w:b/>
          <w:bCs/>
          <w:kern w:val="24"/>
        </w:rPr>
        <w:t>E</w:t>
      </w:r>
      <w:r w:rsidRPr="00C331BF">
        <w:rPr>
          <w:rFonts w:ascii="Arial" w:eastAsiaTheme="minorEastAsia" w:hAnsi="Arial" w:cs="Arial"/>
          <w:kern w:val="24"/>
        </w:rPr>
        <w:t>) (n=5 hearts per group).</w:t>
      </w:r>
    </w:p>
    <w:p w:rsidR="00CB4F7C" w:rsidRPr="00C331BF" w:rsidRDefault="00CB4F7C" w:rsidP="00CB4F7C">
      <w:pPr>
        <w:spacing w:after="0" w:line="240" w:lineRule="auto"/>
        <w:rPr>
          <w:rFonts w:ascii="Arial" w:eastAsiaTheme="minorEastAsia" w:hAnsi="Arial" w:cs="Arial"/>
          <w:kern w:val="24"/>
        </w:rPr>
      </w:pPr>
    </w:p>
    <w:p w:rsidR="00CB4F7C" w:rsidRPr="00C331BF" w:rsidRDefault="00CB4F7C" w:rsidP="00CB4F7C">
      <w:pPr>
        <w:pStyle w:val="NormalWeb"/>
        <w:tabs>
          <w:tab w:val="left" w:pos="3570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bookmarkStart w:id="1" w:name="_GoBack"/>
    </w:p>
    <w:bookmarkEnd w:id="1"/>
    <w:p w:rsidR="00953466" w:rsidRDefault="00953466"/>
    <w:sectPr w:rsidR="009534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F7C"/>
    <w:rsid w:val="00007569"/>
    <w:rsid w:val="00017B92"/>
    <w:rsid w:val="00035CE8"/>
    <w:rsid w:val="00041EE9"/>
    <w:rsid w:val="00054E4C"/>
    <w:rsid w:val="000669D5"/>
    <w:rsid w:val="00072C51"/>
    <w:rsid w:val="00075F69"/>
    <w:rsid w:val="000943EF"/>
    <w:rsid w:val="00094D17"/>
    <w:rsid w:val="000E716B"/>
    <w:rsid w:val="001019C9"/>
    <w:rsid w:val="00134323"/>
    <w:rsid w:val="001344F5"/>
    <w:rsid w:val="0014552E"/>
    <w:rsid w:val="00154457"/>
    <w:rsid w:val="00156D6A"/>
    <w:rsid w:val="001609ED"/>
    <w:rsid w:val="00175D6C"/>
    <w:rsid w:val="00193EA2"/>
    <w:rsid w:val="00196D35"/>
    <w:rsid w:val="001A79D1"/>
    <w:rsid w:val="001E1915"/>
    <w:rsid w:val="001E2E19"/>
    <w:rsid w:val="002011EF"/>
    <w:rsid w:val="00210EB4"/>
    <w:rsid w:val="00245467"/>
    <w:rsid w:val="00252B74"/>
    <w:rsid w:val="0026016C"/>
    <w:rsid w:val="002701A3"/>
    <w:rsid w:val="00283D9C"/>
    <w:rsid w:val="0029578D"/>
    <w:rsid w:val="002A379A"/>
    <w:rsid w:val="002A5FC1"/>
    <w:rsid w:val="002C72FC"/>
    <w:rsid w:val="002E4CD6"/>
    <w:rsid w:val="003139B6"/>
    <w:rsid w:val="0032063E"/>
    <w:rsid w:val="00367716"/>
    <w:rsid w:val="00374472"/>
    <w:rsid w:val="00384F07"/>
    <w:rsid w:val="003A1A37"/>
    <w:rsid w:val="003C7E72"/>
    <w:rsid w:val="003D560C"/>
    <w:rsid w:val="003E1275"/>
    <w:rsid w:val="003F46A5"/>
    <w:rsid w:val="003F768B"/>
    <w:rsid w:val="004B71BD"/>
    <w:rsid w:val="004C0EDD"/>
    <w:rsid w:val="004E0353"/>
    <w:rsid w:val="004E27A7"/>
    <w:rsid w:val="00520E96"/>
    <w:rsid w:val="0053537B"/>
    <w:rsid w:val="00586953"/>
    <w:rsid w:val="005A5BCE"/>
    <w:rsid w:val="005B0427"/>
    <w:rsid w:val="005D357E"/>
    <w:rsid w:val="005E1007"/>
    <w:rsid w:val="005F75F4"/>
    <w:rsid w:val="00616A32"/>
    <w:rsid w:val="00622567"/>
    <w:rsid w:val="0064126E"/>
    <w:rsid w:val="00645D20"/>
    <w:rsid w:val="006463FE"/>
    <w:rsid w:val="00650EAC"/>
    <w:rsid w:val="00667230"/>
    <w:rsid w:val="00684CEE"/>
    <w:rsid w:val="00691587"/>
    <w:rsid w:val="006C0619"/>
    <w:rsid w:val="006C1DC1"/>
    <w:rsid w:val="006D0D98"/>
    <w:rsid w:val="006E0B8F"/>
    <w:rsid w:val="006E0DA0"/>
    <w:rsid w:val="006E2DDB"/>
    <w:rsid w:val="006E4A51"/>
    <w:rsid w:val="00707CBC"/>
    <w:rsid w:val="00716CF2"/>
    <w:rsid w:val="007221B9"/>
    <w:rsid w:val="00731785"/>
    <w:rsid w:val="00751D8C"/>
    <w:rsid w:val="00766A71"/>
    <w:rsid w:val="00772BCB"/>
    <w:rsid w:val="0079354C"/>
    <w:rsid w:val="00795F16"/>
    <w:rsid w:val="007A45E8"/>
    <w:rsid w:val="007C2080"/>
    <w:rsid w:val="007C6D86"/>
    <w:rsid w:val="007D5B62"/>
    <w:rsid w:val="007E5734"/>
    <w:rsid w:val="007F2811"/>
    <w:rsid w:val="00800ED6"/>
    <w:rsid w:val="00807549"/>
    <w:rsid w:val="00826138"/>
    <w:rsid w:val="008557C0"/>
    <w:rsid w:val="0085593B"/>
    <w:rsid w:val="00860538"/>
    <w:rsid w:val="008630D8"/>
    <w:rsid w:val="008672B1"/>
    <w:rsid w:val="008A6EB4"/>
    <w:rsid w:val="008B3165"/>
    <w:rsid w:val="008C5744"/>
    <w:rsid w:val="008E3C2C"/>
    <w:rsid w:val="008F7C23"/>
    <w:rsid w:val="009033A0"/>
    <w:rsid w:val="00904FA6"/>
    <w:rsid w:val="00915396"/>
    <w:rsid w:val="00917969"/>
    <w:rsid w:val="009346E7"/>
    <w:rsid w:val="00952047"/>
    <w:rsid w:val="00953466"/>
    <w:rsid w:val="0097175E"/>
    <w:rsid w:val="00972708"/>
    <w:rsid w:val="009A0E3E"/>
    <w:rsid w:val="009B22C4"/>
    <w:rsid w:val="009D368D"/>
    <w:rsid w:val="009D56BF"/>
    <w:rsid w:val="009F58A4"/>
    <w:rsid w:val="009F5E54"/>
    <w:rsid w:val="00A01944"/>
    <w:rsid w:val="00A02F07"/>
    <w:rsid w:val="00A0481E"/>
    <w:rsid w:val="00A5553F"/>
    <w:rsid w:val="00A704E1"/>
    <w:rsid w:val="00A86F18"/>
    <w:rsid w:val="00AA734C"/>
    <w:rsid w:val="00AB1380"/>
    <w:rsid w:val="00AE637F"/>
    <w:rsid w:val="00AF2EEA"/>
    <w:rsid w:val="00B04F3E"/>
    <w:rsid w:val="00B138B8"/>
    <w:rsid w:val="00B206FF"/>
    <w:rsid w:val="00B2379C"/>
    <w:rsid w:val="00B27E15"/>
    <w:rsid w:val="00B30491"/>
    <w:rsid w:val="00B4025B"/>
    <w:rsid w:val="00B45CAC"/>
    <w:rsid w:val="00B60B18"/>
    <w:rsid w:val="00B75201"/>
    <w:rsid w:val="00B75F5F"/>
    <w:rsid w:val="00B76B50"/>
    <w:rsid w:val="00BA414E"/>
    <w:rsid w:val="00BC7622"/>
    <w:rsid w:val="00BD46EC"/>
    <w:rsid w:val="00C02778"/>
    <w:rsid w:val="00C30F0B"/>
    <w:rsid w:val="00C3271B"/>
    <w:rsid w:val="00C44071"/>
    <w:rsid w:val="00C60C43"/>
    <w:rsid w:val="00C6311C"/>
    <w:rsid w:val="00C70F4B"/>
    <w:rsid w:val="00C77298"/>
    <w:rsid w:val="00CA7834"/>
    <w:rsid w:val="00CB4F7C"/>
    <w:rsid w:val="00CC37D0"/>
    <w:rsid w:val="00CC60A0"/>
    <w:rsid w:val="00CE6F3D"/>
    <w:rsid w:val="00CF141D"/>
    <w:rsid w:val="00CF1BEE"/>
    <w:rsid w:val="00D212A3"/>
    <w:rsid w:val="00D566D5"/>
    <w:rsid w:val="00D64BE2"/>
    <w:rsid w:val="00D76932"/>
    <w:rsid w:val="00DB3555"/>
    <w:rsid w:val="00DB6350"/>
    <w:rsid w:val="00DE2C50"/>
    <w:rsid w:val="00E0239B"/>
    <w:rsid w:val="00E12470"/>
    <w:rsid w:val="00E21222"/>
    <w:rsid w:val="00E2214C"/>
    <w:rsid w:val="00E4076D"/>
    <w:rsid w:val="00E428E3"/>
    <w:rsid w:val="00E74E95"/>
    <w:rsid w:val="00E86401"/>
    <w:rsid w:val="00E97582"/>
    <w:rsid w:val="00EC0D08"/>
    <w:rsid w:val="00EC6902"/>
    <w:rsid w:val="00ED1CFB"/>
    <w:rsid w:val="00F2008E"/>
    <w:rsid w:val="00F54755"/>
    <w:rsid w:val="00FA14F5"/>
    <w:rsid w:val="00FA2752"/>
    <w:rsid w:val="00FA660A"/>
    <w:rsid w:val="00FD0169"/>
    <w:rsid w:val="00FD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6DC010-C9B9-4BBB-BCE9-2ED4F2F7F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4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Dhivya Kathirvel</dc:creator>
  <cp:keywords/>
  <dc:description/>
  <cp:lastModifiedBy>Dhivya Kathirvel</cp:lastModifiedBy>
  <cp:revision>1</cp:revision>
  <dcterms:created xsi:type="dcterms:W3CDTF">2024-12-19T09:53:00Z</dcterms:created>
  <dcterms:modified xsi:type="dcterms:W3CDTF">2024-12-19T09:53:00Z</dcterms:modified>
</cp:coreProperties>
</file>