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EAB1" w14:textId="77777777" w:rsidR="00B07D4E" w:rsidRPr="00461ED0" w:rsidRDefault="00B07D4E" w:rsidP="00B07D4E">
      <w:pPr>
        <w:jc w:val="both"/>
        <w:rPr>
          <w:b/>
        </w:rPr>
      </w:pPr>
    </w:p>
    <w:p w14:paraId="4FF7668F" w14:textId="77777777" w:rsidR="00B07D4E" w:rsidRPr="00390D33" w:rsidRDefault="00B07D4E" w:rsidP="00B07D4E">
      <w:pPr>
        <w:jc w:val="both"/>
        <w:rPr>
          <w:sz w:val="20"/>
          <w:szCs w:val="20"/>
        </w:rPr>
      </w:pPr>
      <w:r w:rsidRPr="00390D33">
        <w:rPr>
          <w:b/>
          <w:sz w:val="20"/>
          <w:szCs w:val="20"/>
        </w:rPr>
        <w:t xml:space="preserve">Supplemental Fig. 1 </w:t>
      </w:r>
      <w:r w:rsidRPr="00390D33">
        <w:rPr>
          <w:bCs/>
          <w:sz w:val="20"/>
          <w:szCs w:val="20"/>
        </w:rPr>
        <w:t xml:space="preserve">(a) </w:t>
      </w:r>
      <w:r w:rsidRPr="00610250">
        <w:rPr>
          <w:bCs/>
          <w:sz w:val="20"/>
          <w:szCs w:val="20"/>
        </w:rPr>
        <w:t>For internal validation of the model</w:t>
      </w:r>
      <w:r w:rsidRPr="00390D33">
        <w:rPr>
          <w:bCs/>
          <w:sz w:val="20"/>
          <w:szCs w:val="20"/>
        </w:rPr>
        <w:t>, control chimeras were generated by lethally irradiating</w:t>
      </w:r>
      <w:r w:rsidRPr="00390D33">
        <w:rPr>
          <w:bCs/>
          <w:i/>
          <w:iCs/>
          <w:sz w:val="20"/>
          <w:szCs w:val="20"/>
        </w:rPr>
        <w:t xml:space="preserve"> Ldlr</w:t>
      </w:r>
      <w:r w:rsidRPr="00390D33">
        <w:rPr>
          <w:rFonts w:ascii="Cambria Math" w:hAnsi="Cambria Math" w:cs="Cambria Math"/>
          <w:bCs/>
          <w:i/>
          <w:iCs/>
          <w:sz w:val="20"/>
          <w:szCs w:val="20"/>
        </w:rPr>
        <w:t>⁻</w:t>
      </w:r>
      <w:r w:rsidRPr="00390D33">
        <w:rPr>
          <w:bCs/>
          <w:i/>
          <w:iCs/>
          <w:sz w:val="20"/>
          <w:szCs w:val="20"/>
        </w:rPr>
        <w:t>/</w:t>
      </w:r>
      <w:r w:rsidRPr="00390D33">
        <w:rPr>
          <w:rFonts w:ascii="Cambria Math" w:hAnsi="Cambria Math" w:cs="Cambria Math"/>
          <w:bCs/>
          <w:i/>
          <w:iCs/>
          <w:sz w:val="20"/>
          <w:szCs w:val="20"/>
        </w:rPr>
        <w:t>⁻</w:t>
      </w:r>
      <w:r w:rsidRPr="00390D33">
        <w:rPr>
          <w:bCs/>
          <w:i/>
          <w:iCs/>
          <w:sz w:val="20"/>
          <w:szCs w:val="20"/>
        </w:rPr>
        <w:t xml:space="preserve"> </w:t>
      </w:r>
      <w:r w:rsidRPr="00390D33">
        <w:rPr>
          <w:bCs/>
          <w:sz w:val="20"/>
          <w:szCs w:val="20"/>
        </w:rPr>
        <w:t>mice and reconstituting them with a 1:1 mixture of bone marrow from CD45.1</w:t>
      </w:r>
      <w:r w:rsidRPr="00390D33">
        <w:rPr>
          <w:rFonts w:ascii="Cambria Math" w:hAnsi="Cambria Math" w:cs="Cambria Math"/>
          <w:bCs/>
          <w:sz w:val="20"/>
          <w:szCs w:val="20"/>
        </w:rPr>
        <w:t>⁺</w:t>
      </w:r>
      <w:r w:rsidRPr="00390D33">
        <w:rPr>
          <w:bCs/>
          <w:sz w:val="20"/>
          <w:szCs w:val="20"/>
        </w:rPr>
        <w:t xml:space="preserve"> WT and CD45.2</w:t>
      </w:r>
      <w:r w:rsidRPr="00390D33">
        <w:rPr>
          <w:rFonts w:ascii="Cambria Math" w:hAnsi="Cambria Math" w:cs="Cambria Math"/>
          <w:bCs/>
          <w:sz w:val="20"/>
          <w:szCs w:val="20"/>
        </w:rPr>
        <w:t>⁺</w:t>
      </w:r>
      <w:r w:rsidRPr="00390D33">
        <w:rPr>
          <w:bCs/>
          <w:sz w:val="20"/>
          <w:szCs w:val="20"/>
        </w:rPr>
        <w:t xml:space="preserve"> WT donors.</w:t>
      </w:r>
      <w:r w:rsidRPr="00390D33">
        <w:rPr>
          <w:b/>
          <w:sz w:val="20"/>
          <w:szCs w:val="20"/>
        </w:rPr>
        <w:t xml:space="preserve"> </w:t>
      </w:r>
      <w:r w:rsidRPr="00390D33">
        <w:rPr>
          <w:bCs/>
          <w:sz w:val="20"/>
          <w:szCs w:val="20"/>
        </w:rPr>
        <w:t>After 6 weeks of reconstitution, mice were fed a high-cholesterol diet (HCD) for 12 weeks.</w:t>
      </w:r>
      <w:r w:rsidRPr="00390D33">
        <w:rPr>
          <w:b/>
          <w:sz w:val="20"/>
          <w:szCs w:val="20"/>
        </w:rPr>
        <w:t xml:space="preserve"> </w:t>
      </w:r>
      <w:r w:rsidRPr="00390D33">
        <w:rPr>
          <w:sz w:val="20"/>
          <w:szCs w:val="20"/>
        </w:rPr>
        <w:t>(b) Representative dot plots and gating strategy identifying Ly6C</w:t>
      </w:r>
      <w:r w:rsidRPr="00390D33">
        <w:rPr>
          <w:sz w:val="20"/>
          <w:szCs w:val="20"/>
          <w:vertAlign w:val="superscript"/>
        </w:rPr>
        <w:t>high</w:t>
      </w:r>
      <w:r w:rsidRPr="00390D33">
        <w:rPr>
          <w:sz w:val="20"/>
          <w:szCs w:val="20"/>
        </w:rPr>
        <w:t xml:space="preserve"> monocytes, macrophages, and their proliferating and apoptotic fraction.</w:t>
      </w:r>
      <w:r>
        <w:rPr>
          <w:sz w:val="20"/>
          <w:szCs w:val="20"/>
        </w:rPr>
        <w:t xml:space="preserve"> </w:t>
      </w:r>
      <w:r w:rsidRPr="007F6F93">
        <w:rPr>
          <w:sz w:val="20"/>
          <w:szCs w:val="20"/>
        </w:rPr>
        <w:t>Cells originating from blood are gated in red; cells originating from aorta are gated in gray.</w:t>
      </w:r>
      <w:r w:rsidRPr="00390D33">
        <w:rPr>
          <w:sz w:val="20"/>
          <w:szCs w:val="20"/>
        </w:rPr>
        <w:t xml:space="preserve"> Data are presented as mean ± SEM and individual proliferation and apoptotic fraction; n = 4 per group; ns = not significant as determined by paired t-test. (c) Intracellular Ki-67 and active Caspase-3 expression between WT and </w:t>
      </w:r>
      <w:r w:rsidRPr="00390D33">
        <w:rPr>
          <w:i/>
          <w:iCs/>
          <w:sz w:val="20"/>
          <w:szCs w:val="20"/>
        </w:rPr>
        <w:t>Il-1r</w:t>
      </w:r>
      <w:r w:rsidRPr="00390D33">
        <w:rPr>
          <w:i/>
          <w:iCs/>
          <w:sz w:val="20"/>
          <w:szCs w:val="20"/>
          <w:vertAlign w:val="superscript"/>
        </w:rPr>
        <w:t>−/−</w:t>
      </w:r>
      <w:r w:rsidRPr="00390D33">
        <w:rPr>
          <w:sz w:val="20"/>
          <w:szCs w:val="20"/>
        </w:rPr>
        <w:t xml:space="preserve"> macrophages are presented as individual proliferation and apoptotic fraction; n = 6 per group; ns = non-significant differences between </w:t>
      </w:r>
      <w:r w:rsidRPr="00390D33">
        <w:rPr>
          <w:i/>
          <w:iCs/>
          <w:sz w:val="20"/>
          <w:szCs w:val="20"/>
        </w:rPr>
        <w:t>Il-1r</w:t>
      </w:r>
      <w:r w:rsidRPr="00390D33">
        <w:rPr>
          <w:i/>
          <w:iCs/>
          <w:sz w:val="20"/>
          <w:szCs w:val="20"/>
          <w:vertAlign w:val="superscript"/>
        </w:rPr>
        <w:t>+/+</w:t>
      </w:r>
      <w:r w:rsidRPr="00390D33">
        <w:rPr>
          <w:sz w:val="20"/>
          <w:szCs w:val="20"/>
        </w:rPr>
        <w:t xml:space="preserve"> and </w:t>
      </w:r>
      <w:r w:rsidRPr="00390D33">
        <w:rPr>
          <w:i/>
          <w:iCs/>
          <w:sz w:val="20"/>
          <w:szCs w:val="20"/>
        </w:rPr>
        <w:t>Il-1r</w:t>
      </w:r>
      <w:r w:rsidRPr="00390D33">
        <w:rPr>
          <w:i/>
          <w:iCs/>
          <w:sz w:val="20"/>
          <w:szCs w:val="20"/>
          <w:vertAlign w:val="superscript"/>
        </w:rPr>
        <w:t>−/−</w:t>
      </w:r>
      <w:r w:rsidRPr="00390D33">
        <w:rPr>
          <w:sz w:val="20"/>
          <w:szCs w:val="20"/>
        </w:rPr>
        <w:t xml:space="preserve"> as determined by paired t-test. Relative change in chimerism of blood monocytes, aortic monocytes, and aortic macrophages of </w:t>
      </w:r>
      <w:r w:rsidRPr="00390D33">
        <w:rPr>
          <w:i/>
          <w:iCs/>
          <w:sz w:val="20"/>
          <w:szCs w:val="20"/>
        </w:rPr>
        <w:t>Il-1r</w:t>
      </w:r>
      <w:r w:rsidRPr="00390D33">
        <w:rPr>
          <w:i/>
          <w:iCs/>
          <w:sz w:val="20"/>
          <w:szCs w:val="20"/>
          <w:vertAlign w:val="superscript"/>
        </w:rPr>
        <w:t>−/−</w:t>
      </w:r>
      <w:r w:rsidRPr="00390D33">
        <w:rPr>
          <w:sz w:val="20"/>
          <w:szCs w:val="20"/>
        </w:rPr>
        <w:t xml:space="preserve"> chimera. The shift in chimerism is shown as mean ± SEM percentage change; n = 6 per group; ns = non-significant difference as determined by one-Way ANOVA. </w:t>
      </w:r>
    </w:p>
    <w:p w14:paraId="6126691E" w14:textId="77777777" w:rsidR="00B07D4E" w:rsidRPr="00390D33" w:rsidRDefault="00B07D4E" w:rsidP="00B07D4E">
      <w:pPr>
        <w:jc w:val="both"/>
        <w:rPr>
          <w:sz w:val="20"/>
          <w:szCs w:val="20"/>
        </w:rPr>
      </w:pPr>
    </w:p>
    <w:p w14:paraId="199B96B1" w14:textId="77777777" w:rsidR="00B07D4E" w:rsidRPr="000C37AF" w:rsidRDefault="00B07D4E" w:rsidP="00B07D4E">
      <w:pPr>
        <w:jc w:val="both"/>
        <w:rPr>
          <w:b/>
          <w:sz w:val="20"/>
          <w:szCs w:val="20"/>
          <w:lang w:val="de-DE"/>
        </w:rPr>
      </w:pPr>
      <w:r>
        <w:rPr>
          <w:b/>
          <w:noProof/>
          <w:sz w:val="20"/>
          <w:szCs w:val="20"/>
          <w:lang w:eastAsia="en-IN"/>
        </w:rPr>
        <w:drawing>
          <wp:inline distT="0" distB="0" distL="0" distR="0" wp14:anchorId="39099323" wp14:editId="3F5E8121">
            <wp:extent cx="5733415" cy="4683760"/>
            <wp:effectExtent l="0" t="0" r="635" b="2540"/>
            <wp:docPr id="931494681" name="Grafik 7" descr="Ein Bild, das Tex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94681" name="Grafik 7" descr="Ein Bild, das Text, Diagramm enthält.&#10;&#10;KI-generierte Inhalte können fehlerhaft sein."/>
                    <pic:cNvPicPr/>
                  </pic:nvPicPr>
                  <pic:blipFill>
                    <a:blip r:embed="rId6"/>
                    <a:stretch>
                      <a:fillRect/>
                    </a:stretch>
                  </pic:blipFill>
                  <pic:spPr>
                    <a:xfrm>
                      <a:off x="0" y="0"/>
                      <a:ext cx="5733415" cy="4683760"/>
                    </a:xfrm>
                    <a:prstGeom prst="rect">
                      <a:avLst/>
                    </a:prstGeom>
                  </pic:spPr>
                </pic:pic>
              </a:graphicData>
            </a:graphic>
          </wp:inline>
        </w:drawing>
      </w:r>
    </w:p>
    <w:p w14:paraId="00F0C245" w14:textId="77777777" w:rsidR="00B07D4E" w:rsidRPr="00390D33" w:rsidRDefault="00B07D4E" w:rsidP="00B07D4E">
      <w:pPr>
        <w:jc w:val="both"/>
        <w:rPr>
          <w:sz w:val="20"/>
          <w:szCs w:val="20"/>
        </w:rPr>
      </w:pPr>
      <w:r w:rsidRPr="00390D33">
        <w:rPr>
          <w:b/>
          <w:sz w:val="20"/>
          <w:szCs w:val="20"/>
        </w:rPr>
        <w:t>Supplemental Fig. 2</w:t>
      </w:r>
      <w:r w:rsidRPr="00390D33">
        <w:rPr>
          <w:sz w:val="20"/>
          <w:szCs w:val="20"/>
        </w:rPr>
        <w:t xml:space="preserve"> (a) Representative gating strategy of </w:t>
      </w:r>
      <w:r w:rsidRPr="00390D33">
        <w:rPr>
          <w:i/>
          <w:iCs/>
          <w:sz w:val="20"/>
          <w:szCs w:val="20"/>
        </w:rPr>
        <w:t>Apoe</w:t>
      </w:r>
      <w:r w:rsidRPr="00390D33">
        <w:rPr>
          <w:i/>
          <w:iCs/>
          <w:sz w:val="20"/>
          <w:szCs w:val="20"/>
          <w:vertAlign w:val="superscript"/>
        </w:rPr>
        <w:t>−/−</w:t>
      </w:r>
      <w:r w:rsidRPr="00390D33">
        <w:rPr>
          <w:sz w:val="20"/>
          <w:szCs w:val="20"/>
        </w:rPr>
        <w:t xml:space="preserve"> mice treated with or without MCC950 (10 µg per g body weight), identifying the fraction of proliferating and apoptotic macrophages in atherosclerotic aorta by flow cytometry. (b) Body weights, aorta weights, plasma cholesterol levels, and leukocyte numbers in the blood at the time of sacrifice in </w:t>
      </w:r>
      <w:r w:rsidRPr="00390D33">
        <w:rPr>
          <w:i/>
          <w:iCs/>
          <w:sz w:val="20"/>
          <w:szCs w:val="20"/>
        </w:rPr>
        <w:t>Apoe</w:t>
      </w:r>
      <w:r w:rsidRPr="00390D33">
        <w:rPr>
          <w:i/>
          <w:iCs/>
          <w:sz w:val="20"/>
          <w:szCs w:val="20"/>
          <w:vertAlign w:val="superscript"/>
        </w:rPr>
        <w:t>−/−</w:t>
      </w:r>
      <w:r w:rsidRPr="00390D33">
        <w:rPr>
          <w:sz w:val="20"/>
          <w:szCs w:val="20"/>
        </w:rPr>
        <w:t xml:space="preserve"> mice with or without MCC950 treatment. Blood leukocytes were quantified by flow cytometry. Data are presented as mean ± SEM; n = 9/10; ns = not significant as determined by one-Way ANOVA. </w:t>
      </w:r>
    </w:p>
    <w:p w14:paraId="2F598CDC" w14:textId="77777777" w:rsidR="00B07D4E" w:rsidRPr="00390D33" w:rsidRDefault="00B07D4E" w:rsidP="00B07D4E">
      <w:pPr>
        <w:jc w:val="both"/>
        <w:rPr>
          <w:sz w:val="20"/>
          <w:szCs w:val="20"/>
        </w:rPr>
      </w:pPr>
    </w:p>
    <w:p w14:paraId="197DABD1" w14:textId="77777777" w:rsidR="00B07D4E" w:rsidRPr="000C37AF" w:rsidRDefault="00B07D4E" w:rsidP="00B07D4E">
      <w:pPr>
        <w:jc w:val="both"/>
        <w:rPr>
          <w:b/>
          <w:sz w:val="20"/>
          <w:szCs w:val="20"/>
          <w:lang w:val="de-DE"/>
        </w:rPr>
      </w:pPr>
      <w:r>
        <w:rPr>
          <w:b/>
          <w:noProof/>
          <w:sz w:val="20"/>
          <w:szCs w:val="20"/>
          <w:lang w:eastAsia="en-IN"/>
        </w:rPr>
        <w:lastRenderedPageBreak/>
        <w:drawing>
          <wp:inline distT="0" distB="0" distL="0" distR="0" wp14:anchorId="278C998B" wp14:editId="57EB3912">
            <wp:extent cx="4335179" cy="3925527"/>
            <wp:effectExtent l="0" t="0" r="8255" b="0"/>
            <wp:docPr id="1968876594" name="Grafik 8" descr="Ein Bild, das Text, Diagramm,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76594" name="Grafik 8" descr="Ein Bild, das Text, Diagramm, Screenshot, Schrift enthält.&#10;&#10;KI-generierte Inhalte können fehlerhaft sein."/>
                    <pic:cNvPicPr/>
                  </pic:nvPicPr>
                  <pic:blipFill>
                    <a:blip r:embed="rId7"/>
                    <a:stretch>
                      <a:fillRect/>
                    </a:stretch>
                  </pic:blipFill>
                  <pic:spPr>
                    <a:xfrm>
                      <a:off x="0" y="0"/>
                      <a:ext cx="4335179" cy="3925527"/>
                    </a:xfrm>
                    <a:prstGeom prst="rect">
                      <a:avLst/>
                    </a:prstGeom>
                  </pic:spPr>
                </pic:pic>
              </a:graphicData>
            </a:graphic>
          </wp:inline>
        </w:drawing>
      </w:r>
    </w:p>
    <w:p w14:paraId="05353261" w14:textId="77777777" w:rsidR="00B07D4E" w:rsidRPr="00390D33" w:rsidRDefault="00B07D4E" w:rsidP="00B07D4E">
      <w:pPr>
        <w:jc w:val="both"/>
        <w:rPr>
          <w:b/>
          <w:sz w:val="20"/>
          <w:szCs w:val="20"/>
        </w:rPr>
      </w:pPr>
    </w:p>
    <w:p w14:paraId="64DA6CF8" w14:textId="6BED18FC" w:rsidR="00B07D4E" w:rsidRPr="00390D33" w:rsidRDefault="00B07D4E" w:rsidP="00B07D4E">
      <w:pPr>
        <w:jc w:val="both"/>
        <w:rPr>
          <w:sz w:val="20"/>
          <w:szCs w:val="20"/>
        </w:rPr>
      </w:pPr>
      <w:r w:rsidRPr="00610250">
        <w:rPr>
          <w:b/>
          <w:sz w:val="20"/>
          <w:szCs w:val="20"/>
        </w:rPr>
        <w:t xml:space="preserve">Supplemental Fig. 3 </w:t>
      </w:r>
      <w:r w:rsidRPr="00610250">
        <w:rPr>
          <w:bCs/>
          <w:sz w:val="20"/>
          <w:szCs w:val="20"/>
        </w:rPr>
        <w:t xml:space="preserve">(a) Bulk RNA-seq was performed of WT and </w:t>
      </w:r>
      <w:r w:rsidRPr="00610250">
        <w:rPr>
          <w:bCs/>
          <w:i/>
          <w:iCs/>
          <w:sz w:val="20"/>
          <w:szCs w:val="20"/>
        </w:rPr>
        <w:t>Nlrp3</w:t>
      </w:r>
      <w:r w:rsidRPr="00610250">
        <w:rPr>
          <w:bCs/>
          <w:i/>
          <w:iCs/>
          <w:sz w:val="20"/>
          <w:szCs w:val="20"/>
          <w:vertAlign w:val="superscript"/>
        </w:rPr>
        <w:t>-/-</w:t>
      </w:r>
      <w:r w:rsidRPr="00610250">
        <w:rPr>
          <w:bCs/>
          <w:sz w:val="20"/>
          <w:szCs w:val="20"/>
        </w:rPr>
        <w:t xml:space="preserve"> BMDMs, n=3, and </w:t>
      </w:r>
      <w:r w:rsidR="00610250" w:rsidRPr="00610250">
        <w:rPr>
          <w:bCs/>
          <w:sz w:val="20"/>
          <w:szCs w:val="20"/>
        </w:rPr>
        <w:t xml:space="preserve">the data </w:t>
      </w:r>
      <w:r w:rsidR="00487DCB">
        <w:rPr>
          <w:bCs/>
          <w:sz w:val="20"/>
          <w:szCs w:val="20"/>
        </w:rPr>
        <w:t>are</w:t>
      </w:r>
      <w:r w:rsidR="00610250" w:rsidRPr="00610250">
        <w:rPr>
          <w:bCs/>
          <w:sz w:val="20"/>
          <w:szCs w:val="20"/>
        </w:rPr>
        <w:t xml:space="preserve"> shown as a</w:t>
      </w:r>
      <w:r w:rsidRPr="00610250">
        <w:rPr>
          <w:bCs/>
          <w:sz w:val="20"/>
          <w:szCs w:val="20"/>
        </w:rPr>
        <w:t xml:space="preserve"> Volcano plot of differentially regulated genes. Wildtype is set as reference level.</w:t>
      </w:r>
    </w:p>
    <w:p w14:paraId="2A93515B" w14:textId="77777777" w:rsidR="00B07D4E" w:rsidRPr="00390D33" w:rsidRDefault="00B07D4E" w:rsidP="00B07D4E">
      <w:pPr>
        <w:keepNext/>
        <w:keepLines/>
        <w:spacing w:before="240" w:line="240" w:lineRule="auto"/>
        <w:jc w:val="both"/>
        <w:rPr>
          <w:b/>
        </w:rPr>
      </w:pPr>
      <w:r w:rsidRPr="00390D33">
        <w:rPr>
          <w:b/>
          <w:sz w:val="20"/>
          <w:szCs w:val="20"/>
        </w:rPr>
        <w:lastRenderedPageBreak/>
        <w:t xml:space="preserve">Supplemental Table 1 </w:t>
      </w:r>
      <w:r w:rsidRPr="00390D33">
        <w:rPr>
          <w:sz w:val="20"/>
          <w:szCs w:val="20"/>
        </w:rPr>
        <w:t>Antibodies used in flow cytometry</w:t>
      </w:r>
    </w:p>
    <w:p w14:paraId="70A4D763" w14:textId="77777777" w:rsidR="00B07D4E" w:rsidRPr="00390D33" w:rsidRDefault="00B07D4E" w:rsidP="00B07D4E">
      <w:pPr>
        <w:spacing w:before="240" w:after="240"/>
        <w:jc w:val="both"/>
      </w:pPr>
      <w:r w:rsidRPr="00390D33">
        <w:rPr>
          <w:noProof/>
          <w:lang w:eastAsia="en-IN"/>
        </w:rPr>
        <w:drawing>
          <wp:inline distT="114300" distB="114300" distL="114300" distR="114300" wp14:anchorId="75F93DA1" wp14:editId="75BE3E60">
            <wp:extent cx="5731200" cy="5130800"/>
            <wp:effectExtent l="0" t="0" r="0" b="0"/>
            <wp:docPr id="919090574" name="Picture 919090574"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919090574" name="Picture 919090574" descr="A screenshot of a computer&#10;&#10;Description automatically generated"/>
                    <pic:cNvPicPr preferRelativeResize="0"/>
                  </pic:nvPicPr>
                  <pic:blipFill>
                    <a:blip r:embed="rId8"/>
                    <a:srcRect/>
                    <a:stretch>
                      <a:fillRect/>
                    </a:stretch>
                  </pic:blipFill>
                  <pic:spPr>
                    <a:xfrm>
                      <a:off x="0" y="0"/>
                      <a:ext cx="5731200" cy="5130800"/>
                    </a:xfrm>
                    <a:prstGeom prst="rect">
                      <a:avLst/>
                    </a:prstGeom>
                    <a:ln/>
                  </pic:spPr>
                </pic:pic>
              </a:graphicData>
            </a:graphic>
          </wp:inline>
        </w:drawing>
      </w:r>
    </w:p>
    <w:p w14:paraId="7EE7EE2B" w14:textId="77777777" w:rsidR="00B07D4E" w:rsidRPr="00390D33" w:rsidRDefault="00B07D4E" w:rsidP="00B07D4E">
      <w:pPr>
        <w:rPr>
          <w:rFonts w:eastAsia="Times New Roman"/>
          <w:b/>
          <w:bCs/>
          <w:sz w:val="20"/>
          <w:szCs w:val="20"/>
          <w:lang w:eastAsia="de-DE"/>
        </w:rPr>
      </w:pPr>
      <w:r w:rsidRPr="00390D33">
        <w:rPr>
          <w:b/>
          <w:bCs/>
          <w:sz w:val="20"/>
          <w:szCs w:val="20"/>
        </w:rPr>
        <w:br w:type="page"/>
      </w:r>
    </w:p>
    <w:p w14:paraId="22A8D58B" w14:textId="77777777" w:rsidR="00B07D4E" w:rsidRPr="00390D33" w:rsidRDefault="00B07D4E" w:rsidP="00B07D4E">
      <w:pPr>
        <w:pStyle w:val="StandardWeb"/>
        <w:spacing w:before="240" w:beforeAutospacing="0" w:after="0" w:afterAutospacing="0"/>
        <w:jc w:val="both"/>
        <w:rPr>
          <w:lang w:val="en-US"/>
        </w:rPr>
      </w:pPr>
      <w:r w:rsidRPr="00390D33">
        <w:rPr>
          <w:rFonts w:ascii="Arial" w:hAnsi="Arial" w:cs="Arial"/>
          <w:b/>
          <w:bCs/>
          <w:sz w:val="20"/>
          <w:szCs w:val="20"/>
          <w:lang w:val="en-US"/>
        </w:rPr>
        <w:lastRenderedPageBreak/>
        <w:t xml:space="preserve">Supplemental Table 2 </w:t>
      </w:r>
      <w:r w:rsidRPr="00390D33">
        <w:rPr>
          <w:rFonts w:ascii="Arial" w:hAnsi="Arial" w:cs="Arial"/>
          <w:sz w:val="20"/>
          <w:szCs w:val="20"/>
          <w:lang w:val="en-US"/>
        </w:rPr>
        <w:t>Information of eCEA patients</w:t>
      </w:r>
    </w:p>
    <w:p w14:paraId="4214FAF4" w14:textId="77777777" w:rsidR="00B07D4E" w:rsidRPr="00B51D98" w:rsidRDefault="00B07D4E" w:rsidP="00B07D4E">
      <w:pPr>
        <w:jc w:val="both"/>
      </w:pPr>
      <w:r w:rsidRPr="00461ED0">
        <w:rPr>
          <w:noProof/>
          <w:lang w:eastAsia="en-IN"/>
        </w:rPr>
        <w:drawing>
          <wp:inline distT="0" distB="0" distL="0" distR="0" wp14:anchorId="1E6BD081" wp14:editId="292AA06F">
            <wp:extent cx="5937885" cy="1066800"/>
            <wp:effectExtent l="0" t="0" r="5715" b="0"/>
            <wp:docPr id="12579049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1066800"/>
                    </a:xfrm>
                    <a:prstGeom prst="rect">
                      <a:avLst/>
                    </a:prstGeom>
                    <a:noFill/>
                  </pic:spPr>
                </pic:pic>
              </a:graphicData>
            </a:graphic>
          </wp:inline>
        </w:drawing>
      </w:r>
    </w:p>
    <w:p w14:paraId="39EC4B17" w14:textId="77777777" w:rsidR="003756AE" w:rsidRDefault="003756AE"/>
    <w:sectPr w:rsidR="003756AE" w:rsidSect="00C83734">
      <w:footerReference w:type="even" r:id="rId10"/>
      <w:footerReference w:type="default" r:id="rId11"/>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593F" w14:textId="77777777" w:rsidR="000F2E8D" w:rsidRDefault="000F2E8D">
      <w:pPr>
        <w:spacing w:after="0" w:line="240" w:lineRule="auto"/>
      </w:pPr>
      <w:r>
        <w:separator/>
      </w:r>
    </w:p>
  </w:endnote>
  <w:endnote w:type="continuationSeparator" w:id="0">
    <w:p w14:paraId="6FABDAB9" w14:textId="77777777" w:rsidR="000F2E8D" w:rsidRDefault="000F2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78790409"/>
      <w:docPartObj>
        <w:docPartGallery w:val="Page Numbers (Bottom of Page)"/>
        <w:docPartUnique/>
      </w:docPartObj>
    </w:sdtPr>
    <w:sdtContent>
      <w:p w14:paraId="2B06CB7F" w14:textId="77777777" w:rsidR="003101BD" w:rsidRPr="00461ED0" w:rsidRDefault="00B07D4E" w:rsidP="0044392D">
        <w:pPr>
          <w:pStyle w:val="Fuzeile"/>
          <w:framePr w:wrap="none" w:vAnchor="text" w:hAnchor="margin" w:xAlign="right" w:y="1"/>
          <w:rPr>
            <w:rStyle w:val="Seitenzahl"/>
          </w:rPr>
        </w:pPr>
        <w:r w:rsidRPr="00461ED0">
          <w:rPr>
            <w:rStyle w:val="Seitenzahl"/>
          </w:rPr>
          <w:fldChar w:fldCharType="begin"/>
        </w:r>
        <w:r w:rsidRPr="00461ED0">
          <w:rPr>
            <w:rStyle w:val="Seitenzahl"/>
          </w:rPr>
          <w:instrText xml:space="preserve"> PAGE </w:instrText>
        </w:r>
        <w:r w:rsidRPr="00461ED0">
          <w:rPr>
            <w:rStyle w:val="Seitenzahl"/>
          </w:rPr>
          <w:fldChar w:fldCharType="end"/>
        </w:r>
      </w:p>
    </w:sdtContent>
  </w:sdt>
  <w:p w14:paraId="3EB99A15" w14:textId="77777777" w:rsidR="003101BD" w:rsidRPr="00461ED0" w:rsidRDefault="003101BD" w:rsidP="00575AC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9250872"/>
      <w:docPartObj>
        <w:docPartGallery w:val="Page Numbers (Bottom of Page)"/>
        <w:docPartUnique/>
      </w:docPartObj>
    </w:sdtPr>
    <w:sdtContent>
      <w:p w14:paraId="7CA47538" w14:textId="77777777" w:rsidR="003101BD" w:rsidRPr="00461ED0" w:rsidRDefault="00B07D4E" w:rsidP="0044392D">
        <w:pPr>
          <w:pStyle w:val="Fuzeile"/>
          <w:framePr w:wrap="none" w:vAnchor="text" w:hAnchor="margin" w:xAlign="right" w:y="1"/>
          <w:rPr>
            <w:rStyle w:val="Seitenzahl"/>
          </w:rPr>
        </w:pPr>
        <w:r w:rsidRPr="00461ED0">
          <w:rPr>
            <w:rStyle w:val="Seitenzahl"/>
          </w:rPr>
          <w:fldChar w:fldCharType="begin"/>
        </w:r>
        <w:r w:rsidRPr="00461ED0">
          <w:rPr>
            <w:rStyle w:val="Seitenzahl"/>
          </w:rPr>
          <w:instrText xml:space="preserve"> PAGE </w:instrText>
        </w:r>
        <w:r w:rsidRPr="00461ED0">
          <w:rPr>
            <w:rStyle w:val="Seitenzahl"/>
          </w:rPr>
          <w:fldChar w:fldCharType="separate"/>
        </w:r>
        <w:r>
          <w:rPr>
            <w:rStyle w:val="Seitenzahl"/>
            <w:noProof/>
          </w:rPr>
          <w:t>4</w:t>
        </w:r>
        <w:r w:rsidRPr="00461ED0">
          <w:rPr>
            <w:rStyle w:val="Seitenzahl"/>
          </w:rPr>
          <w:fldChar w:fldCharType="end"/>
        </w:r>
      </w:p>
    </w:sdtContent>
  </w:sdt>
  <w:p w14:paraId="4C31DDE7" w14:textId="77777777" w:rsidR="003101BD" w:rsidRPr="00461ED0" w:rsidRDefault="003101BD" w:rsidP="004223DE">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3FBB6" w14:textId="77777777" w:rsidR="000F2E8D" w:rsidRDefault="000F2E8D">
      <w:pPr>
        <w:spacing w:after="0" w:line="240" w:lineRule="auto"/>
      </w:pPr>
      <w:r>
        <w:separator/>
      </w:r>
    </w:p>
  </w:footnote>
  <w:footnote w:type="continuationSeparator" w:id="0">
    <w:p w14:paraId="2B09AAC7" w14:textId="77777777" w:rsidR="000F2E8D" w:rsidRDefault="000F2E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D4E"/>
    <w:rsid w:val="00020421"/>
    <w:rsid w:val="00080900"/>
    <w:rsid w:val="000926BE"/>
    <w:rsid w:val="0009296A"/>
    <w:rsid w:val="00097459"/>
    <w:rsid w:val="000B5ACA"/>
    <w:rsid w:val="000C77BC"/>
    <w:rsid w:val="000C79E1"/>
    <w:rsid w:val="000F2E8D"/>
    <w:rsid w:val="0010551B"/>
    <w:rsid w:val="001070E1"/>
    <w:rsid w:val="00114311"/>
    <w:rsid w:val="001254A3"/>
    <w:rsid w:val="00147394"/>
    <w:rsid w:val="00150D34"/>
    <w:rsid w:val="001529BC"/>
    <w:rsid w:val="001568D4"/>
    <w:rsid w:val="001671C8"/>
    <w:rsid w:val="00177488"/>
    <w:rsid w:val="00190FF5"/>
    <w:rsid w:val="001C39D5"/>
    <w:rsid w:val="001C7650"/>
    <w:rsid w:val="0020507A"/>
    <w:rsid w:val="002105C8"/>
    <w:rsid w:val="002256DB"/>
    <w:rsid w:val="00241E31"/>
    <w:rsid w:val="0028135B"/>
    <w:rsid w:val="00291D33"/>
    <w:rsid w:val="002A03E3"/>
    <w:rsid w:val="002E1FFD"/>
    <w:rsid w:val="0030176E"/>
    <w:rsid w:val="003101BD"/>
    <w:rsid w:val="0033379A"/>
    <w:rsid w:val="00347CE4"/>
    <w:rsid w:val="003756AE"/>
    <w:rsid w:val="003B158D"/>
    <w:rsid w:val="003E4F3F"/>
    <w:rsid w:val="004352B9"/>
    <w:rsid w:val="0044517E"/>
    <w:rsid w:val="00454A70"/>
    <w:rsid w:val="00454C71"/>
    <w:rsid w:val="00455C17"/>
    <w:rsid w:val="004571BD"/>
    <w:rsid w:val="004768F3"/>
    <w:rsid w:val="004778AA"/>
    <w:rsid w:val="00487DCB"/>
    <w:rsid w:val="00493CCD"/>
    <w:rsid w:val="004A0106"/>
    <w:rsid w:val="004B05A6"/>
    <w:rsid w:val="004E5EFB"/>
    <w:rsid w:val="00525966"/>
    <w:rsid w:val="00531355"/>
    <w:rsid w:val="0053462D"/>
    <w:rsid w:val="005712F1"/>
    <w:rsid w:val="005876A9"/>
    <w:rsid w:val="00591280"/>
    <w:rsid w:val="00597AEE"/>
    <w:rsid w:val="005A35FD"/>
    <w:rsid w:val="005B02A5"/>
    <w:rsid w:val="005C0CBD"/>
    <w:rsid w:val="005F3A74"/>
    <w:rsid w:val="0060707E"/>
    <w:rsid w:val="00610250"/>
    <w:rsid w:val="006143D0"/>
    <w:rsid w:val="00617E61"/>
    <w:rsid w:val="006812BB"/>
    <w:rsid w:val="00684816"/>
    <w:rsid w:val="0069150F"/>
    <w:rsid w:val="006C1D25"/>
    <w:rsid w:val="006C33D1"/>
    <w:rsid w:val="00706319"/>
    <w:rsid w:val="00710F98"/>
    <w:rsid w:val="007418A2"/>
    <w:rsid w:val="0075502E"/>
    <w:rsid w:val="007609D6"/>
    <w:rsid w:val="0076253F"/>
    <w:rsid w:val="007A108B"/>
    <w:rsid w:val="007B09AE"/>
    <w:rsid w:val="007D6B54"/>
    <w:rsid w:val="007E0632"/>
    <w:rsid w:val="007E7F2F"/>
    <w:rsid w:val="007F7A39"/>
    <w:rsid w:val="00810C01"/>
    <w:rsid w:val="00820520"/>
    <w:rsid w:val="008917D4"/>
    <w:rsid w:val="008C6CE9"/>
    <w:rsid w:val="009025DB"/>
    <w:rsid w:val="009279EA"/>
    <w:rsid w:val="00937EFB"/>
    <w:rsid w:val="00964110"/>
    <w:rsid w:val="00970BE9"/>
    <w:rsid w:val="0098553E"/>
    <w:rsid w:val="009915F1"/>
    <w:rsid w:val="009B2981"/>
    <w:rsid w:val="009D7867"/>
    <w:rsid w:val="00A409F4"/>
    <w:rsid w:val="00A67422"/>
    <w:rsid w:val="00A73B57"/>
    <w:rsid w:val="00A810D4"/>
    <w:rsid w:val="00AA7EF5"/>
    <w:rsid w:val="00AC08D0"/>
    <w:rsid w:val="00AD1CB0"/>
    <w:rsid w:val="00AE17B8"/>
    <w:rsid w:val="00AF3145"/>
    <w:rsid w:val="00B07D4E"/>
    <w:rsid w:val="00B2625F"/>
    <w:rsid w:val="00B30BBA"/>
    <w:rsid w:val="00B7282D"/>
    <w:rsid w:val="00B95970"/>
    <w:rsid w:val="00BC0475"/>
    <w:rsid w:val="00BF43CD"/>
    <w:rsid w:val="00C363E2"/>
    <w:rsid w:val="00C63965"/>
    <w:rsid w:val="00C7101B"/>
    <w:rsid w:val="00CA7834"/>
    <w:rsid w:val="00CA7DE3"/>
    <w:rsid w:val="00CB0633"/>
    <w:rsid w:val="00CB0666"/>
    <w:rsid w:val="00CB7106"/>
    <w:rsid w:val="00CC0D60"/>
    <w:rsid w:val="00CC56E9"/>
    <w:rsid w:val="00CC6508"/>
    <w:rsid w:val="00CD78E9"/>
    <w:rsid w:val="00CF1BA5"/>
    <w:rsid w:val="00D007D6"/>
    <w:rsid w:val="00D07D1E"/>
    <w:rsid w:val="00D12E00"/>
    <w:rsid w:val="00D725D7"/>
    <w:rsid w:val="00D8735A"/>
    <w:rsid w:val="00DA36F1"/>
    <w:rsid w:val="00DD4A26"/>
    <w:rsid w:val="00DE69C7"/>
    <w:rsid w:val="00E1245E"/>
    <w:rsid w:val="00E15927"/>
    <w:rsid w:val="00E159E9"/>
    <w:rsid w:val="00E25BE0"/>
    <w:rsid w:val="00E7609E"/>
    <w:rsid w:val="00E847AA"/>
    <w:rsid w:val="00E90B33"/>
    <w:rsid w:val="00E9332D"/>
    <w:rsid w:val="00EF6362"/>
    <w:rsid w:val="00EF7056"/>
    <w:rsid w:val="00F103F4"/>
    <w:rsid w:val="00F3227B"/>
    <w:rsid w:val="00FA4B07"/>
    <w:rsid w:val="00FB41C2"/>
    <w:rsid w:val="00FB4C51"/>
    <w:rsid w:val="00FC1101"/>
    <w:rsid w:val="00FD17AD"/>
    <w:rsid w:val="00FD3CC5"/>
    <w:rsid w:val="00FE01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28A8F"/>
  <w15:chartTrackingRefBased/>
  <w15:docId w15:val="{9BB92D05-7A57-4D83-A639-5148543E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07D4E"/>
    <w:pPr>
      <w:tabs>
        <w:tab w:val="center" w:pos="4513"/>
        <w:tab w:val="right" w:pos="9026"/>
      </w:tabs>
      <w:spacing w:after="0" w:line="240" w:lineRule="auto"/>
    </w:pPr>
    <w:rPr>
      <w:rFonts w:ascii="Arial" w:eastAsia="Arial" w:hAnsi="Arial" w:cs="Arial"/>
      <w:lang w:val="en-US" w:eastAsia="en-GB"/>
    </w:rPr>
  </w:style>
  <w:style w:type="character" w:customStyle="1" w:styleId="FuzeileZchn">
    <w:name w:val="Fußzeile Zchn"/>
    <w:basedOn w:val="Absatz-Standardschriftart"/>
    <w:link w:val="Fuzeile"/>
    <w:uiPriority w:val="99"/>
    <w:rsid w:val="00B07D4E"/>
    <w:rPr>
      <w:rFonts w:ascii="Arial" w:eastAsia="Arial" w:hAnsi="Arial" w:cs="Arial"/>
      <w:lang w:val="en-US" w:eastAsia="en-GB"/>
    </w:rPr>
  </w:style>
  <w:style w:type="character" w:styleId="Seitenzahl">
    <w:name w:val="page number"/>
    <w:basedOn w:val="Absatz-Standardschriftart"/>
    <w:uiPriority w:val="99"/>
    <w:semiHidden/>
    <w:unhideWhenUsed/>
    <w:rsid w:val="00B07D4E"/>
  </w:style>
  <w:style w:type="paragraph" w:styleId="StandardWeb">
    <w:name w:val="Normal (Web)"/>
    <w:basedOn w:val="Standard"/>
    <w:uiPriority w:val="99"/>
    <w:semiHidden/>
    <w:unhideWhenUsed/>
    <w:rsid w:val="00B07D4E"/>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289</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Kavitha B</dc:creator>
  <cp:keywords/>
  <dc:description/>
  <cp:lastModifiedBy>Felix Remmersmann</cp:lastModifiedBy>
  <cp:revision>3</cp:revision>
  <dcterms:created xsi:type="dcterms:W3CDTF">2025-09-11T04:13:00Z</dcterms:created>
  <dcterms:modified xsi:type="dcterms:W3CDTF">2025-09-14T12:31:00Z</dcterms:modified>
</cp:coreProperties>
</file>