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A7D46" w14:textId="0B31706F" w:rsidR="00FD2AD2" w:rsidRPr="00A1055D" w:rsidRDefault="00F6642E">
      <w:pPr>
        <w:rPr>
          <w:rFonts w:ascii="Arial" w:hAnsi="Arial" w:cs="Arial"/>
          <w:color w:val="000000" w:themeColor="text1"/>
        </w:rPr>
      </w:pPr>
      <w:bookmarkStart w:id="0" w:name="_GoBack"/>
      <w:r w:rsidRPr="00A1055D">
        <w:rPr>
          <w:rFonts w:ascii="Arial" w:hAnsi="Arial" w:cs="Arial"/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02B30F18" wp14:editId="0B0FD171">
            <wp:extent cx="5883965" cy="7206204"/>
            <wp:effectExtent l="0" t="0" r="2540" b="0"/>
            <wp:docPr id="1180285630" name="Picture 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5630" name="Picture 1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2"/>
                    <a:stretch/>
                  </pic:blipFill>
                  <pic:spPr bwMode="auto">
                    <a:xfrm>
                      <a:off x="0" y="0"/>
                      <a:ext cx="5904570" cy="72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A887C" w14:textId="39F2F58F" w:rsidR="00D157BE" w:rsidRPr="00A1055D" w:rsidRDefault="00F6642E" w:rsidP="009E2192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Fig S1. Quality control metrics and </w:t>
      </w:r>
      <w:r w:rsidR="009E2192" w:rsidRPr="00A1055D">
        <w:rPr>
          <w:rFonts w:ascii="Arial" w:hAnsi="Arial" w:cs="Arial"/>
          <w:b/>
          <w:bCs/>
          <w:color w:val="000000" w:themeColor="text1"/>
        </w:rPr>
        <w:t>coronary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 endothelial cell distribution. a. </w:t>
      </w:r>
      <w:r w:rsidRPr="00A1055D">
        <w:rPr>
          <w:rFonts w:ascii="Arial" w:hAnsi="Arial" w:cs="Arial"/>
          <w:color w:val="000000" w:themeColor="text1"/>
        </w:rPr>
        <w:t xml:space="preserve">Percentage of mitochondrial reads by original identity after filtering.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b. </w:t>
      </w:r>
      <w:r w:rsidRPr="00A1055D">
        <w:rPr>
          <w:rFonts w:ascii="Arial" w:hAnsi="Arial" w:cs="Arial"/>
          <w:color w:val="000000" w:themeColor="text1"/>
        </w:rPr>
        <w:t xml:space="preserve">Feature numbers by original identity after filtering.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c. </w:t>
      </w:r>
      <w:r w:rsidRPr="00A1055D">
        <w:rPr>
          <w:rFonts w:ascii="Arial" w:hAnsi="Arial" w:cs="Arial"/>
          <w:color w:val="000000" w:themeColor="text1"/>
        </w:rPr>
        <w:t xml:space="preserve">Uniform manifold and projection plots of Cdh5 and Prox1 counts, circle around population identified as </w:t>
      </w:r>
      <w:r w:rsidR="009E2192" w:rsidRPr="00A1055D">
        <w:rPr>
          <w:rFonts w:ascii="Arial" w:hAnsi="Arial" w:cs="Arial"/>
          <w:color w:val="000000" w:themeColor="text1"/>
        </w:rPr>
        <w:t>coronary</w:t>
      </w:r>
      <w:r w:rsidRPr="00A1055D">
        <w:rPr>
          <w:rFonts w:ascii="Arial" w:hAnsi="Arial" w:cs="Arial"/>
          <w:color w:val="000000" w:themeColor="text1"/>
        </w:rPr>
        <w:t xml:space="preserve"> endothelial cells. </w:t>
      </w:r>
      <w:r w:rsidRPr="00A1055D">
        <w:rPr>
          <w:rFonts w:ascii="Arial" w:hAnsi="Arial" w:cs="Arial"/>
          <w:b/>
          <w:bCs/>
          <w:color w:val="000000" w:themeColor="text1"/>
        </w:rPr>
        <w:t>d.</w:t>
      </w:r>
      <w:r w:rsidRPr="00A1055D">
        <w:rPr>
          <w:rFonts w:ascii="Arial" w:hAnsi="Arial" w:cs="Arial"/>
          <w:color w:val="000000" w:themeColor="text1"/>
        </w:rPr>
        <w:t xml:space="preserve"> </w:t>
      </w:r>
      <w:r w:rsidR="009E2192" w:rsidRPr="00A1055D">
        <w:rPr>
          <w:rFonts w:ascii="Arial" w:hAnsi="Arial" w:cs="Arial"/>
          <w:color w:val="000000" w:themeColor="text1"/>
        </w:rPr>
        <w:t>Coronary</w:t>
      </w:r>
      <w:r w:rsidRPr="00A1055D">
        <w:rPr>
          <w:rFonts w:ascii="Arial" w:hAnsi="Arial" w:cs="Arial"/>
          <w:color w:val="000000" w:themeColor="text1"/>
        </w:rPr>
        <w:t xml:space="preserve"> endothelial subpopulation cell numbers by day.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e. </w:t>
      </w:r>
      <w:r w:rsidR="009E2192" w:rsidRPr="00A1055D">
        <w:rPr>
          <w:rFonts w:ascii="Arial" w:hAnsi="Arial" w:cs="Arial"/>
          <w:color w:val="000000" w:themeColor="text1"/>
        </w:rPr>
        <w:t>Coronary</w:t>
      </w:r>
      <w:r w:rsidRPr="00A1055D">
        <w:rPr>
          <w:rFonts w:ascii="Arial" w:hAnsi="Arial" w:cs="Arial"/>
          <w:color w:val="000000" w:themeColor="text1"/>
        </w:rPr>
        <w:t xml:space="preserve"> endothelial subpopulation cell numbers by original identity.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f. </w:t>
      </w:r>
      <w:r w:rsidR="009E2192" w:rsidRPr="00A1055D">
        <w:rPr>
          <w:rFonts w:ascii="Arial" w:hAnsi="Arial" w:cs="Arial"/>
          <w:color w:val="000000" w:themeColor="text1"/>
        </w:rPr>
        <w:t>Coronary</w:t>
      </w:r>
      <w:r w:rsidRPr="00A1055D">
        <w:rPr>
          <w:rFonts w:ascii="Arial" w:hAnsi="Arial" w:cs="Arial"/>
          <w:color w:val="000000" w:themeColor="text1"/>
        </w:rPr>
        <w:t xml:space="preserve"> endothelial original identity cell numbers by day.</w:t>
      </w:r>
      <w:r w:rsidR="00D157BE" w:rsidRPr="00A1055D">
        <w:rPr>
          <w:rFonts w:ascii="Arial" w:hAnsi="Arial" w:cs="Arial"/>
          <w:color w:val="000000" w:themeColor="text1"/>
        </w:rPr>
        <w:br w:type="page"/>
      </w:r>
    </w:p>
    <w:p w14:paraId="665DF4AA" w14:textId="06ED2895" w:rsidR="00F6642E" w:rsidRPr="00A1055D" w:rsidRDefault="00F6642E" w:rsidP="00F6642E">
      <w:pPr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noProof/>
          <w:color w:val="000000" w:themeColor="text1"/>
          <w:lang w:val="en-IN" w:eastAsia="en-IN"/>
        </w:rPr>
        <w:drawing>
          <wp:inline distT="0" distB="0" distL="0" distR="0" wp14:anchorId="48553469" wp14:editId="400080D1">
            <wp:extent cx="5819775" cy="4038600"/>
            <wp:effectExtent l="0" t="0" r="9525" b="0"/>
            <wp:docPr id="966597286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597286" name="Picture 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69"/>
                    <a:stretch/>
                  </pic:blipFill>
                  <pic:spPr bwMode="auto">
                    <a:xfrm>
                      <a:off x="0" y="0"/>
                      <a:ext cx="58197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4E45C" w14:textId="12633E59" w:rsidR="00F6642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Fig S2. Differentially expressed genes and gene ontology terms at early and late timepoints. a. </w:t>
      </w:r>
      <w:r w:rsidRPr="00A1055D">
        <w:rPr>
          <w:rFonts w:ascii="Arial" w:hAnsi="Arial" w:cs="Arial"/>
          <w:color w:val="000000" w:themeColor="text1"/>
        </w:rPr>
        <w:t xml:space="preserve">Upregulated differentially expressed genes (DEGs, orange), and downregulated DEGs (teal) unique to early (days 3 and/or 7) or late (days 14 and/or 28) timepoints, adjusted p-value &lt; 0.05.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b. </w:t>
      </w:r>
      <w:r w:rsidRPr="00A1055D">
        <w:rPr>
          <w:rFonts w:ascii="Arial" w:hAnsi="Arial" w:cs="Arial"/>
          <w:color w:val="000000" w:themeColor="text1"/>
        </w:rPr>
        <w:t>Distribution of upregulated and downregulated gene ontology (GO) terms from gene lists unique to early or late timepoints.</w:t>
      </w:r>
    </w:p>
    <w:p w14:paraId="221E3BD4" w14:textId="77777777" w:rsidR="00F6642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</w:p>
    <w:p w14:paraId="490CB0F3" w14:textId="77777777" w:rsidR="00D157BE" w:rsidRPr="00A1055D" w:rsidRDefault="00D157BE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3722DEC3" w14:textId="57C8AFCA" w:rsidR="00F6642E" w:rsidRPr="00A1055D" w:rsidRDefault="00F6642E" w:rsidP="00F6642E">
      <w:pPr>
        <w:jc w:val="both"/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noProof/>
          <w:color w:val="000000" w:themeColor="text1"/>
          <w:lang w:val="en-IN" w:eastAsia="en-IN"/>
        </w:rPr>
        <w:drawing>
          <wp:inline distT="0" distB="0" distL="0" distR="0" wp14:anchorId="607ED29C" wp14:editId="3EE706E6">
            <wp:extent cx="5168094" cy="6726803"/>
            <wp:effectExtent l="0" t="0" r="0" b="0"/>
            <wp:docPr id="87457922" name="Picture 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7922" name="Picture 3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2" t="3103" r="9818" b="9365"/>
                    <a:stretch/>
                  </pic:blipFill>
                  <pic:spPr bwMode="auto">
                    <a:xfrm>
                      <a:off x="0" y="0"/>
                      <a:ext cx="5169172" cy="672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0EBD2" w14:textId="5B228457" w:rsidR="00F6642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>Fig S3.</w:t>
      </w:r>
      <w:r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b/>
          <w:bCs/>
          <w:color w:val="000000" w:themeColor="text1"/>
        </w:rPr>
        <w:t>Trajectory analysis with Monocle.</w:t>
      </w:r>
      <w:r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b/>
          <w:bCs/>
          <w:color w:val="000000" w:themeColor="text1"/>
        </w:rPr>
        <w:t>a.</w:t>
      </w:r>
      <w:r w:rsidRPr="00A1055D">
        <w:rPr>
          <w:rFonts w:ascii="Arial" w:hAnsi="Arial" w:cs="Arial"/>
          <w:color w:val="000000" w:themeColor="text1"/>
        </w:rPr>
        <w:t xml:space="preserve"> Maturation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values within each subpopulation by day after left anterior descending artery (LAD) ligation (bar = mean, whiskers = 95% confidence intervals, statistics = one-way ANOVA with Dunnett’s post-hoc test). </w:t>
      </w:r>
      <w:r w:rsidRPr="00A1055D">
        <w:rPr>
          <w:rFonts w:ascii="Arial" w:hAnsi="Arial" w:cs="Arial"/>
          <w:b/>
          <w:bCs/>
          <w:color w:val="000000" w:themeColor="text1"/>
        </w:rPr>
        <w:t>b.</w:t>
      </w:r>
      <w:r w:rsidRPr="00A1055D">
        <w:rPr>
          <w:rFonts w:ascii="Arial" w:hAnsi="Arial" w:cs="Arial"/>
          <w:color w:val="000000" w:themeColor="text1"/>
        </w:rPr>
        <w:t xml:space="preserve"> Arterial-venous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values within each subpopulation day after LAD ligation (bar = mean, whiskers = 95% confidence intervals, statistics = one-way ANOVA with Dunnett’s post-hoc test). </w:t>
      </w:r>
      <w:r w:rsidRPr="00A1055D">
        <w:rPr>
          <w:rFonts w:ascii="Arial" w:hAnsi="Arial" w:cs="Arial"/>
          <w:b/>
          <w:bCs/>
          <w:color w:val="000000" w:themeColor="text1"/>
        </w:rPr>
        <w:t>c.</w:t>
      </w:r>
      <w:r w:rsidRPr="00A1055D">
        <w:rPr>
          <w:rFonts w:ascii="Arial" w:hAnsi="Arial" w:cs="Arial"/>
          <w:color w:val="000000" w:themeColor="text1"/>
        </w:rPr>
        <w:t xml:space="preserve"> Dot plot of maturation and arterial-venous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expression correlations with top genes associated with each fate highlighted.</w:t>
      </w:r>
    </w:p>
    <w:p w14:paraId="78CF75DD" w14:textId="77777777" w:rsidR="00F6642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</w:p>
    <w:p w14:paraId="3E1C1E71" w14:textId="77777777" w:rsidR="00D157BE" w:rsidRPr="00A1055D" w:rsidRDefault="00D157BE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1FC3F0C0" w14:textId="14027A57" w:rsidR="00F6642E" w:rsidRPr="00A1055D" w:rsidRDefault="00F6642E" w:rsidP="00F6642E">
      <w:pPr>
        <w:jc w:val="both"/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noProof/>
          <w:color w:val="000000" w:themeColor="text1"/>
          <w:lang w:val="en-IN" w:eastAsia="en-IN"/>
        </w:rPr>
        <w:drawing>
          <wp:inline distT="0" distB="0" distL="0" distR="0" wp14:anchorId="7742CF18" wp14:editId="34DA89D9">
            <wp:extent cx="5934075" cy="7324725"/>
            <wp:effectExtent l="0" t="0" r="9525" b="9525"/>
            <wp:docPr id="61472506" name="Picture 4" descr="A chart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2506" name="Picture 4" descr="A chart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9"/>
                    <a:stretch/>
                  </pic:blipFill>
                  <pic:spPr bwMode="auto">
                    <a:xfrm>
                      <a:off x="0" y="0"/>
                      <a:ext cx="59340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F6D99" w14:textId="3740F4DC" w:rsidR="00F6642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Fig S4. Interstitial cell communication analysis with </w:t>
      </w:r>
      <w:proofErr w:type="spellStart"/>
      <w:r w:rsidRPr="00A1055D">
        <w:rPr>
          <w:rFonts w:ascii="Arial" w:hAnsi="Arial" w:cs="Arial"/>
          <w:b/>
          <w:bCs/>
          <w:color w:val="000000" w:themeColor="text1"/>
        </w:rPr>
        <w:t>CellChat</w:t>
      </w:r>
      <w:proofErr w:type="spellEnd"/>
      <w:r w:rsidRPr="00A1055D">
        <w:rPr>
          <w:rFonts w:ascii="Arial" w:hAnsi="Arial" w:cs="Arial"/>
          <w:b/>
          <w:bCs/>
          <w:color w:val="000000" w:themeColor="text1"/>
        </w:rPr>
        <w:t>.</w:t>
      </w:r>
      <w:r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b/>
          <w:bCs/>
          <w:color w:val="000000" w:themeColor="text1"/>
        </w:rPr>
        <w:t>a.</w:t>
      </w:r>
      <w:r w:rsidRPr="00A1055D">
        <w:rPr>
          <w:rFonts w:ascii="Arial" w:hAnsi="Arial" w:cs="Arial"/>
          <w:color w:val="000000" w:themeColor="text1"/>
        </w:rPr>
        <w:t xml:space="preserve"> Uniform manifold and projection plots of marker gene counts used to annotate cardiac interstitial populations. </w:t>
      </w:r>
      <w:r w:rsidRPr="00A1055D">
        <w:rPr>
          <w:rFonts w:ascii="Arial" w:hAnsi="Arial" w:cs="Arial"/>
          <w:b/>
          <w:bCs/>
          <w:color w:val="000000" w:themeColor="text1"/>
        </w:rPr>
        <w:t>b.</w:t>
      </w:r>
      <w:r w:rsidRPr="00A1055D">
        <w:rPr>
          <w:rFonts w:ascii="Arial" w:hAnsi="Arial" w:cs="Arial"/>
          <w:color w:val="000000" w:themeColor="text1"/>
        </w:rPr>
        <w:t xml:space="preserve"> Number of inferred interactions and interaction strength at homeostasis (day 0), early (days 3 and/or 7) or late (days 14 and/or 28).</w:t>
      </w:r>
    </w:p>
    <w:p w14:paraId="284F1EA7" w14:textId="5E98F30A" w:rsidR="00D157BE" w:rsidRPr="00A1055D" w:rsidRDefault="00D157BE">
      <w:pPr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color w:val="000000" w:themeColor="text1"/>
        </w:rPr>
        <w:br w:type="page"/>
      </w:r>
    </w:p>
    <w:p w14:paraId="07C08267" w14:textId="626771C5" w:rsidR="00F6642E" w:rsidRPr="00A1055D" w:rsidRDefault="004F3117" w:rsidP="00F6642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noProof/>
          <w:color w:val="000000" w:themeColor="text1"/>
          <w:lang w:val="en-IN" w:eastAsia="en-IN"/>
        </w:rPr>
        <w:drawing>
          <wp:inline distT="0" distB="0" distL="0" distR="0" wp14:anchorId="3584788B" wp14:editId="0FF70822">
            <wp:extent cx="5943600" cy="7367270"/>
            <wp:effectExtent l="0" t="0" r="0" b="5080"/>
            <wp:docPr id="713632666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32666" name="Picture 1" descr="A screenshot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B041" w14:textId="04BC1D15" w:rsidR="00D157BE" w:rsidRPr="00A1055D" w:rsidRDefault="00F6642E" w:rsidP="00F6642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Fig S5. Human cardiomyopathy quality control metrics and cell type distribution. a. </w:t>
      </w:r>
      <w:r w:rsidRPr="00A1055D">
        <w:rPr>
          <w:rFonts w:ascii="Arial" w:hAnsi="Arial" w:cs="Arial"/>
          <w:color w:val="000000" w:themeColor="text1"/>
        </w:rPr>
        <w:t xml:space="preserve">Uniform manifold and projection plots of marker gene counts used to annotate cardiac populations. </w:t>
      </w:r>
      <w:r w:rsidRPr="00A1055D">
        <w:rPr>
          <w:rFonts w:ascii="Arial" w:hAnsi="Arial" w:cs="Arial"/>
          <w:b/>
          <w:bCs/>
          <w:color w:val="000000" w:themeColor="text1"/>
        </w:rPr>
        <w:t xml:space="preserve">b. </w:t>
      </w:r>
      <w:r w:rsidRPr="00A1055D">
        <w:rPr>
          <w:rFonts w:ascii="Arial" w:hAnsi="Arial" w:cs="Arial"/>
          <w:color w:val="000000" w:themeColor="text1"/>
        </w:rPr>
        <w:t>Cell numbers by condition (DCM: dilated cardiomyopathy, HCM: hypertrophic cardiomyopathy, ICM: ischemic cardiomyopathy).</w:t>
      </w:r>
    </w:p>
    <w:p w14:paraId="6B7F922D" w14:textId="77777777" w:rsidR="00D157BE" w:rsidRPr="00A1055D" w:rsidRDefault="00D157BE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32E9E05B" w14:textId="7636A8C4" w:rsidR="00D157BE" w:rsidRPr="00A1055D" w:rsidRDefault="00D157BE" w:rsidP="00D157B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Table </w:t>
      </w:r>
      <w:r w:rsidR="00B32AC3" w:rsidRPr="00A1055D">
        <w:rPr>
          <w:rFonts w:ascii="Arial" w:hAnsi="Arial" w:cs="Arial"/>
          <w:b/>
          <w:bCs/>
          <w:color w:val="000000" w:themeColor="text1"/>
        </w:rPr>
        <w:t>1</w:t>
      </w:r>
      <w:r w:rsidRPr="00A1055D">
        <w:rPr>
          <w:rFonts w:ascii="Arial" w:hAnsi="Arial" w:cs="Arial"/>
          <w:b/>
          <w:bCs/>
          <w:color w:val="000000" w:themeColor="text1"/>
        </w:rPr>
        <w:t>. Primers for qPCR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2"/>
        <w:gridCol w:w="3997"/>
        <w:gridCol w:w="4071"/>
      </w:tblGrid>
      <w:tr w:rsidR="00A1055D" w:rsidRPr="00A1055D" w14:paraId="71D204F0" w14:textId="77777777" w:rsidTr="00726B8C">
        <w:tc>
          <w:tcPr>
            <w:tcW w:w="3116" w:type="dxa"/>
          </w:tcPr>
          <w:p w14:paraId="5150C884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3117" w:type="dxa"/>
          </w:tcPr>
          <w:p w14:paraId="23295868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Forward (5’-3’)</w:t>
            </w:r>
          </w:p>
        </w:tc>
        <w:tc>
          <w:tcPr>
            <w:tcW w:w="3117" w:type="dxa"/>
          </w:tcPr>
          <w:p w14:paraId="04314934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Reverse (5’-3’)</w:t>
            </w:r>
          </w:p>
        </w:tc>
      </w:tr>
      <w:tr w:rsidR="00A1055D" w:rsidRPr="00A1055D" w14:paraId="705BF514" w14:textId="77777777" w:rsidTr="00726B8C">
        <w:tc>
          <w:tcPr>
            <w:tcW w:w="3116" w:type="dxa"/>
          </w:tcPr>
          <w:p w14:paraId="21145C1B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ACTB</w:t>
            </w:r>
          </w:p>
        </w:tc>
        <w:tc>
          <w:tcPr>
            <w:tcW w:w="3117" w:type="dxa"/>
          </w:tcPr>
          <w:p w14:paraId="251E4776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TCACCCACACTGTGCCCATCTACGA</w:t>
            </w:r>
          </w:p>
        </w:tc>
        <w:tc>
          <w:tcPr>
            <w:tcW w:w="3117" w:type="dxa"/>
          </w:tcPr>
          <w:p w14:paraId="15A83091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CAGCGGAACCGCTCATTGCCAATGG</w:t>
            </w:r>
          </w:p>
        </w:tc>
      </w:tr>
      <w:tr w:rsidR="00A1055D" w:rsidRPr="00A1055D" w14:paraId="3E57CC73" w14:textId="77777777" w:rsidTr="00726B8C">
        <w:tc>
          <w:tcPr>
            <w:tcW w:w="3116" w:type="dxa"/>
          </w:tcPr>
          <w:p w14:paraId="12D5E845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EFNB2</w:t>
            </w:r>
          </w:p>
        </w:tc>
        <w:tc>
          <w:tcPr>
            <w:tcW w:w="3117" w:type="dxa"/>
          </w:tcPr>
          <w:p w14:paraId="333C570A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TATGCAGAACTGCGATTTCCAA</w:t>
            </w:r>
          </w:p>
        </w:tc>
        <w:tc>
          <w:tcPr>
            <w:tcW w:w="3117" w:type="dxa"/>
          </w:tcPr>
          <w:p w14:paraId="2CE3E869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TGGGTATAGTACCAGTCCTTGTC</w:t>
            </w:r>
          </w:p>
        </w:tc>
      </w:tr>
      <w:tr w:rsidR="00A1055D" w:rsidRPr="00A1055D" w14:paraId="2EDC1117" w14:textId="77777777" w:rsidTr="00726B8C">
        <w:tc>
          <w:tcPr>
            <w:tcW w:w="3116" w:type="dxa"/>
          </w:tcPr>
          <w:p w14:paraId="494B3C7B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GJA4</w:t>
            </w:r>
          </w:p>
        </w:tc>
        <w:tc>
          <w:tcPr>
            <w:tcW w:w="3117" w:type="dxa"/>
          </w:tcPr>
          <w:p w14:paraId="665C1951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ACACCCACCCTGGTCTACC</w:t>
            </w:r>
          </w:p>
        </w:tc>
        <w:tc>
          <w:tcPr>
            <w:tcW w:w="3117" w:type="dxa"/>
          </w:tcPr>
          <w:p w14:paraId="76442212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CACTGGCGACATAGGTGCC</w:t>
            </w:r>
          </w:p>
        </w:tc>
      </w:tr>
      <w:tr w:rsidR="00A1055D" w:rsidRPr="00A1055D" w14:paraId="3598436C" w14:textId="77777777" w:rsidTr="00726B8C">
        <w:tc>
          <w:tcPr>
            <w:tcW w:w="3116" w:type="dxa"/>
          </w:tcPr>
          <w:p w14:paraId="4B885F45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GJA5</w:t>
            </w:r>
          </w:p>
        </w:tc>
        <w:tc>
          <w:tcPr>
            <w:tcW w:w="3117" w:type="dxa"/>
          </w:tcPr>
          <w:p w14:paraId="49BBB195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CCGTGGTAGGCAAGGTCTG</w:t>
            </w:r>
          </w:p>
        </w:tc>
        <w:tc>
          <w:tcPr>
            <w:tcW w:w="3117" w:type="dxa"/>
          </w:tcPr>
          <w:p w14:paraId="409880F6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ATCACACCGGAAATCAGCCTG</w:t>
            </w:r>
          </w:p>
        </w:tc>
      </w:tr>
      <w:tr w:rsidR="00A1055D" w:rsidRPr="00A1055D" w14:paraId="5158D51D" w14:textId="77777777" w:rsidTr="00726B8C">
        <w:tc>
          <w:tcPr>
            <w:tcW w:w="3116" w:type="dxa"/>
          </w:tcPr>
          <w:p w14:paraId="2D5F48D9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EPHB4</w:t>
            </w:r>
          </w:p>
        </w:tc>
        <w:tc>
          <w:tcPr>
            <w:tcW w:w="3117" w:type="dxa"/>
          </w:tcPr>
          <w:p w14:paraId="3B7A72AA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CGCACCTACGAAGTGTGTGA</w:t>
            </w:r>
          </w:p>
        </w:tc>
        <w:tc>
          <w:tcPr>
            <w:tcW w:w="3117" w:type="dxa"/>
          </w:tcPr>
          <w:p w14:paraId="638DC8AF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GTCCGCATCGCTCTCATAGTA</w:t>
            </w:r>
          </w:p>
        </w:tc>
      </w:tr>
      <w:tr w:rsidR="00A1055D" w:rsidRPr="00A1055D" w14:paraId="30ED85CE" w14:textId="77777777" w:rsidTr="00726B8C">
        <w:tc>
          <w:tcPr>
            <w:tcW w:w="3116" w:type="dxa"/>
          </w:tcPr>
          <w:p w14:paraId="57F496D2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NR2F2</w:t>
            </w:r>
          </w:p>
        </w:tc>
        <w:tc>
          <w:tcPr>
            <w:tcW w:w="3117" w:type="dxa"/>
          </w:tcPr>
          <w:p w14:paraId="5D4AD599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GGACCACATACGGATCTTCCAA</w:t>
            </w:r>
          </w:p>
        </w:tc>
        <w:tc>
          <w:tcPr>
            <w:tcW w:w="3117" w:type="dxa"/>
          </w:tcPr>
          <w:p w14:paraId="1AF12A39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ACATCAGACAGACCACAGGCAT</w:t>
            </w:r>
          </w:p>
        </w:tc>
      </w:tr>
      <w:tr w:rsidR="00A1055D" w:rsidRPr="00A1055D" w14:paraId="174BF6D2" w14:textId="77777777" w:rsidTr="00726B8C">
        <w:tc>
          <w:tcPr>
            <w:tcW w:w="3116" w:type="dxa"/>
          </w:tcPr>
          <w:p w14:paraId="2332F30C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NRP2</w:t>
            </w:r>
          </w:p>
        </w:tc>
        <w:tc>
          <w:tcPr>
            <w:tcW w:w="3117" w:type="dxa"/>
          </w:tcPr>
          <w:p w14:paraId="74A2EA93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GTGGTTCATCTTGACCTTGT</w:t>
            </w:r>
          </w:p>
        </w:tc>
        <w:tc>
          <w:tcPr>
            <w:tcW w:w="3117" w:type="dxa"/>
          </w:tcPr>
          <w:p w14:paraId="290DF3BA" w14:textId="77777777" w:rsidR="00D157BE" w:rsidRPr="00A1055D" w:rsidRDefault="00D157BE" w:rsidP="00726B8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ATTCTTCTTCTGCAACCTCA</w:t>
            </w:r>
          </w:p>
        </w:tc>
      </w:tr>
    </w:tbl>
    <w:p w14:paraId="1689CB79" w14:textId="77777777" w:rsidR="00D157BE" w:rsidRPr="00A1055D" w:rsidRDefault="00D157BE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475E2BB2" w14:textId="43E72BD8" w:rsidR="00D157BE" w:rsidRPr="00A1055D" w:rsidRDefault="00D157BE" w:rsidP="00D157B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>Supplementary Table 2. Statistical Tests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515"/>
        <w:gridCol w:w="6840"/>
      </w:tblGrid>
      <w:tr w:rsidR="00A1055D" w:rsidRPr="00A1055D" w14:paraId="0AC14EBC" w14:textId="77777777" w:rsidTr="00726B8C">
        <w:tc>
          <w:tcPr>
            <w:tcW w:w="2515" w:type="dxa"/>
          </w:tcPr>
          <w:p w14:paraId="02BF3431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Figure</w:t>
            </w:r>
          </w:p>
        </w:tc>
        <w:tc>
          <w:tcPr>
            <w:tcW w:w="6840" w:type="dxa"/>
          </w:tcPr>
          <w:p w14:paraId="7C41FE2F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Statistical Test</w:t>
            </w:r>
          </w:p>
        </w:tc>
      </w:tr>
      <w:tr w:rsidR="00A1055D" w:rsidRPr="00A1055D" w14:paraId="33469F87" w14:textId="77777777" w:rsidTr="00726B8C">
        <w:tc>
          <w:tcPr>
            <w:tcW w:w="2515" w:type="dxa"/>
          </w:tcPr>
          <w:p w14:paraId="34F63DDE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Fig. 1d </w:t>
            </w:r>
          </w:p>
        </w:tc>
        <w:tc>
          <w:tcPr>
            <w:tcW w:w="6840" w:type="dxa"/>
          </w:tcPr>
          <w:p w14:paraId="65B030A2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Two-way ANOVA with post-hoc Sidak</w:t>
            </w:r>
          </w:p>
        </w:tc>
      </w:tr>
      <w:tr w:rsidR="00A1055D" w:rsidRPr="00A1055D" w14:paraId="12815F35" w14:textId="77777777" w:rsidTr="00726B8C">
        <w:tc>
          <w:tcPr>
            <w:tcW w:w="2515" w:type="dxa"/>
          </w:tcPr>
          <w:p w14:paraId="3762CE5E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Fig. 1f</w:t>
            </w:r>
          </w:p>
        </w:tc>
        <w:tc>
          <w:tcPr>
            <w:tcW w:w="6840" w:type="dxa"/>
          </w:tcPr>
          <w:p w14:paraId="6493BB32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Dunnett</w:t>
            </w:r>
          </w:p>
        </w:tc>
      </w:tr>
      <w:tr w:rsidR="00A1055D" w:rsidRPr="00A1055D" w14:paraId="6D48981C" w14:textId="77777777" w:rsidTr="00726B8C">
        <w:tc>
          <w:tcPr>
            <w:tcW w:w="2515" w:type="dxa"/>
          </w:tcPr>
          <w:p w14:paraId="082E3944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Fig. 2a</w:t>
            </w:r>
          </w:p>
        </w:tc>
        <w:tc>
          <w:tcPr>
            <w:tcW w:w="6840" w:type="dxa"/>
          </w:tcPr>
          <w:p w14:paraId="7057A457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Wilcoxon Rank Sum with Bonferroni correction</w:t>
            </w:r>
          </w:p>
        </w:tc>
      </w:tr>
      <w:tr w:rsidR="00A1055D" w:rsidRPr="00A1055D" w14:paraId="6D2082FE" w14:textId="77777777" w:rsidTr="00726B8C">
        <w:tc>
          <w:tcPr>
            <w:tcW w:w="2515" w:type="dxa"/>
          </w:tcPr>
          <w:p w14:paraId="150069C7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Fig. 2d</w:t>
            </w:r>
          </w:p>
        </w:tc>
        <w:tc>
          <w:tcPr>
            <w:tcW w:w="6840" w:type="dxa"/>
          </w:tcPr>
          <w:p w14:paraId="4BE6B7A8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Gene ontology over-representation test with Benjamini &amp; Hochberg correction</w:t>
            </w:r>
          </w:p>
        </w:tc>
      </w:tr>
      <w:tr w:rsidR="00A1055D" w:rsidRPr="00A1055D" w14:paraId="0D8E8FDF" w14:textId="77777777" w:rsidTr="00726B8C">
        <w:tc>
          <w:tcPr>
            <w:tcW w:w="2515" w:type="dxa"/>
          </w:tcPr>
          <w:p w14:paraId="134E37BF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Fig. 2e</w:t>
            </w:r>
          </w:p>
        </w:tc>
        <w:tc>
          <w:tcPr>
            <w:tcW w:w="6840" w:type="dxa"/>
          </w:tcPr>
          <w:p w14:paraId="3ABD5C66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One sample t and Wilcoxon test</w:t>
            </w:r>
          </w:p>
        </w:tc>
      </w:tr>
      <w:tr w:rsidR="00A1055D" w:rsidRPr="00A1055D" w14:paraId="273800B6" w14:textId="77777777" w:rsidTr="00726B8C">
        <w:tc>
          <w:tcPr>
            <w:tcW w:w="2515" w:type="dxa"/>
          </w:tcPr>
          <w:p w14:paraId="3132172F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3c</w:t>
            </w:r>
          </w:p>
        </w:tc>
        <w:tc>
          <w:tcPr>
            <w:tcW w:w="6840" w:type="dxa"/>
          </w:tcPr>
          <w:p w14:paraId="69B03040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Tukey</w:t>
            </w:r>
          </w:p>
        </w:tc>
      </w:tr>
      <w:tr w:rsidR="00A1055D" w:rsidRPr="00A1055D" w14:paraId="4BDFCE9E" w14:textId="77777777" w:rsidTr="00726B8C">
        <w:tc>
          <w:tcPr>
            <w:tcW w:w="2515" w:type="dxa"/>
          </w:tcPr>
          <w:p w14:paraId="2A800A74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3d</w:t>
            </w:r>
          </w:p>
        </w:tc>
        <w:tc>
          <w:tcPr>
            <w:tcW w:w="6840" w:type="dxa"/>
          </w:tcPr>
          <w:p w14:paraId="0D1DD0CC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Dunnett</w:t>
            </w:r>
          </w:p>
        </w:tc>
      </w:tr>
      <w:tr w:rsidR="00A1055D" w:rsidRPr="00A1055D" w14:paraId="105274AD" w14:textId="77777777" w:rsidTr="00726B8C">
        <w:tc>
          <w:tcPr>
            <w:tcW w:w="2515" w:type="dxa"/>
          </w:tcPr>
          <w:p w14:paraId="64065931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3f</w:t>
            </w:r>
          </w:p>
        </w:tc>
        <w:tc>
          <w:tcPr>
            <w:tcW w:w="6840" w:type="dxa"/>
          </w:tcPr>
          <w:p w14:paraId="629885D0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Gene ontology over-representation test with Benjamini &amp; Hochberg correction</w:t>
            </w:r>
          </w:p>
        </w:tc>
      </w:tr>
      <w:tr w:rsidR="00A1055D" w:rsidRPr="00A1055D" w14:paraId="3A9CF588" w14:textId="77777777" w:rsidTr="00726B8C">
        <w:tc>
          <w:tcPr>
            <w:tcW w:w="2515" w:type="dxa"/>
          </w:tcPr>
          <w:p w14:paraId="4652CAD8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3i</w:t>
            </w:r>
          </w:p>
        </w:tc>
        <w:tc>
          <w:tcPr>
            <w:tcW w:w="6840" w:type="dxa"/>
          </w:tcPr>
          <w:p w14:paraId="713C8A92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Tukey</w:t>
            </w:r>
          </w:p>
        </w:tc>
      </w:tr>
      <w:tr w:rsidR="00A1055D" w:rsidRPr="00A1055D" w14:paraId="5E5366B4" w14:textId="77777777" w:rsidTr="00726B8C">
        <w:tc>
          <w:tcPr>
            <w:tcW w:w="2515" w:type="dxa"/>
          </w:tcPr>
          <w:p w14:paraId="32842ADD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3j</w:t>
            </w:r>
          </w:p>
        </w:tc>
        <w:tc>
          <w:tcPr>
            <w:tcW w:w="6840" w:type="dxa"/>
          </w:tcPr>
          <w:p w14:paraId="136D2C91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Dunnett</w:t>
            </w:r>
          </w:p>
        </w:tc>
      </w:tr>
      <w:tr w:rsidR="00A1055D" w:rsidRPr="00A1055D" w14:paraId="132B5D0A" w14:textId="77777777" w:rsidTr="00726B8C">
        <w:tc>
          <w:tcPr>
            <w:tcW w:w="2515" w:type="dxa"/>
          </w:tcPr>
          <w:p w14:paraId="4097F1CA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3l</w:t>
            </w:r>
          </w:p>
        </w:tc>
        <w:tc>
          <w:tcPr>
            <w:tcW w:w="6840" w:type="dxa"/>
          </w:tcPr>
          <w:p w14:paraId="2023A987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Gene ontology over-representation test with Benjamini &amp; Hochberg correction</w:t>
            </w:r>
          </w:p>
        </w:tc>
      </w:tr>
      <w:tr w:rsidR="00A1055D" w:rsidRPr="00A1055D" w14:paraId="44C08EF3" w14:textId="77777777" w:rsidTr="00726B8C">
        <w:tc>
          <w:tcPr>
            <w:tcW w:w="2515" w:type="dxa"/>
          </w:tcPr>
          <w:p w14:paraId="019CF691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5b</w:t>
            </w:r>
          </w:p>
        </w:tc>
        <w:tc>
          <w:tcPr>
            <w:tcW w:w="6840" w:type="dxa"/>
          </w:tcPr>
          <w:p w14:paraId="7DABD969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 xml:space="preserve">Mixed effects model with condition as a fixed effect and </w:t>
            </w: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Benjamini &amp; Hochberg</w:t>
            </w: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 xml:space="preserve"> correction</w:t>
            </w:r>
          </w:p>
        </w:tc>
      </w:tr>
      <w:tr w:rsidR="00A1055D" w:rsidRPr="00A1055D" w14:paraId="72F0B0E6" w14:textId="77777777" w:rsidTr="00726B8C">
        <w:tc>
          <w:tcPr>
            <w:tcW w:w="2515" w:type="dxa"/>
          </w:tcPr>
          <w:p w14:paraId="2A38E4C2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5c</w:t>
            </w:r>
          </w:p>
        </w:tc>
        <w:tc>
          <w:tcPr>
            <w:tcW w:w="6840" w:type="dxa"/>
          </w:tcPr>
          <w:p w14:paraId="63ACB034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Fisher’s Exact test</w:t>
            </w:r>
          </w:p>
        </w:tc>
      </w:tr>
      <w:tr w:rsidR="00A1055D" w:rsidRPr="00A1055D" w14:paraId="3B4EC73C" w14:textId="77777777" w:rsidTr="00726B8C">
        <w:tc>
          <w:tcPr>
            <w:tcW w:w="2515" w:type="dxa"/>
          </w:tcPr>
          <w:p w14:paraId="16BF6AFB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5d</w:t>
            </w:r>
          </w:p>
        </w:tc>
        <w:tc>
          <w:tcPr>
            <w:tcW w:w="6840" w:type="dxa"/>
          </w:tcPr>
          <w:p w14:paraId="4877E9BD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 sample t test</w:t>
            </w:r>
          </w:p>
        </w:tc>
      </w:tr>
      <w:tr w:rsidR="00A1055D" w:rsidRPr="00A1055D" w14:paraId="7B0C6751" w14:textId="77777777" w:rsidTr="00726B8C">
        <w:tc>
          <w:tcPr>
            <w:tcW w:w="2515" w:type="dxa"/>
          </w:tcPr>
          <w:p w14:paraId="583E1EE3" w14:textId="77777777" w:rsidR="00D157BE" w:rsidRPr="00A1055D" w:rsidRDefault="00D157BE" w:rsidP="00726B8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Fig. 5f</w:t>
            </w:r>
          </w:p>
        </w:tc>
        <w:tc>
          <w:tcPr>
            <w:tcW w:w="6840" w:type="dxa"/>
          </w:tcPr>
          <w:p w14:paraId="6233DF5A" w14:textId="77777777" w:rsidR="00D157BE" w:rsidRPr="00A1055D" w:rsidRDefault="00D157BE" w:rsidP="00726B8C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Two-way ANOVA with post-hoc Dunnett</w:t>
            </w:r>
          </w:p>
        </w:tc>
      </w:tr>
      <w:tr w:rsidR="00A1055D" w:rsidRPr="00A1055D" w14:paraId="6F39B98E" w14:textId="77777777" w:rsidTr="00726B8C">
        <w:tc>
          <w:tcPr>
            <w:tcW w:w="2515" w:type="dxa"/>
          </w:tcPr>
          <w:p w14:paraId="4DD7343A" w14:textId="1455F57F" w:rsidR="00C56592" w:rsidRPr="00A1055D" w:rsidRDefault="00C56592" w:rsidP="00C5659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Fig. 6e</w:t>
            </w:r>
          </w:p>
        </w:tc>
        <w:tc>
          <w:tcPr>
            <w:tcW w:w="6840" w:type="dxa"/>
          </w:tcPr>
          <w:p w14:paraId="53FB6AB6" w14:textId="40B7B39F" w:rsidR="00C56592" w:rsidRPr="00A1055D" w:rsidRDefault="00C56592" w:rsidP="00C56592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One-way ANOVA with post-hoc Dunnett</w:t>
            </w:r>
          </w:p>
        </w:tc>
      </w:tr>
      <w:tr w:rsidR="00A1055D" w:rsidRPr="00A1055D" w14:paraId="0B4D748E" w14:textId="77777777" w:rsidTr="00726B8C">
        <w:tc>
          <w:tcPr>
            <w:tcW w:w="2515" w:type="dxa"/>
          </w:tcPr>
          <w:p w14:paraId="10AD5D21" w14:textId="6272B439" w:rsidR="00C56592" w:rsidRPr="00A1055D" w:rsidRDefault="00C56592" w:rsidP="00C5659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Fig. 6g</w:t>
            </w:r>
          </w:p>
        </w:tc>
        <w:tc>
          <w:tcPr>
            <w:tcW w:w="6840" w:type="dxa"/>
          </w:tcPr>
          <w:p w14:paraId="65DA85D7" w14:textId="6578EA43" w:rsidR="00C56592" w:rsidRPr="00A1055D" w:rsidRDefault="00C56592" w:rsidP="00C56592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Pearson correlation</w:t>
            </w:r>
          </w:p>
        </w:tc>
      </w:tr>
      <w:tr w:rsidR="00A1055D" w:rsidRPr="00A1055D" w14:paraId="5105B235" w14:textId="77777777" w:rsidTr="00726B8C">
        <w:tc>
          <w:tcPr>
            <w:tcW w:w="2515" w:type="dxa"/>
          </w:tcPr>
          <w:p w14:paraId="7080D9F9" w14:textId="6ABFFA55" w:rsidR="00C56592" w:rsidRPr="00A1055D" w:rsidRDefault="00C56592" w:rsidP="00C5659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Fig. 6h</w:t>
            </w:r>
          </w:p>
        </w:tc>
        <w:tc>
          <w:tcPr>
            <w:tcW w:w="6840" w:type="dxa"/>
          </w:tcPr>
          <w:p w14:paraId="1A3727FC" w14:textId="61F38198" w:rsidR="00C56592" w:rsidRPr="00A1055D" w:rsidRDefault="00C56592" w:rsidP="00C56592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A1055D">
              <w:rPr>
                <w:color w:val="000000" w:themeColor="text1"/>
              </w:rPr>
              <w:t>One-way ANOVA with post-hoc Dunnett</w:t>
            </w:r>
          </w:p>
        </w:tc>
      </w:tr>
      <w:tr w:rsidR="00A1055D" w:rsidRPr="00A1055D" w14:paraId="7A286853" w14:textId="77777777" w:rsidTr="00726B8C">
        <w:tc>
          <w:tcPr>
            <w:tcW w:w="2515" w:type="dxa"/>
          </w:tcPr>
          <w:p w14:paraId="25E496A6" w14:textId="77777777" w:rsidR="00C56592" w:rsidRPr="00A1055D" w:rsidRDefault="00C56592" w:rsidP="00C5659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Supplementary Fig. 3a</w:t>
            </w:r>
          </w:p>
        </w:tc>
        <w:tc>
          <w:tcPr>
            <w:tcW w:w="6840" w:type="dxa"/>
          </w:tcPr>
          <w:p w14:paraId="4D741A79" w14:textId="77777777" w:rsidR="00C56592" w:rsidRPr="00A1055D" w:rsidRDefault="00C56592" w:rsidP="00C56592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Dunnett</w:t>
            </w:r>
          </w:p>
        </w:tc>
      </w:tr>
      <w:tr w:rsidR="00C56592" w:rsidRPr="00A1055D" w14:paraId="6D22C1BA" w14:textId="77777777" w:rsidTr="00726B8C">
        <w:tc>
          <w:tcPr>
            <w:tcW w:w="2515" w:type="dxa"/>
          </w:tcPr>
          <w:p w14:paraId="7B372638" w14:textId="77777777" w:rsidR="00C56592" w:rsidRPr="00A1055D" w:rsidRDefault="00C56592" w:rsidP="00C5659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Supplementary Fig. 3b</w:t>
            </w:r>
          </w:p>
        </w:tc>
        <w:tc>
          <w:tcPr>
            <w:tcW w:w="6840" w:type="dxa"/>
          </w:tcPr>
          <w:p w14:paraId="0DC22C1B" w14:textId="77777777" w:rsidR="00C56592" w:rsidRPr="00A1055D" w:rsidRDefault="00C56592" w:rsidP="00C56592">
            <w:pPr>
              <w:spacing w:line="360" w:lineRule="auto"/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kern w:val="0"/>
                <w:sz w:val="22"/>
                <w:szCs w:val="22"/>
              </w:rPr>
              <w:t>One-way ANOVA with post-hoc Dunnett</w:t>
            </w:r>
          </w:p>
        </w:tc>
      </w:tr>
    </w:tbl>
    <w:p w14:paraId="696EE611" w14:textId="77777777" w:rsidR="00D157BE" w:rsidRPr="00A1055D" w:rsidRDefault="00D157BE" w:rsidP="00D157B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42981697" w14:textId="77777777" w:rsidR="00B32AC3" w:rsidRPr="00A1055D" w:rsidRDefault="00B32AC3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520F507B" w14:textId="48215A75" w:rsidR="00B32AC3" w:rsidRPr="00A1055D" w:rsidRDefault="00B32AC3" w:rsidP="00B32AC3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>Supplementary Table 3. Intersection between Transcriptomic and Proteomic Differences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899"/>
        <w:gridCol w:w="1890"/>
        <w:gridCol w:w="1980"/>
        <w:gridCol w:w="1885"/>
      </w:tblGrid>
      <w:tr w:rsidR="00A1055D" w:rsidRPr="00A1055D" w14:paraId="62C03340" w14:textId="77777777" w:rsidTr="003B48F9">
        <w:tc>
          <w:tcPr>
            <w:tcW w:w="1696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308F4E56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gridSpan w:val="4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04BD06F2" w14:textId="77777777" w:rsidR="00B32AC3" w:rsidRPr="00A1055D" w:rsidRDefault="00B32AC3" w:rsidP="006477D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Transcriptomics</w:t>
            </w:r>
          </w:p>
        </w:tc>
      </w:tr>
      <w:tr w:rsidR="00A1055D" w:rsidRPr="00A1055D" w14:paraId="16F9CB9C" w14:textId="77777777" w:rsidTr="003B48F9">
        <w:tc>
          <w:tcPr>
            <w:tcW w:w="1696" w:type="dxa"/>
            <w:tcBorders>
              <w:top w:val="single" w:sz="8" w:space="0" w:color="D1D1D1" w:themeColor="background2" w:themeShade="E6"/>
              <w:bottom w:val="single" w:sz="8" w:space="0" w:color="D1D1D1" w:themeColor="background2" w:themeShade="E6"/>
            </w:tcBorders>
          </w:tcPr>
          <w:p w14:paraId="027B0714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789" w:type="dxa"/>
            <w:gridSpan w:val="2"/>
            <w:tcBorders>
              <w:top w:val="single" w:sz="8" w:space="0" w:color="D1D1D1" w:themeColor="background2" w:themeShade="E6"/>
              <w:bottom w:val="single" w:sz="8" w:space="0" w:color="D1D1D1" w:themeColor="background2" w:themeShade="E6"/>
            </w:tcBorders>
          </w:tcPr>
          <w:p w14:paraId="44CB422A" w14:textId="77777777" w:rsidR="00B32AC3" w:rsidRPr="00A1055D" w:rsidRDefault="00B32AC3" w:rsidP="006477D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Early</w:t>
            </w:r>
          </w:p>
        </w:tc>
        <w:tc>
          <w:tcPr>
            <w:tcW w:w="3865" w:type="dxa"/>
            <w:gridSpan w:val="2"/>
            <w:tcBorders>
              <w:top w:val="single" w:sz="8" w:space="0" w:color="D1D1D1" w:themeColor="background2" w:themeShade="E6"/>
              <w:bottom w:val="single" w:sz="8" w:space="0" w:color="D1D1D1" w:themeColor="background2" w:themeShade="E6"/>
            </w:tcBorders>
          </w:tcPr>
          <w:p w14:paraId="44B60C11" w14:textId="77777777" w:rsidR="00B32AC3" w:rsidRPr="00A1055D" w:rsidRDefault="00B32AC3" w:rsidP="006477D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Late</w:t>
            </w:r>
          </w:p>
        </w:tc>
      </w:tr>
      <w:tr w:rsidR="00A1055D" w:rsidRPr="00A1055D" w14:paraId="5E4E4E68" w14:textId="77777777" w:rsidTr="003B48F9">
        <w:tc>
          <w:tcPr>
            <w:tcW w:w="1696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0804D493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3C5BC805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Upregulated</w:t>
            </w:r>
          </w:p>
        </w:tc>
        <w:tc>
          <w:tcPr>
            <w:tcW w:w="1890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28153FA2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Downregulated</w:t>
            </w:r>
          </w:p>
        </w:tc>
        <w:tc>
          <w:tcPr>
            <w:tcW w:w="1980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5236FF32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Upregulated</w:t>
            </w:r>
          </w:p>
        </w:tc>
        <w:tc>
          <w:tcPr>
            <w:tcW w:w="1885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22E8F6BC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Downregulated</w:t>
            </w:r>
          </w:p>
        </w:tc>
      </w:tr>
      <w:tr w:rsidR="00A1055D" w:rsidRPr="00A1055D" w14:paraId="12D0E314" w14:textId="77777777" w:rsidTr="003B48F9">
        <w:tc>
          <w:tcPr>
            <w:tcW w:w="1696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7D22C9E3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Upregulated Proteomics</w:t>
            </w:r>
          </w:p>
        </w:tc>
        <w:tc>
          <w:tcPr>
            <w:tcW w:w="1899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3AA80F10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NDUS8, CALR, G5E902, NDUB6, CAD13, CALU, MYDGF, SSRD, D3Z569, PSMD7, COX7B, Q9CXU4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5C56AD8E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H10, RS24, RS15, B1ARA5, G5E850, RS17, RS10, IIGP1, RL21, RL18, LYRIC, RL12, RL31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044D0B23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HSPB1, NDUAD, NACAM, RS7, H10, NDUB4, RL13, RS9, B1ARA5, NID1, DJB11, G5E850, NDUA7, YBOX1, QCR9, IIGP1, RL14, NDUA3, RL18, RL6, PFD2, TSPO</w:t>
            </w:r>
          </w:p>
        </w:tc>
        <w:tc>
          <w:tcPr>
            <w:tcW w:w="1885" w:type="dxa"/>
            <w:tcBorders>
              <w:top w:val="single" w:sz="18" w:space="0" w:color="auto"/>
              <w:bottom w:val="single" w:sz="8" w:space="0" w:color="D1D1D1" w:themeColor="background2" w:themeShade="E6"/>
            </w:tcBorders>
          </w:tcPr>
          <w:p w14:paraId="1AB0FC6F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CAD13, E9Q9C4</w:t>
            </w:r>
          </w:p>
        </w:tc>
      </w:tr>
      <w:tr w:rsidR="003B48F9" w:rsidRPr="00A1055D" w14:paraId="1F8D20A8" w14:textId="77777777" w:rsidTr="003B48F9">
        <w:tc>
          <w:tcPr>
            <w:tcW w:w="1696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72A424F1" w14:textId="77777777" w:rsidR="00B32AC3" w:rsidRPr="00A1055D" w:rsidRDefault="00B32AC3" w:rsidP="006477D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color w:val="000000" w:themeColor="text1"/>
                <w:sz w:val="22"/>
                <w:szCs w:val="22"/>
              </w:rPr>
              <w:t>Downregulated Proteomics</w:t>
            </w:r>
          </w:p>
        </w:tc>
        <w:tc>
          <w:tcPr>
            <w:tcW w:w="1899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1E2A37F9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VDAC3, ACTB, NDUS2, SDHB, FABP5, G3BP1</w:t>
            </w:r>
          </w:p>
        </w:tc>
        <w:tc>
          <w:tcPr>
            <w:tcW w:w="1890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54B22033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508A2F13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J3QP71, NDUS7, NDUS5, PEA15,</w:t>
            </w:r>
          </w:p>
          <w:p w14:paraId="603CD0FB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D3YUG3, DDX3X</w:t>
            </w:r>
          </w:p>
        </w:tc>
        <w:tc>
          <w:tcPr>
            <w:tcW w:w="1885" w:type="dxa"/>
            <w:tcBorders>
              <w:top w:val="single" w:sz="8" w:space="0" w:color="D1D1D1" w:themeColor="background2" w:themeShade="E6"/>
              <w:bottom w:val="single" w:sz="18" w:space="0" w:color="auto"/>
            </w:tcBorders>
          </w:tcPr>
          <w:p w14:paraId="182A084D" w14:textId="77777777" w:rsidR="00B32AC3" w:rsidRPr="00A1055D" w:rsidRDefault="00B32AC3" w:rsidP="006477D7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1055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ACTB</w:t>
            </w:r>
          </w:p>
        </w:tc>
      </w:tr>
    </w:tbl>
    <w:p w14:paraId="042A86BB" w14:textId="77777777" w:rsidR="00B32AC3" w:rsidRPr="00A1055D" w:rsidRDefault="00B32AC3" w:rsidP="00B32AC3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6E7F6229" w14:textId="77777777" w:rsidR="00B32AC3" w:rsidRPr="00A1055D" w:rsidRDefault="00B32AC3" w:rsidP="00B32AC3">
      <w:pPr>
        <w:rPr>
          <w:rFonts w:ascii="Arial" w:hAnsi="Arial" w:cs="Arial"/>
          <w:b/>
          <w:bCs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br w:type="page"/>
      </w:r>
    </w:p>
    <w:p w14:paraId="599B4505" w14:textId="555F1AD5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1. </w:t>
      </w:r>
      <w:r w:rsidRPr="00A1055D">
        <w:rPr>
          <w:rFonts w:ascii="Arial" w:hAnsi="Arial" w:cs="Arial"/>
          <w:color w:val="000000" w:themeColor="text1"/>
        </w:rPr>
        <w:t>Differentially expressed genes across all endothelial cell subpopulations at days 3, 7, 14 and 28 using the Wilcoxon Rank Sum test with a minimum percentage of 0.25. Differential expression relative to homeostasis (day 0).</w:t>
      </w:r>
    </w:p>
    <w:p w14:paraId="1A4F3117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08D60BC9" w14:textId="4547AE53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2. </w:t>
      </w:r>
      <w:r w:rsidRPr="00A1055D">
        <w:rPr>
          <w:rFonts w:ascii="Arial" w:hAnsi="Arial" w:cs="Arial"/>
          <w:color w:val="000000" w:themeColor="text1"/>
        </w:rPr>
        <w:t>Lists of significantly differentially expressed genes unique to early (days 3 and/or 7) or late (days 14 and/or 28) timepoints. Separated by upregulated and downregulated. Adjusted p-value &lt; 0.05.</w:t>
      </w:r>
    </w:p>
    <w:p w14:paraId="04A33E64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470B7670" w14:textId="284F4B2D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3. </w:t>
      </w:r>
      <w:r w:rsidRPr="00A1055D">
        <w:rPr>
          <w:rFonts w:ascii="Arial" w:hAnsi="Arial" w:cs="Arial"/>
          <w:color w:val="000000" w:themeColor="text1"/>
        </w:rPr>
        <w:t>Gene ontology results for unique early (days 3 and/or 7) or late (days 14 and/or 28) timepoints. Separated by upregulated and downregulated. Enrichment relative to all expressed genes at early or late timepoints. Benjamini-Hochberg corrected p-value &lt; 0.05.</w:t>
      </w:r>
    </w:p>
    <w:p w14:paraId="79F53F37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24E32EA4" w14:textId="7CE21AF2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>Supplementary File 4</w:t>
      </w:r>
      <w:r w:rsidRPr="00A1055D">
        <w:rPr>
          <w:rFonts w:ascii="Arial" w:hAnsi="Arial" w:cs="Arial"/>
          <w:color w:val="000000" w:themeColor="text1"/>
        </w:rPr>
        <w:t xml:space="preserve">. Graph autocorrelation results for maturation and arteriovenous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trajectories.</w:t>
      </w:r>
    </w:p>
    <w:p w14:paraId="67790334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02DD43BA" w14:textId="2C741279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5. </w:t>
      </w:r>
      <w:r w:rsidRPr="00A1055D">
        <w:rPr>
          <w:rFonts w:ascii="Arial" w:hAnsi="Arial" w:cs="Arial"/>
          <w:color w:val="000000" w:themeColor="text1"/>
        </w:rPr>
        <w:t xml:space="preserve">Pearson correlations of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(maturation and arteriovenous) and normalized gene expression counts.</w:t>
      </w:r>
    </w:p>
    <w:p w14:paraId="575CC286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781BF1F5" w14:textId="65459119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6. </w:t>
      </w:r>
      <w:r w:rsidRPr="00A1055D">
        <w:rPr>
          <w:rFonts w:ascii="Arial" w:hAnsi="Arial" w:cs="Arial"/>
          <w:color w:val="000000" w:themeColor="text1"/>
        </w:rPr>
        <w:t xml:space="preserve">Gene ontology results for the top and bottom tenth percentiles of maturation and arteriovenous gene expression and </w:t>
      </w:r>
      <w:proofErr w:type="spellStart"/>
      <w:r w:rsidRPr="00A1055D">
        <w:rPr>
          <w:rFonts w:ascii="Arial" w:hAnsi="Arial" w:cs="Arial"/>
          <w:color w:val="000000" w:themeColor="text1"/>
        </w:rPr>
        <w:t>pseudotime</w:t>
      </w:r>
      <w:proofErr w:type="spellEnd"/>
      <w:r w:rsidRPr="00A1055D">
        <w:rPr>
          <w:rFonts w:ascii="Arial" w:hAnsi="Arial" w:cs="Arial"/>
          <w:color w:val="000000" w:themeColor="text1"/>
        </w:rPr>
        <w:t xml:space="preserve"> correlations. Enrichment relative to all genes in the dataset. Benjamini-Hochberg corrected p-value &lt; 0.05.</w:t>
      </w:r>
    </w:p>
    <w:p w14:paraId="2A9366D3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0D0A4237" w14:textId="180CF61E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7. </w:t>
      </w:r>
      <w:r w:rsidRPr="00A1055D">
        <w:rPr>
          <w:rFonts w:ascii="Arial" w:hAnsi="Arial" w:cs="Arial"/>
          <w:color w:val="000000" w:themeColor="text1"/>
        </w:rPr>
        <w:t>Genes in the bottom and top tenth percentiles of maturation and arteriovenous correlation continuums with the largest Moran’s I values, associated with angiogenic, mature, venous and arterial identities.</w:t>
      </w:r>
    </w:p>
    <w:p w14:paraId="6E400005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2D275AA7" w14:textId="66609826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8. </w:t>
      </w:r>
      <w:r w:rsidRPr="00A1055D">
        <w:rPr>
          <w:rFonts w:ascii="Arial" w:hAnsi="Arial" w:cs="Arial"/>
          <w:color w:val="000000" w:themeColor="text1"/>
        </w:rPr>
        <w:t>Inferred intercellular communication network of ligand-receptor pairs and signaling pathways at homeostatic (day 0), early (days 3 and 7) and late (days 14 and 28)</w:t>
      </w:r>
      <w:r w:rsidR="00B21D0F"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color w:val="000000" w:themeColor="text1"/>
        </w:rPr>
        <w:t>timepoints.</w:t>
      </w:r>
    </w:p>
    <w:p w14:paraId="48B29E3D" w14:textId="77777777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</w:p>
    <w:p w14:paraId="7E920C30" w14:textId="3DEABCC1" w:rsidR="00D157BE" w:rsidRPr="00A1055D" w:rsidRDefault="00D157BE" w:rsidP="00D157BE">
      <w:pPr>
        <w:jc w:val="both"/>
        <w:rPr>
          <w:rFonts w:ascii="Arial" w:hAnsi="Arial" w:cs="Arial"/>
          <w:color w:val="000000" w:themeColor="text1"/>
        </w:rPr>
      </w:pPr>
      <w:r w:rsidRPr="00A1055D">
        <w:rPr>
          <w:rFonts w:ascii="Arial" w:hAnsi="Arial" w:cs="Arial"/>
          <w:b/>
          <w:bCs/>
          <w:color w:val="000000" w:themeColor="text1"/>
        </w:rPr>
        <w:t xml:space="preserve">Supplementary File 9. </w:t>
      </w:r>
      <w:r w:rsidRPr="00A1055D">
        <w:rPr>
          <w:rFonts w:ascii="Arial" w:hAnsi="Arial" w:cs="Arial"/>
          <w:color w:val="000000" w:themeColor="text1"/>
        </w:rPr>
        <w:t xml:space="preserve">Signaling pathway probabilities from and to </w:t>
      </w:r>
      <w:r w:rsidR="00B21D0F" w:rsidRPr="00A1055D">
        <w:rPr>
          <w:rFonts w:ascii="Arial" w:hAnsi="Arial" w:cs="Arial"/>
          <w:color w:val="000000" w:themeColor="text1"/>
        </w:rPr>
        <w:t>coronary</w:t>
      </w:r>
      <w:r w:rsidRPr="00A1055D">
        <w:rPr>
          <w:rFonts w:ascii="Arial" w:hAnsi="Arial" w:cs="Arial"/>
          <w:color w:val="000000" w:themeColor="text1"/>
        </w:rPr>
        <w:t xml:space="preserve"> endothelial cells at</w:t>
      </w:r>
      <w:r w:rsidR="00B21D0F"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color w:val="000000" w:themeColor="text1"/>
        </w:rPr>
        <w:t>homeostatic (day 0), early (days 3 and 7) and late (days 14 and 28) timepoints, separated by cell</w:t>
      </w:r>
      <w:r w:rsidR="00B21D0F" w:rsidRPr="00A1055D">
        <w:rPr>
          <w:rFonts w:ascii="Arial" w:hAnsi="Arial" w:cs="Arial"/>
          <w:color w:val="000000" w:themeColor="text1"/>
        </w:rPr>
        <w:t xml:space="preserve"> </w:t>
      </w:r>
      <w:r w:rsidRPr="00A1055D">
        <w:rPr>
          <w:rFonts w:ascii="Arial" w:hAnsi="Arial" w:cs="Arial"/>
          <w:color w:val="000000" w:themeColor="text1"/>
        </w:rPr>
        <w:t>type.</w:t>
      </w:r>
      <w:bookmarkEnd w:id="0"/>
    </w:p>
    <w:sectPr w:rsidR="00D157BE" w:rsidRPr="00A1055D" w:rsidSect="00A10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2E"/>
    <w:rsid w:val="003B48F9"/>
    <w:rsid w:val="004C1856"/>
    <w:rsid w:val="004F3117"/>
    <w:rsid w:val="005D7607"/>
    <w:rsid w:val="007A4724"/>
    <w:rsid w:val="00817471"/>
    <w:rsid w:val="0089527F"/>
    <w:rsid w:val="009E2192"/>
    <w:rsid w:val="00A1055D"/>
    <w:rsid w:val="00AB150B"/>
    <w:rsid w:val="00B21D0F"/>
    <w:rsid w:val="00B32AC3"/>
    <w:rsid w:val="00C56592"/>
    <w:rsid w:val="00CC7FEB"/>
    <w:rsid w:val="00D157BE"/>
    <w:rsid w:val="00EB4C66"/>
    <w:rsid w:val="00ED63A2"/>
    <w:rsid w:val="00F6642E"/>
    <w:rsid w:val="00FD1C97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208E"/>
  <w15:chartTrackingRefBased/>
  <w15:docId w15:val="{1C2A9DF0-AF1E-40AB-9F24-255D4059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4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4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4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57BE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3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Chavkin, Nicholas</dc:creator>
  <cp:keywords/>
  <dc:description/>
  <cp:lastModifiedBy>Santhosh Anandhan</cp:lastModifiedBy>
  <cp:revision>16</cp:revision>
  <dcterms:created xsi:type="dcterms:W3CDTF">2026-05-12T16:02:00Z</dcterms:created>
  <dcterms:modified xsi:type="dcterms:W3CDTF">2026-06-04T13:21:00Z</dcterms:modified>
</cp:coreProperties>
</file>