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20" w:type="dxa"/>
        <w:tblInd w:w="-1172" w:type="dxa"/>
        <w:tblLook w:val="04A0" w:firstRow="1" w:lastRow="0" w:firstColumn="1" w:lastColumn="0" w:noHBand="0" w:noVBand="1"/>
      </w:tblPr>
      <w:tblGrid>
        <w:gridCol w:w="2229"/>
        <w:gridCol w:w="1042"/>
        <w:gridCol w:w="974"/>
        <w:gridCol w:w="915"/>
        <w:gridCol w:w="1020"/>
        <w:gridCol w:w="1020"/>
        <w:gridCol w:w="1020"/>
        <w:gridCol w:w="1020"/>
        <w:gridCol w:w="1020"/>
        <w:gridCol w:w="1460"/>
      </w:tblGrid>
      <w:tr w:rsidR="00D10741" w:rsidRPr="009C0E3B" w:rsidTr="00D10741">
        <w:trPr>
          <w:trHeight w:val="315"/>
        </w:trPr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C0E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</w:t>
            </w:r>
            <w:r w:rsidRPr="009C0E3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    Patient characteristics</w:t>
            </w:r>
          </w:p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0741" w:rsidRPr="009C0E3B" w:rsidTr="00D10741">
        <w:trPr>
          <w:trHeight w:val="195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9C0E3B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0741" w:rsidRPr="009C0E3B" w:rsidTr="00D10741">
        <w:trPr>
          <w:trHeight w:val="240"/>
        </w:trPr>
        <w:tc>
          <w:tcPr>
            <w:tcW w:w="222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Data set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Thompson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Kool</w:t>
            </w:r>
            <w:proofErr w:type="spellEnd"/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Fattet</w:t>
            </w:r>
            <w:proofErr w:type="spellEnd"/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Northcott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Cho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Remke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Mccabe</w:t>
            </w:r>
            <w:proofErr w:type="spellEnd"/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All GEP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Korshunov</w:t>
            </w:r>
            <w:proofErr w:type="spellEnd"/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TMA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Total no. cases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550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402</w:t>
            </w:r>
          </w:p>
        </w:tc>
      </w:tr>
      <w:tr w:rsidR="00D10741" w:rsidRPr="009C0E3B" w:rsidTr="00D10741">
        <w:trPr>
          <w:trHeight w:val="240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Male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331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254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Female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219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148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ND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D10741" w:rsidRPr="009C0E3B" w:rsidTr="00D10741">
        <w:trPr>
          <w:trHeight w:val="240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Age at diagnosis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Average age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7.1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8.6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17.5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11.9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13.6</w:t>
            </w: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Median age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6.5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9.2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7.3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10.0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Age range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1 - 16.7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1.5 - 35.3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0.3 - 18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0.9 - 39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0.9 - 43.9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1 - 52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0.6 - 41.0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0.3 - 52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0.6 - 52</w:t>
            </w:r>
          </w:p>
        </w:tc>
      </w:tr>
      <w:tr w:rsidR="00D10741" w:rsidRPr="009C0E3B" w:rsidTr="00D10741">
        <w:trPr>
          <w:trHeight w:val="240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Age groups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Infants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&lt; 4</w:t>
            </w: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54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Children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  <w:r w:rsidRPr="00103EE1">
              <w:rPr>
                <w:rFonts w:ascii="Arial" w:eastAsia="Times New Roman" w:hAnsi="Arial" w:cs="Arial"/>
                <w:sz w:val="16"/>
                <w:szCs w:val="16"/>
              </w:rPr>
              <w:t xml:space="preserve"> -16)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363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236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Adults (&gt; 16)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112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ND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D10741" w:rsidRPr="009C0E3B" w:rsidTr="00D10741">
        <w:trPr>
          <w:trHeight w:val="240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Histology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Classic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299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Desmoplastic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61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LC/A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42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ND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D10741" w:rsidRPr="009C0E3B" w:rsidTr="00D10741">
        <w:trPr>
          <w:trHeight w:val="240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Staging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M0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329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279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M+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123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M1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21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≥M2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102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Default="00D10741" w:rsidP="00CF4ACF">
            <w:pPr>
              <w:spacing w:before="60" w:after="6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M+ (stage not specified)</w:t>
            </w:r>
          </w:p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ND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</w:t>
            </w:r>
          </w:p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</w:t>
            </w:r>
          </w:p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D10741" w:rsidRPr="009C0E3B" w:rsidTr="00D10741">
        <w:trPr>
          <w:trHeight w:val="240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Molecular subgroups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WNT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3 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36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SHH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153</w:t>
            </w:r>
          </w:p>
        </w:tc>
      </w:tr>
      <w:tr w:rsidR="00D10741" w:rsidRPr="009C0E3B" w:rsidTr="00D10741">
        <w:trPr>
          <w:trHeight w:val="255"/>
        </w:trPr>
        <w:tc>
          <w:tcPr>
            <w:tcW w:w="22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Group 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9 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71</w:t>
            </w:r>
          </w:p>
        </w:tc>
      </w:tr>
      <w:tr w:rsidR="00D10741" w:rsidRPr="009C0E3B" w:rsidTr="00D10741">
        <w:trPr>
          <w:trHeight w:val="270"/>
        </w:trPr>
        <w:tc>
          <w:tcPr>
            <w:tcW w:w="22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103EE1" w:rsidRDefault="00D10741" w:rsidP="00CF4AC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103EE1">
              <w:rPr>
                <w:rFonts w:ascii="Arial" w:eastAsia="Times New Roman" w:hAnsi="Arial" w:cs="Arial"/>
                <w:sz w:val="16"/>
                <w:szCs w:val="16"/>
              </w:rPr>
              <w:t>Group 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0741" w:rsidRPr="00C11800" w:rsidRDefault="00D10741" w:rsidP="00CF4A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C11800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142</w:t>
            </w:r>
          </w:p>
        </w:tc>
      </w:tr>
    </w:tbl>
    <w:p w:rsidR="00D10741" w:rsidRDefault="00D10741" w:rsidP="00D10741"/>
    <w:p w:rsidR="00EC6E91" w:rsidRDefault="00EC6E91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:rsidR="00D10741" w:rsidRPr="001F67AE" w:rsidRDefault="00D10741" w:rsidP="00D10741">
      <w:pPr>
        <w:rPr>
          <w:rFonts w:ascii="Calibri" w:hAnsi="Calibri" w:cs="Calibri"/>
        </w:rPr>
      </w:pPr>
      <w:r w:rsidRPr="005813C5">
        <w:rPr>
          <w:rFonts w:ascii="Calibri" w:hAnsi="Calibri" w:cs="Calibri"/>
          <w:b/>
        </w:rPr>
        <w:lastRenderedPageBreak/>
        <w:t>Table S2</w:t>
      </w:r>
      <w:r w:rsidRPr="005813C5">
        <w:rPr>
          <w:rFonts w:ascii="Calibri" w:hAnsi="Calibri" w:cs="Calibri"/>
          <w:b/>
        </w:rPr>
        <w:tab/>
      </w:r>
      <w:proofErr w:type="spellStart"/>
      <w:r w:rsidRPr="001F67AE">
        <w:rPr>
          <w:rFonts w:ascii="Calibri" w:hAnsi="Calibri" w:cs="Calibri"/>
        </w:rPr>
        <w:t>Univariate</w:t>
      </w:r>
      <w:proofErr w:type="spellEnd"/>
      <w:r w:rsidRPr="001F67AE">
        <w:rPr>
          <w:rFonts w:ascii="Calibri" w:hAnsi="Calibri" w:cs="Calibri"/>
        </w:rPr>
        <w:t xml:space="preserve"> survival analyses of the GEP cohort analyzed for all patients and for the SHH, Group 3 and Group 4 subgroups, including all patients, only non-infants, or only those patients who received radiotherapy (RTX) and chemotherapy (CTX)</w:t>
      </w:r>
      <w:r>
        <w:rPr>
          <w:rFonts w:ascii="Calibri" w:hAnsi="Calibri" w:cs="Calibri"/>
        </w:rPr>
        <w:t>.</w:t>
      </w:r>
    </w:p>
    <w:p w:rsidR="00D10741" w:rsidRDefault="00D10741" w:rsidP="00D10741">
      <w:pPr>
        <w:rPr>
          <w:rFonts w:ascii="Calibri" w:hAnsi="Calibri" w:cs="Calibri"/>
          <w:b/>
        </w:rPr>
      </w:pPr>
    </w:p>
    <w:p w:rsidR="00D10741" w:rsidRDefault="00D10741" w:rsidP="00D10741">
      <w:pPr>
        <w:rPr>
          <w:rFonts w:ascii="Calibri" w:hAnsi="Calibri" w:cs="Calibri"/>
          <w:b/>
        </w:rPr>
      </w:pPr>
      <w:r w:rsidRPr="00854DD2">
        <w:rPr>
          <w:rFonts w:ascii="Calibri" w:eastAsia="Times New Roman" w:hAnsi="Calibri" w:cs="Calibri"/>
          <w:b/>
          <w:bCs/>
          <w:color w:val="000000"/>
          <w:lang w:eastAsia="nl-NL"/>
        </w:rPr>
        <w:t>All patients</w:t>
      </w:r>
    </w:p>
    <w:p w:rsidR="00D10741" w:rsidRDefault="00D10741" w:rsidP="00D10741">
      <w:pPr>
        <w:rPr>
          <w:rFonts w:ascii="Calibri" w:hAnsi="Calibri" w:cs="Calibri"/>
          <w:b/>
        </w:rPr>
      </w:pP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2180"/>
        <w:gridCol w:w="661"/>
        <w:gridCol w:w="1259"/>
        <w:gridCol w:w="675"/>
        <w:gridCol w:w="1285"/>
        <w:gridCol w:w="957"/>
        <w:gridCol w:w="1823"/>
      </w:tblGrid>
      <w:tr w:rsidR="00D10741" w:rsidRPr="001F67AE" w:rsidTr="00CF4ACF">
        <w:trPr>
          <w:trHeight w:val="30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all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non-infants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all who received RTX + CTX</w:t>
            </w:r>
          </w:p>
        </w:tc>
      </w:tr>
      <w:tr w:rsidR="00D10741" w:rsidRPr="001F67AE" w:rsidTr="00CF4ACF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Prognostic factor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Subgroup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Histology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369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303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Metastasis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366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298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MYC(N) amplification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 xml:space="preserve">3q gain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222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10q loss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17p loss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10741" w:rsidRPr="001F67AE" w:rsidTr="00CF4ACF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17q gain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225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&lt;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:rsidR="00D10741" w:rsidRDefault="00D10741" w:rsidP="00D10741">
      <w:pPr>
        <w:rPr>
          <w:rFonts w:ascii="Calibri" w:hAnsi="Calibri" w:cs="Calibri"/>
        </w:rPr>
      </w:pPr>
    </w:p>
    <w:p w:rsidR="00EC6E91" w:rsidRDefault="00EC6E91">
      <w:pPr>
        <w:rPr>
          <w:rFonts w:ascii="Calibri" w:eastAsia="Times New Roman" w:hAnsi="Calibri" w:cs="Calibri"/>
          <w:b/>
          <w:bCs/>
          <w:color w:val="000000"/>
          <w:lang w:eastAsia="nl-NL"/>
        </w:rPr>
      </w:pPr>
      <w:r>
        <w:rPr>
          <w:rFonts w:ascii="Calibri" w:eastAsia="Times New Roman" w:hAnsi="Calibri" w:cs="Calibri"/>
          <w:b/>
          <w:bCs/>
          <w:color w:val="000000"/>
          <w:lang w:eastAsia="nl-NL"/>
        </w:rPr>
        <w:br w:type="page"/>
      </w:r>
    </w:p>
    <w:p w:rsidR="00D10741" w:rsidRDefault="00D10741" w:rsidP="00D10741">
      <w:pPr>
        <w:rPr>
          <w:rFonts w:ascii="Calibri" w:eastAsia="Times New Roman" w:hAnsi="Calibri" w:cs="Calibri"/>
          <w:b/>
          <w:bCs/>
          <w:color w:val="000000"/>
          <w:lang w:eastAsia="nl-NL"/>
        </w:rPr>
      </w:pPr>
      <w:r w:rsidRPr="00661325">
        <w:rPr>
          <w:rFonts w:ascii="Calibri" w:eastAsia="Times New Roman" w:hAnsi="Calibri" w:cs="Calibri"/>
          <w:b/>
          <w:bCs/>
          <w:color w:val="000000"/>
          <w:lang w:eastAsia="nl-NL"/>
        </w:rPr>
        <w:lastRenderedPageBreak/>
        <w:t>SHH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2180"/>
        <w:gridCol w:w="514"/>
        <w:gridCol w:w="1406"/>
        <w:gridCol w:w="525"/>
        <w:gridCol w:w="1435"/>
        <w:gridCol w:w="744"/>
        <w:gridCol w:w="2036"/>
      </w:tblGrid>
      <w:tr w:rsidR="00D10741" w:rsidRPr="001F67AE" w:rsidTr="00CF4ACF">
        <w:trPr>
          <w:trHeight w:val="30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all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non-infants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all who received RTX + CTX</w:t>
            </w:r>
          </w:p>
        </w:tc>
      </w:tr>
      <w:tr w:rsidR="00D10741" w:rsidRPr="001F67AE" w:rsidTr="00CF4ACF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Prognostic factor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Histology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&lt; 0.001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&lt; 0.001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&lt; 0.001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Metastasis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MYCN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</w:t>
            </w:r>
            <w:r w:rsidRPr="001F67AE">
              <w:rPr>
                <w:rFonts w:ascii="Calibri" w:eastAsia="Times New Roman" w:hAnsi="Calibri" w:cs="Calibri"/>
                <w:color w:val="000000"/>
              </w:rPr>
              <w:t>mplification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&lt; 0.001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&lt; 0.001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 xml:space="preserve">3q gain 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10q loss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17p loss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D10741" w:rsidRPr="001F67AE" w:rsidTr="00CF4ACF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17q gain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</w:tbl>
    <w:p w:rsidR="00D10741" w:rsidRDefault="00D10741" w:rsidP="00D10741">
      <w:pPr>
        <w:rPr>
          <w:rFonts w:ascii="Calibri" w:eastAsia="Times New Roman" w:hAnsi="Calibri" w:cs="Calibri"/>
          <w:b/>
          <w:bCs/>
          <w:color w:val="000000"/>
          <w:lang w:eastAsia="nl-NL"/>
        </w:rPr>
      </w:pPr>
    </w:p>
    <w:p w:rsidR="00D10741" w:rsidRDefault="00D10741" w:rsidP="00D10741">
      <w:pPr>
        <w:rPr>
          <w:rFonts w:ascii="Calibri" w:eastAsia="Times New Roman" w:hAnsi="Calibri" w:cs="Calibri"/>
          <w:b/>
          <w:bCs/>
          <w:color w:val="000000"/>
          <w:lang w:eastAsia="nl-NL"/>
        </w:rPr>
      </w:pPr>
      <w:r w:rsidRPr="009D56C7">
        <w:rPr>
          <w:rFonts w:ascii="Calibri" w:eastAsia="Times New Roman" w:hAnsi="Calibri" w:cs="Calibri"/>
          <w:b/>
          <w:bCs/>
          <w:color w:val="000000"/>
          <w:lang w:eastAsia="nl-NL"/>
        </w:rPr>
        <w:t>Group 3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2180"/>
        <w:gridCol w:w="514"/>
        <w:gridCol w:w="1406"/>
        <w:gridCol w:w="525"/>
        <w:gridCol w:w="1435"/>
        <w:gridCol w:w="744"/>
        <w:gridCol w:w="2036"/>
      </w:tblGrid>
      <w:tr w:rsidR="00D10741" w:rsidRPr="001F67AE" w:rsidTr="00CF4ACF">
        <w:trPr>
          <w:trHeight w:val="30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All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non-infants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all who received RTX + CTX</w:t>
            </w:r>
          </w:p>
        </w:tc>
      </w:tr>
      <w:tr w:rsidR="00D10741" w:rsidRPr="001F67AE" w:rsidTr="00CF4ACF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Prognostic factor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Histology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Metastasis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MYC </w:t>
            </w:r>
            <w:r w:rsidRPr="001F67AE">
              <w:rPr>
                <w:rFonts w:ascii="Calibri" w:eastAsia="Times New Roman" w:hAnsi="Calibri" w:cs="Calibri"/>
                <w:color w:val="000000"/>
              </w:rPr>
              <w:t>amplification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 xml:space="preserve">3q gain 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10q loss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17p loss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17q gain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</w:tbl>
    <w:p w:rsidR="00D10741" w:rsidRDefault="00D10741" w:rsidP="00D10741">
      <w:pPr>
        <w:rPr>
          <w:rFonts w:ascii="Calibri" w:hAnsi="Calibri" w:cs="Calibri"/>
        </w:rPr>
      </w:pPr>
    </w:p>
    <w:p w:rsidR="00D10741" w:rsidRDefault="00D10741" w:rsidP="00D10741">
      <w:pPr>
        <w:rPr>
          <w:rFonts w:ascii="Calibri" w:hAnsi="Calibri" w:cs="Calibri"/>
        </w:rPr>
      </w:pPr>
    </w:p>
    <w:p w:rsidR="00D10741" w:rsidRDefault="00D10741" w:rsidP="00D10741">
      <w:pPr>
        <w:rPr>
          <w:rFonts w:ascii="Calibri" w:eastAsia="Times New Roman" w:hAnsi="Calibri" w:cs="Calibri"/>
          <w:b/>
          <w:bCs/>
          <w:color w:val="000000"/>
          <w:lang w:eastAsia="nl-NL"/>
        </w:rPr>
      </w:pPr>
      <w:r w:rsidRPr="009D56C7">
        <w:rPr>
          <w:rFonts w:ascii="Calibri" w:eastAsia="Times New Roman" w:hAnsi="Calibri" w:cs="Calibri"/>
          <w:b/>
          <w:bCs/>
          <w:color w:val="000000"/>
          <w:lang w:eastAsia="nl-NL"/>
        </w:rPr>
        <w:lastRenderedPageBreak/>
        <w:t>Group 4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2180"/>
        <w:gridCol w:w="661"/>
        <w:gridCol w:w="1259"/>
        <w:gridCol w:w="675"/>
        <w:gridCol w:w="1285"/>
        <w:gridCol w:w="744"/>
        <w:gridCol w:w="2036"/>
      </w:tblGrid>
      <w:tr w:rsidR="00D10741" w:rsidRPr="001F67AE" w:rsidTr="00CF4ACF">
        <w:trPr>
          <w:trHeight w:val="30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all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non-infants</w:t>
            </w:r>
          </w:p>
        </w:tc>
        <w:tc>
          <w:tcPr>
            <w:tcW w:w="27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color w:val="000000"/>
              </w:rPr>
              <w:t>all who received RTX + CTX</w:t>
            </w:r>
          </w:p>
        </w:tc>
      </w:tr>
      <w:tr w:rsidR="00D10741" w:rsidRPr="001F67AE" w:rsidTr="00CF4ACF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Prognostic factor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N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F67A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Histology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Metastasis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0.042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MYCN amplification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 xml:space="preserve">3q gain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ND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10q loss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  <w:tr w:rsidR="00D10741" w:rsidRPr="001F67AE" w:rsidTr="00CF4ACF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17p loss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</w:tr>
      <w:tr w:rsidR="00D10741" w:rsidRPr="001F67AE" w:rsidTr="00CF4ACF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17q gain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  <w:tc>
          <w:tcPr>
            <w:tcW w:w="7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10741" w:rsidRPr="001F67AE" w:rsidRDefault="00D10741" w:rsidP="00CF4AC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F67AE">
              <w:rPr>
                <w:rFonts w:ascii="Calibri" w:eastAsia="Times New Roman" w:hAnsi="Calibri" w:cs="Calibri"/>
                <w:color w:val="000000"/>
              </w:rPr>
              <w:t>NS</w:t>
            </w:r>
          </w:p>
        </w:tc>
      </w:tr>
    </w:tbl>
    <w:p w:rsidR="00D10741" w:rsidRDefault="00D10741" w:rsidP="00D10741">
      <w:pPr>
        <w:rPr>
          <w:rFonts w:ascii="Calibri" w:hAnsi="Calibri" w:cs="Calibri"/>
        </w:rPr>
      </w:pPr>
    </w:p>
    <w:p w:rsidR="00D10741" w:rsidRDefault="00D10741" w:rsidP="00D10741">
      <w:pPr>
        <w:rPr>
          <w:rFonts w:ascii="Calibri" w:hAnsi="Calibri" w:cs="Calibri"/>
        </w:rPr>
      </w:pPr>
    </w:p>
    <w:p w:rsidR="00D10741" w:rsidRDefault="00D10741" w:rsidP="00D10741">
      <w:pPr>
        <w:rPr>
          <w:rFonts w:ascii="Calibri" w:hAnsi="Calibri" w:cs="Calibri"/>
        </w:rPr>
      </w:pPr>
    </w:p>
    <w:p w:rsidR="00D10741" w:rsidRDefault="00D10741" w:rsidP="00D10741">
      <w:pPr>
        <w:rPr>
          <w:rFonts w:ascii="Calibri" w:hAnsi="Calibri" w:cs="Calibri"/>
        </w:rPr>
      </w:pPr>
    </w:p>
    <w:p w:rsidR="00D10741" w:rsidRDefault="00D10741" w:rsidP="00D10741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  <w:proofErr w:type="gramStart"/>
      <w:r w:rsidRPr="005813C5">
        <w:rPr>
          <w:rFonts w:ascii="Calibri" w:hAnsi="Calibri" w:cs="Calibri"/>
          <w:b/>
        </w:rPr>
        <w:lastRenderedPageBreak/>
        <w:t>Table S</w:t>
      </w:r>
      <w:r>
        <w:rPr>
          <w:rFonts w:ascii="Calibri" w:hAnsi="Calibri" w:cs="Calibri"/>
          <w:b/>
        </w:rPr>
        <w:t>3</w:t>
      </w:r>
      <w:r>
        <w:rPr>
          <w:rFonts w:ascii="Calibri" w:hAnsi="Calibri" w:cs="Calibri"/>
          <w:b/>
        </w:rPr>
        <w:tab/>
      </w:r>
      <w:r w:rsidRPr="00350CE8">
        <w:rPr>
          <w:rFonts w:ascii="Calibri" w:hAnsi="Calibri" w:cs="Calibri"/>
        </w:rPr>
        <w:t xml:space="preserve">Multivariate overall survival analyses </w:t>
      </w:r>
      <w:r>
        <w:rPr>
          <w:rFonts w:ascii="Calibri" w:hAnsi="Calibri" w:cs="Calibri"/>
        </w:rPr>
        <w:t>including only non-infants or only patients who received radiotherapy (RTX) and chemotherapy (CTX).</w:t>
      </w:r>
      <w:proofErr w:type="gramEnd"/>
    </w:p>
    <w:tbl>
      <w:tblPr>
        <w:tblW w:w="7485" w:type="dxa"/>
        <w:tblInd w:w="93" w:type="dxa"/>
        <w:tblLook w:val="04A0" w:firstRow="1" w:lastRow="0" w:firstColumn="1" w:lastColumn="0" w:noHBand="0" w:noVBand="1"/>
      </w:tblPr>
      <w:tblGrid>
        <w:gridCol w:w="3220"/>
        <w:gridCol w:w="845"/>
        <w:gridCol w:w="1170"/>
        <w:gridCol w:w="1080"/>
        <w:gridCol w:w="1170"/>
      </w:tblGrid>
      <w:tr w:rsidR="00D10741" w:rsidRPr="000E725E" w:rsidTr="00CF4ACF">
        <w:trPr>
          <w:trHeight w:val="37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All non-infants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41" w:rsidRPr="000E725E" w:rsidTr="00CF4ACF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41" w:rsidRPr="000E725E" w:rsidTr="00CF4ACF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Prognostic factor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RR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CI low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CI high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All non-infants (n= 159)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MYC(N) amplification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4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9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&lt;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001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3q gain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15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&lt;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001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17q gain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8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&lt;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001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15"/>
        </w:trPr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SHH medulloblastomas (n = 31)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MYCN amplification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4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9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040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3q gain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15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045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17p loss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8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028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15"/>
        </w:trPr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Group 4 medulloblastomas (n = 74)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17p loss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4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16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012</w:t>
            </w:r>
          </w:p>
        </w:tc>
      </w:tr>
      <w:tr w:rsidR="00D10741" w:rsidRPr="000E725E" w:rsidTr="00CF4ACF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EC6E91" w:rsidRDefault="00EC6E91">
      <w:r>
        <w:br w:type="page"/>
      </w:r>
    </w:p>
    <w:tbl>
      <w:tblPr>
        <w:tblW w:w="7485" w:type="dxa"/>
        <w:tblInd w:w="93" w:type="dxa"/>
        <w:tblLook w:val="04A0" w:firstRow="1" w:lastRow="0" w:firstColumn="1" w:lastColumn="0" w:noHBand="0" w:noVBand="1"/>
      </w:tblPr>
      <w:tblGrid>
        <w:gridCol w:w="3220"/>
        <w:gridCol w:w="960"/>
        <w:gridCol w:w="1055"/>
        <w:gridCol w:w="1080"/>
        <w:gridCol w:w="1170"/>
      </w:tblGrid>
      <w:tr w:rsidR="00D10741" w:rsidRPr="000E725E" w:rsidTr="00CF4ACF">
        <w:trPr>
          <w:trHeight w:val="375"/>
        </w:trPr>
        <w:tc>
          <w:tcPr>
            <w:tcW w:w="5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All patients who received RTX and CTX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41" w:rsidRPr="000E725E" w:rsidTr="00CF4ACF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10741" w:rsidRPr="000E725E" w:rsidTr="00CF4ACF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Prognostic factor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RR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CI low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CI high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 value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All patients (n= 128)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Histology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030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300" w:firstLine="66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LCA </w:t>
            </w:r>
            <w:proofErr w:type="spellStart"/>
            <w:r w:rsidRPr="000E725E">
              <w:rPr>
                <w:rFonts w:ascii="Calibri" w:eastAsia="Times New Roman" w:hAnsi="Calibri" w:cs="Calibri"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color w:val="000000"/>
              </w:rPr>
              <w:t xml:space="preserve"> classic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0E725E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0E725E">
              <w:rPr>
                <w:rFonts w:ascii="Calibri" w:eastAsia="Times New Roman" w:hAnsi="Calibri" w:cs="Calibri"/>
                <w:color w:val="000000"/>
              </w:rPr>
              <w:t>10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008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17q gain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0E725E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0E725E">
              <w:rPr>
                <w:rFonts w:ascii="Calibri" w:eastAsia="Times New Roman" w:hAnsi="Calibri" w:cs="Calibri"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002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15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SHH medulloblastomas (n = 31)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Histology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036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     Desmoplastic vs Classic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</w:t>
            </w: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     LCA </w:t>
            </w:r>
            <w:proofErr w:type="spellStart"/>
            <w:r w:rsidRPr="000E725E">
              <w:rPr>
                <w:rFonts w:ascii="Calibri" w:eastAsia="Times New Roman" w:hAnsi="Calibri" w:cs="Calibri"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color w:val="000000"/>
              </w:rPr>
              <w:t xml:space="preserve"> Classic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17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273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045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17p loss 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21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223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011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15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Group 4 medulloblastomas (n = 58)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725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D10741" w:rsidRPr="000E725E" w:rsidTr="00CF4ACF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17p loss </w:t>
            </w:r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yes </w:t>
            </w:r>
            <w:proofErr w:type="spellStart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>vs</w:t>
            </w:r>
            <w:proofErr w:type="spellEnd"/>
            <w:r w:rsidRPr="000E725E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0E725E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0E725E">
              <w:rPr>
                <w:rFonts w:ascii="Calibri" w:eastAsia="Times New Roman" w:hAnsi="Calibri" w:cs="Calibri"/>
                <w:color w:val="000000"/>
              </w:rPr>
              <w:t>11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 xml:space="preserve">   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0E725E">
              <w:rPr>
                <w:rFonts w:ascii="Calibri" w:eastAsia="Times New Roman" w:hAnsi="Calibri" w:cs="Calibri"/>
                <w:color w:val="000000"/>
              </w:rPr>
              <w:t>060</w:t>
            </w:r>
          </w:p>
        </w:tc>
      </w:tr>
      <w:tr w:rsidR="00D10741" w:rsidRPr="000E725E" w:rsidTr="00CF4ACF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10741" w:rsidRPr="000E725E" w:rsidRDefault="00D10741" w:rsidP="00CF4ACF">
            <w:pPr>
              <w:rPr>
                <w:rFonts w:ascii="Calibri" w:eastAsia="Times New Roman" w:hAnsi="Calibri" w:cs="Calibri"/>
                <w:color w:val="000000"/>
              </w:rPr>
            </w:pPr>
            <w:r w:rsidRPr="000E725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D10741" w:rsidRDefault="00D10741" w:rsidP="00D10741">
      <w:pPr>
        <w:rPr>
          <w:rFonts w:ascii="Calibri" w:hAnsi="Calibri" w:cs="Calibri"/>
          <w:lang w:val="en-GB"/>
        </w:rPr>
      </w:pPr>
    </w:p>
    <w:p w:rsidR="009463E2" w:rsidRDefault="009463E2"/>
    <w:p w:rsidR="00EC6E91" w:rsidRDefault="00EC6E91" w:rsidP="00342BC9">
      <w:pPr>
        <w:jc w:val="both"/>
        <w:rPr>
          <w:b/>
        </w:rPr>
      </w:pPr>
    </w:p>
    <w:p w:rsidR="00EC6E91" w:rsidRDefault="00EC6E91" w:rsidP="00342BC9">
      <w:pPr>
        <w:jc w:val="both"/>
        <w:rPr>
          <w:b/>
        </w:rPr>
      </w:pPr>
    </w:p>
    <w:p w:rsidR="00EC6E91" w:rsidRDefault="00EC6E91">
      <w:pPr>
        <w:rPr>
          <w:b/>
        </w:rPr>
      </w:pPr>
      <w:r>
        <w:rPr>
          <w:b/>
        </w:rPr>
        <w:br w:type="page"/>
      </w:r>
    </w:p>
    <w:p w:rsidR="00EC6E91" w:rsidRDefault="00EC6E91" w:rsidP="00342BC9">
      <w:pPr>
        <w:jc w:val="both"/>
        <w:rPr>
          <w:b/>
        </w:rPr>
      </w:pPr>
      <w:r>
        <w:rPr>
          <w:b/>
        </w:rPr>
        <w:lastRenderedPageBreak/>
        <w:t>Legends Supplementary Figures</w:t>
      </w:r>
    </w:p>
    <w:p w:rsidR="00342BC9" w:rsidRDefault="00342BC9" w:rsidP="00342BC9">
      <w:pPr>
        <w:jc w:val="both"/>
      </w:pPr>
      <w:bookmarkStart w:id="0" w:name="_GoBack"/>
      <w:bookmarkEnd w:id="0"/>
      <w:r>
        <w:rPr>
          <w:b/>
        </w:rPr>
        <w:t xml:space="preserve">Figure S1. </w:t>
      </w:r>
      <w:r>
        <w:t xml:space="preserve">Non-negative matrix factorization (NMF) analysis for all gene expression </w:t>
      </w:r>
      <w:proofErr w:type="spellStart"/>
      <w:r>
        <w:t>profilingseries</w:t>
      </w:r>
      <w:proofErr w:type="spellEnd"/>
      <w:r>
        <w:t xml:space="preserve"> used in the meta-analysis using the 500 most differentially expressed genes (by standard deviation) within each data set. Subgroup annotations are indicated at the bottom.</w:t>
      </w:r>
    </w:p>
    <w:p w:rsidR="00342BC9" w:rsidRDefault="00342BC9" w:rsidP="00342BC9">
      <w:pPr>
        <w:jc w:val="both"/>
      </w:pPr>
    </w:p>
    <w:p w:rsidR="00342BC9" w:rsidRDefault="00342BC9" w:rsidP="00342BC9">
      <w:pPr>
        <w:jc w:val="both"/>
      </w:pPr>
      <w:r w:rsidRPr="003566B8">
        <w:rPr>
          <w:b/>
        </w:rPr>
        <w:t xml:space="preserve">Figure S2. </w:t>
      </w:r>
      <w:r w:rsidRPr="00A71B24">
        <w:t>Demographic distribution</w:t>
      </w:r>
      <w:r>
        <w:t xml:space="preserve"> of</w:t>
      </w:r>
      <w:r w:rsidRPr="00A71B24">
        <w:t xml:space="preserve"> medulloblastoma subgroups</w:t>
      </w:r>
      <w:r>
        <w:t xml:space="preserve"> is compared between gene expression profiling (GEP) and tissue microarray (TMA) cohorts. Data are also shown for both cohorts combined and for all patients, for infants (aged &lt; 4 yrs), for children (4 - 16), and for adults (&gt;16). </w:t>
      </w:r>
      <w:r>
        <w:rPr>
          <w:b/>
        </w:rPr>
        <w:t>a</w:t>
      </w:r>
      <w:r w:rsidRPr="00541892">
        <w:rPr>
          <w:b/>
        </w:rPr>
        <w:t>.</w:t>
      </w:r>
      <w:r>
        <w:t xml:space="preserve"> Subgroup distribution shown as fractions in pie charts. </w:t>
      </w:r>
      <w:r>
        <w:rPr>
          <w:b/>
        </w:rPr>
        <w:t>b</w:t>
      </w:r>
      <w:r w:rsidRPr="00541892">
        <w:rPr>
          <w:b/>
        </w:rPr>
        <w:t>.</w:t>
      </w:r>
      <w:r>
        <w:t xml:space="preserve"> Subgroup distribution shown in absolute numbers. Numbers on the Y-axis indicate number of patients. </w:t>
      </w:r>
      <w:r>
        <w:rPr>
          <w:b/>
        </w:rPr>
        <w:t>c</w:t>
      </w:r>
      <w:r w:rsidRPr="00541892">
        <w:rPr>
          <w:b/>
        </w:rPr>
        <w:t>.</w:t>
      </w:r>
      <w:r>
        <w:t xml:space="preserve"> </w:t>
      </w:r>
      <w:proofErr w:type="gramStart"/>
      <w:r>
        <w:t>Male :</w:t>
      </w:r>
      <w:proofErr w:type="gramEnd"/>
      <w:r>
        <w:t xml:space="preserve"> female ratios. Males are indicated in blue, females in pink. </w:t>
      </w:r>
      <w:r>
        <w:rPr>
          <w:b/>
        </w:rPr>
        <w:t>d</w:t>
      </w:r>
      <w:r w:rsidRPr="00541892">
        <w:rPr>
          <w:b/>
        </w:rPr>
        <w:t>.</w:t>
      </w:r>
      <w:r>
        <w:t xml:space="preserve"> Distribution of </w:t>
      </w:r>
      <w:proofErr w:type="spellStart"/>
      <w:r>
        <w:t>histopathological</w:t>
      </w:r>
      <w:proofErr w:type="spellEnd"/>
      <w:r>
        <w:t xml:space="preserve"> </w:t>
      </w:r>
      <w:proofErr w:type="spellStart"/>
      <w:r>
        <w:t>subytpes</w:t>
      </w:r>
      <w:proofErr w:type="spellEnd"/>
      <w:r>
        <w:t xml:space="preserve">. Classic histology is indicated in dark red, desmoplastic/extensive nodular histology in </w:t>
      </w:r>
      <w:proofErr w:type="gramStart"/>
      <w:r>
        <w:t>grey,</w:t>
      </w:r>
      <w:proofErr w:type="gramEnd"/>
      <w:r>
        <w:t xml:space="preserve"> and large cell/anaplastic histology in orange. </w:t>
      </w:r>
      <w:r>
        <w:rPr>
          <w:b/>
        </w:rPr>
        <w:t>e</w:t>
      </w:r>
      <w:r w:rsidRPr="00541892">
        <w:rPr>
          <w:b/>
        </w:rPr>
        <w:t>.</w:t>
      </w:r>
      <w:r>
        <w:rPr>
          <w:b/>
        </w:rPr>
        <w:t xml:space="preserve"> </w:t>
      </w:r>
      <w:r>
        <w:t>Frequencies of metastasized (green) and non-metastasized (light green) cases are shown for all four subgroups.</w:t>
      </w:r>
    </w:p>
    <w:p w:rsidR="00342BC9" w:rsidRDefault="00342BC9" w:rsidP="00342BC9">
      <w:pPr>
        <w:jc w:val="both"/>
      </w:pPr>
    </w:p>
    <w:p w:rsidR="00342BC9" w:rsidRPr="001E6525" w:rsidRDefault="00342BC9" w:rsidP="00342BC9">
      <w:pPr>
        <w:jc w:val="both"/>
      </w:pPr>
      <w:r w:rsidRPr="00541892">
        <w:rPr>
          <w:b/>
        </w:rPr>
        <w:t xml:space="preserve">Figure S3. </w:t>
      </w:r>
      <w:proofErr w:type="gramStart"/>
      <w:r>
        <w:t>Overall survival (OS) analyses of molecular, clinical, and histological subgroups within the tissue microarray cohort using Kaplan Meier plots and log rank.</w:t>
      </w:r>
      <w:proofErr w:type="gramEnd"/>
      <w:r>
        <w:t xml:space="preserve"> </w:t>
      </w:r>
      <w:r>
        <w:rPr>
          <w:b/>
        </w:rPr>
        <w:t>a</w:t>
      </w:r>
      <w:r w:rsidRPr="00C17742">
        <w:rPr>
          <w:b/>
        </w:rPr>
        <w:t xml:space="preserve"> – </w:t>
      </w:r>
      <w:r>
        <w:rPr>
          <w:b/>
        </w:rPr>
        <w:t>d</w:t>
      </w:r>
      <w:r w:rsidRPr="00C17742">
        <w:rPr>
          <w:b/>
        </w:rPr>
        <w:t>.</w:t>
      </w:r>
      <w:r>
        <w:t xml:space="preserve"> OS analysis of molecular subgroups among all patients (a), infants (b), children (c), and adults (d). </w:t>
      </w:r>
      <w:proofErr w:type="gramStart"/>
      <w:r>
        <w:rPr>
          <w:b/>
        </w:rPr>
        <w:t>e</w:t>
      </w:r>
      <w:proofErr w:type="gramEnd"/>
      <w:r>
        <w:rPr>
          <w:b/>
        </w:rPr>
        <w:t xml:space="preserve"> – h</w:t>
      </w:r>
      <w:r w:rsidRPr="00C17742">
        <w:rPr>
          <w:b/>
        </w:rPr>
        <w:t>.</w:t>
      </w:r>
      <w:r>
        <w:t xml:space="preserve"> OS analysis of metastatic positive (M1 – M4, indicated as M+) versus metastatic negative (M0) cases, plotted for all patients (e), infants (f), children (g), and adults (h).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– l</w:t>
      </w:r>
      <w:r w:rsidRPr="00C17742">
        <w:rPr>
          <w:b/>
        </w:rPr>
        <w:t>.</w:t>
      </w:r>
      <w:r>
        <w:t xml:space="preserve"> OS analyses of classic, </w:t>
      </w:r>
      <w:proofErr w:type="spellStart"/>
      <w:r>
        <w:t>desmoplastic</w:t>
      </w:r>
      <w:proofErr w:type="spellEnd"/>
      <w:r>
        <w:t xml:space="preserve"> and LCA histological subgroups among all patients (</w:t>
      </w:r>
      <w:proofErr w:type="spellStart"/>
      <w:r>
        <w:t>i</w:t>
      </w:r>
      <w:proofErr w:type="spellEnd"/>
      <w:r>
        <w:t xml:space="preserve">), infants (j), children (k), and adults (l). </w:t>
      </w:r>
      <w:proofErr w:type="gramStart"/>
      <w:r>
        <w:rPr>
          <w:b/>
        </w:rPr>
        <w:t>m</w:t>
      </w:r>
      <w:proofErr w:type="gramEnd"/>
      <w:r>
        <w:rPr>
          <w:b/>
        </w:rPr>
        <w:t xml:space="preserve"> – p</w:t>
      </w:r>
      <w:r w:rsidRPr="00C304F1">
        <w:rPr>
          <w:b/>
        </w:rPr>
        <w:t>.</w:t>
      </w:r>
      <w:r>
        <w:t xml:space="preserve"> OS analysis of metastasized (M1 – M4, indicated as M+) versus non-metastasized (M0) cases, plotted for each molecular subgroup: WNT (m), SHH (n), Group 3 (o), and Group 4 (p). </w:t>
      </w:r>
      <w:proofErr w:type="gramStart"/>
      <w:r>
        <w:rPr>
          <w:b/>
        </w:rPr>
        <w:t>q</w:t>
      </w:r>
      <w:proofErr w:type="gramEnd"/>
      <w:r>
        <w:rPr>
          <w:b/>
        </w:rPr>
        <w:t xml:space="preserve"> – t</w:t>
      </w:r>
      <w:r w:rsidRPr="00C304F1">
        <w:rPr>
          <w:b/>
        </w:rPr>
        <w:t>.</w:t>
      </w:r>
      <w:r>
        <w:t xml:space="preserve"> OS analyses of classic, </w:t>
      </w:r>
      <w:proofErr w:type="spellStart"/>
      <w:r>
        <w:t>desmoplastic</w:t>
      </w:r>
      <w:proofErr w:type="spellEnd"/>
      <w:r>
        <w:t xml:space="preserve"> and LCA histological subgroups plotted for each molecular subgroup: WNT (q), SHH (r), Group 3 (s), and Group 4 (t). Numbers on the Y-axis indicate the fraction of surviving patients. Numbers on the X-axis indicate the follow-up time in months. NS = not significant.</w:t>
      </w:r>
    </w:p>
    <w:p w:rsidR="00342BC9" w:rsidRDefault="00342BC9" w:rsidP="00342BC9"/>
    <w:p w:rsidR="00342BC9" w:rsidRDefault="00342BC9"/>
    <w:sectPr w:rsidR="00342BC9" w:rsidSect="00946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41"/>
    <w:rsid w:val="00000A46"/>
    <w:rsid w:val="00000CDC"/>
    <w:rsid w:val="00003315"/>
    <w:rsid w:val="00003B12"/>
    <w:rsid w:val="00004864"/>
    <w:rsid w:val="0000707D"/>
    <w:rsid w:val="000105E7"/>
    <w:rsid w:val="00010B69"/>
    <w:rsid w:val="00014FDA"/>
    <w:rsid w:val="00020C0D"/>
    <w:rsid w:val="00020D84"/>
    <w:rsid w:val="00022413"/>
    <w:rsid w:val="0002445B"/>
    <w:rsid w:val="00025104"/>
    <w:rsid w:val="00026C3B"/>
    <w:rsid w:val="00027DD2"/>
    <w:rsid w:val="00035E89"/>
    <w:rsid w:val="00035FA4"/>
    <w:rsid w:val="0003648F"/>
    <w:rsid w:val="00040458"/>
    <w:rsid w:val="00042E56"/>
    <w:rsid w:val="000469B5"/>
    <w:rsid w:val="000553CF"/>
    <w:rsid w:val="00055480"/>
    <w:rsid w:val="00055E25"/>
    <w:rsid w:val="00071C42"/>
    <w:rsid w:val="00073242"/>
    <w:rsid w:val="00073D2B"/>
    <w:rsid w:val="00074CA0"/>
    <w:rsid w:val="00074D41"/>
    <w:rsid w:val="0007564F"/>
    <w:rsid w:val="00075BDD"/>
    <w:rsid w:val="000763B2"/>
    <w:rsid w:val="00081287"/>
    <w:rsid w:val="00081404"/>
    <w:rsid w:val="000815AB"/>
    <w:rsid w:val="00083CD8"/>
    <w:rsid w:val="00091C5E"/>
    <w:rsid w:val="000966EA"/>
    <w:rsid w:val="000A092A"/>
    <w:rsid w:val="000A1770"/>
    <w:rsid w:val="000A1952"/>
    <w:rsid w:val="000A496B"/>
    <w:rsid w:val="000B03DE"/>
    <w:rsid w:val="000B1537"/>
    <w:rsid w:val="000B7F64"/>
    <w:rsid w:val="000C7433"/>
    <w:rsid w:val="000D01AF"/>
    <w:rsid w:val="000D02B1"/>
    <w:rsid w:val="000D56F2"/>
    <w:rsid w:val="000E09E6"/>
    <w:rsid w:val="000E0F59"/>
    <w:rsid w:val="000E1BBC"/>
    <w:rsid w:val="000E2185"/>
    <w:rsid w:val="000E3E66"/>
    <w:rsid w:val="000E4FB2"/>
    <w:rsid w:val="000E6CA4"/>
    <w:rsid w:val="000E7C76"/>
    <w:rsid w:val="000F5677"/>
    <w:rsid w:val="000F5702"/>
    <w:rsid w:val="00101194"/>
    <w:rsid w:val="001131BB"/>
    <w:rsid w:val="001163C8"/>
    <w:rsid w:val="00116800"/>
    <w:rsid w:val="00123462"/>
    <w:rsid w:val="0013182E"/>
    <w:rsid w:val="00132F89"/>
    <w:rsid w:val="00132FF8"/>
    <w:rsid w:val="00133EC2"/>
    <w:rsid w:val="001368DB"/>
    <w:rsid w:val="00136FCF"/>
    <w:rsid w:val="00142961"/>
    <w:rsid w:val="00142B26"/>
    <w:rsid w:val="00143625"/>
    <w:rsid w:val="001512B8"/>
    <w:rsid w:val="001519A3"/>
    <w:rsid w:val="001531DB"/>
    <w:rsid w:val="00156295"/>
    <w:rsid w:val="001574A9"/>
    <w:rsid w:val="00162FB4"/>
    <w:rsid w:val="001631BC"/>
    <w:rsid w:val="00171929"/>
    <w:rsid w:val="00171F4B"/>
    <w:rsid w:val="00176077"/>
    <w:rsid w:val="0018079A"/>
    <w:rsid w:val="001809DF"/>
    <w:rsid w:val="0018194B"/>
    <w:rsid w:val="00182EFF"/>
    <w:rsid w:val="0018312E"/>
    <w:rsid w:val="001843CF"/>
    <w:rsid w:val="0018549E"/>
    <w:rsid w:val="00185FF7"/>
    <w:rsid w:val="0018635D"/>
    <w:rsid w:val="00187E13"/>
    <w:rsid w:val="00195192"/>
    <w:rsid w:val="0019540D"/>
    <w:rsid w:val="00195A66"/>
    <w:rsid w:val="0019727E"/>
    <w:rsid w:val="001978EA"/>
    <w:rsid w:val="001A60B4"/>
    <w:rsid w:val="001B0113"/>
    <w:rsid w:val="001B0450"/>
    <w:rsid w:val="001B6104"/>
    <w:rsid w:val="001B6206"/>
    <w:rsid w:val="001B7C17"/>
    <w:rsid w:val="001C0967"/>
    <w:rsid w:val="001C1C02"/>
    <w:rsid w:val="001C3720"/>
    <w:rsid w:val="001C3F46"/>
    <w:rsid w:val="001C5C76"/>
    <w:rsid w:val="001C6396"/>
    <w:rsid w:val="001C6C9D"/>
    <w:rsid w:val="001C7EF3"/>
    <w:rsid w:val="001D107D"/>
    <w:rsid w:val="001D3D6B"/>
    <w:rsid w:val="001D3E33"/>
    <w:rsid w:val="001D44AA"/>
    <w:rsid w:val="001D5FFA"/>
    <w:rsid w:val="001E07C6"/>
    <w:rsid w:val="001E13F2"/>
    <w:rsid w:val="001E1E49"/>
    <w:rsid w:val="001E29A7"/>
    <w:rsid w:val="001E3B93"/>
    <w:rsid w:val="001E4E99"/>
    <w:rsid w:val="001E574C"/>
    <w:rsid w:val="001F3133"/>
    <w:rsid w:val="001F565F"/>
    <w:rsid w:val="001F62A7"/>
    <w:rsid w:val="00202096"/>
    <w:rsid w:val="00205964"/>
    <w:rsid w:val="00205C9C"/>
    <w:rsid w:val="00207211"/>
    <w:rsid w:val="00210B2A"/>
    <w:rsid w:val="00213973"/>
    <w:rsid w:val="00214DAB"/>
    <w:rsid w:val="00216192"/>
    <w:rsid w:val="002162B8"/>
    <w:rsid w:val="002206CE"/>
    <w:rsid w:val="002257C9"/>
    <w:rsid w:val="00226741"/>
    <w:rsid w:val="00231C89"/>
    <w:rsid w:val="00232B16"/>
    <w:rsid w:val="00233BBE"/>
    <w:rsid w:val="00235033"/>
    <w:rsid w:val="00242306"/>
    <w:rsid w:val="00245770"/>
    <w:rsid w:val="00245B79"/>
    <w:rsid w:val="00247950"/>
    <w:rsid w:val="00247C4B"/>
    <w:rsid w:val="002526D5"/>
    <w:rsid w:val="00252DD0"/>
    <w:rsid w:val="00260B3E"/>
    <w:rsid w:val="00261394"/>
    <w:rsid w:val="002627EC"/>
    <w:rsid w:val="00263CBA"/>
    <w:rsid w:val="0026428A"/>
    <w:rsid w:val="00266BCE"/>
    <w:rsid w:val="00266ED6"/>
    <w:rsid w:val="00270F43"/>
    <w:rsid w:val="002715C1"/>
    <w:rsid w:val="00273076"/>
    <w:rsid w:val="00273C57"/>
    <w:rsid w:val="0027688F"/>
    <w:rsid w:val="0027733F"/>
    <w:rsid w:val="00277359"/>
    <w:rsid w:val="002816FA"/>
    <w:rsid w:val="002817D9"/>
    <w:rsid w:val="00281BB1"/>
    <w:rsid w:val="0028779C"/>
    <w:rsid w:val="00294990"/>
    <w:rsid w:val="00295788"/>
    <w:rsid w:val="002A20F8"/>
    <w:rsid w:val="002A3725"/>
    <w:rsid w:val="002B743F"/>
    <w:rsid w:val="002C6E67"/>
    <w:rsid w:val="002D35F7"/>
    <w:rsid w:val="002E01D4"/>
    <w:rsid w:val="002E0C3C"/>
    <w:rsid w:val="002E2458"/>
    <w:rsid w:val="002E2470"/>
    <w:rsid w:val="002E3DF3"/>
    <w:rsid w:val="002E7D58"/>
    <w:rsid w:val="002F0903"/>
    <w:rsid w:val="002F32EF"/>
    <w:rsid w:val="002F346E"/>
    <w:rsid w:val="002F5B34"/>
    <w:rsid w:val="003015CC"/>
    <w:rsid w:val="00306722"/>
    <w:rsid w:val="003209DA"/>
    <w:rsid w:val="00325154"/>
    <w:rsid w:val="00327AF7"/>
    <w:rsid w:val="00330B64"/>
    <w:rsid w:val="00331B26"/>
    <w:rsid w:val="00333297"/>
    <w:rsid w:val="003342D9"/>
    <w:rsid w:val="0033581D"/>
    <w:rsid w:val="00336183"/>
    <w:rsid w:val="0033623E"/>
    <w:rsid w:val="0034155D"/>
    <w:rsid w:val="00342BC9"/>
    <w:rsid w:val="00342DFE"/>
    <w:rsid w:val="0035037D"/>
    <w:rsid w:val="0035131B"/>
    <w:rsid w:val="00356A03"/>
    <w:rsid w:val="0035725B"/>
    <w:rsid w:val="00361564"/>
    <w:rsid w:val="00361887"/>
    <w:rsid w:val="003618AA"/>
    <w:rsid w:val="003667EE"/>
    <w:rsid w:val="00373292"/>
    <w:rsid w:val="0037505F"/>
    <w:rsid w:val="00375747"/>
    <w:rsid w:val="00375CF9"/>
    <w:rsid w:val="0037671B"/>
    <w:rsid w:val="0037768C"/>
    <w:rsid w:val="003800B2"/>
    <w:rsid w:val="003853DA"/>
    <w:rsid w:val="00386A06"/>
    <w:rsid w:val="00387FF9"/>
    <w:rsid w:val="00390D48"/>
    <w:rsid w:val="003A0D54"/>
    <w:rsid w:val="003A27D7"/>
    <w:rsid w:val="003A4E78"/>
    <w:rsid w:val="003A6A25"/>
    <w:rsid w:val="003B02BF"/>
    <w:rsid w:val="003B3382"/>
    <w:rsid w:val="003B59EB"/>
    <w:rsid w:val="003B6263"/>
    <w:rsid w:val="003C014D"/>
    <w:rsid w:val="003C1018"/>
    <w:rsid w:val="003C27FC"/>
    <w:rsid w:val="003C3866"/>
    <w:rsid w:val="003C3892"/>
    <w:rsid w:val="003C51CF"/>
    <w:rsid w:val="003C52D9"/>
    <w:rsid w:val="003D01EA"/>
    <w:rsid w:val="003D027B"/>
    <w:rsid w:val="003D1AC9"/>
    <w:rsid w:val="003D3497"/>
    <w:rsid w:val="003D3E79"/>
    <w:rsid w:val="003D3E9E"/>
    <w:rsid w:val="003E37EB"/>
    <w:rsid w:val="003E4063"/>
    <w:rsid w:val="003E4E2B"/>
    <w:rsid w:val="003E72D8"/>
    <w:rsid w:val="003F1D4D"/>
    <w:rsid w:val="003F1E2C"/>
    <w:rsid w:val="003F28E1"/>
    <w:rsid w:val="003F47CA"/>
    <w:rsid w:val="003F6E60"/>
    <w:rsid w:val="003F79D9"/>
    <w:rsid w:val="003F7D97"/>
    <w:rsid w:val="00405844"/>
    <w:rsid w:val="004069CF"/>
    <w:rsid w:val="00407730"/>
    <w:rsid w:val="00412238"/>
    <w:rsid w:val="00420AA5"/>
    <w:rsid w:val="004223BE"/>
    <w:rsid w:val="00424027"/>
    <w:rsid w:val="004318F3"/>
    <w:rsid w:val="00435FB8"/>
    <w:rsid w:val="00440EAE"/>
    <w:rsid w:val="00441A24"/>
    <w:rsid w:val="00447419"/>
    <w:rsid w:val="00447547"/>
    <w:rsid w:val="00450D0C"/>
    <w:rsid w:val="00451D9B"/>
    <w:rsid w:val="0045212C"/>
    <w:rsid w:val="0045273C"/>
    <w:rsid w:val="00452F68"/>
    <w:rsid w:val="00460552"/>
    <w:rsid w:val="004614C3"/>
    <w:rsid w:val="00466B51"/>
    <w:rsid w:val="004707E7"/>
    <w:rsid w:val="0047207B"/>
    <w:rsid w:val="00474D1F"/>
    <w:rsid w:val="004754B5"/>
    <w:rsid w:val="00475AD8"/>
    <w:rsid w:val="004807AB"/>
    <w:rsid w:val="00480B46"/>
    <w:rsid w:val="0048341B"/>
    <w:rsid w:val="0048345D"/>
    <w:rsid w:val="00485BB1"/>
    <w:rsid w:val="00486A84"/>
    <w:rsid w:val="00490610"/>
    <w:rsid w:val="004920F0"/>
    <w:rsid w:val="00492430"/>
    <w:rsid w:val="00493AD7"/>
    <w:rsid w:val="004945C3"/>
    <w:rsid w:val="00496CB4"/>
    <w:rsid w:val="004A046A"/>
    <w:rsid w:val="004A128A"/>
    <w:rsid w:val="004A383D"/>
    <w:rsid w:val="004A3A64"/>
    <w:rsid w:val="004A5225"/>
    <w:rsid w:val="004A6FCB"/>
    <w:rsid w:val="004B1F60"/>
    <w:rsid w:val="004B4F56"/>
    <w:rsid w:val="004B5F16"/>
    <w:rsid w:val="004C2EE1"/>
    <w:rsid w:val="004D1ED2"/>
    <w:rsid w:val="004D27B4"/>
    <w:rsid w:val="004D3AF8"/>
    <w:rsid w:val="004D3D95"/>
    <w:rsid w:val="004D40DD"/>
    <w:rsid w:val="004D7338"/>
    <w:rsid w:val="004E060F"/>
    <w:rsid w:val="004E1597"/>
    <w:rsid w:val="004E2FCF"/>
    <w:rsid w:val="004E665A"/>
    <w:rsid w:val="004F07DE"/>
    <w:rsid w:val="004F09CC"/>
    <w:rsid w:val="004F2A2F"/>
    <w:rsid w:val="004F2EEE"/>
    <w:rsid w:val="004F32B5"/>
    <w:rsid w:val="00510BA6"/>
    <w:rsid w:val="00524CB6"/>
    <w:rsid w:val="00527A6D"/>
    <w:rsid w:val="005318D1"/>
    <w:rsid w:val="005319D7"/>
    <w:rsid w:val="00532E2B"/>
    <w:rsid w:val="005330C6"/>
    <w:rsid w:val="0053375F"/>
    <w:rsid w:val="005337B8"/>
    <w:rsid w:val="00536838"/>
    <w:rsid w:val="00537007"/>
    <w:rsid w:val="00542F4C"/>
    <w:rsid w:val="005435EC"/>
    <w:rsid w:val="00545B2D"/>
    <w:rsid w:val="005471FA"/>
    <w:rsid w:val="00557E8F"/>
    <w:rsid w:val="00561576"/>
    <w:rsid w:val="00562F91"/>
    <w:rsid w:val="005636F5"/>
    <w:rsid w:val="00563F2D"/>
    <w:rsid w:val="0056412E"/>
    <w:rsid w:val="005641BC"/>
    <w:rsid w:val="00570B83"/>
    <w:rsid w:val="00571519"/>
    <w:rsid w:val="00572C50"/>
    <w:rsid w:val="005734E0"/>
    <w:rsid w:val="0057416A"/>
    <w:rsid w:val="00583611"/>
    <w:rsid w:val="0058556A"/>
    <w:rsid w:val="005966C9"/>
    <w:rsid w:val="0059736A"/>
    <w:rsid w:val="005A16FF"/>
    <w:rsid w:val="005A1F4D"/>
    <w:rsid w:val="005A30DC"/>
    <w:rsid w:val="005A493D"/>
    <w:rsid w:val="005B285C"/>
    <w:rsid w:val="005B5700"/>
    <w:rsid w:val="005B6427"/>
    <w:rsid w:val="005B7384"/>
    <w:rsid w:val="005C19AD"/>
    <w:rsid w:val="005C2021"/>
    <w:rsid w:val="005C28EA"/>
    <w:rsid w:val="005C5816"/>
    <w:rsid w:val="005D07A3"/>
    <w:rsid w:val="005E1900"/>
    <w:rsid w:val="005E3F58"/>
    <w:rsid w:val="005F6E28"/>
    <w:rsid w:val="006043BA"/>
    <w:rsid w:val="00605E9A"/>
    <w:rsid w:val="00606AE5"/>
    <w:rsid w:val="0062031E"/>
    <w:rsid w:val="00620DFD"/>
    <w:rsid w:val="00621AFF"/>
    <w:rsid w:val="006244BD"/>
    <w:rsid w:val="00625C15"/>
    <w:rsid w:val="00630CBB"/>
    <w:rsid w:val="00632D29"/>
    <w:rsid w:val="00635678"/>
    <w:rsid w:val="00636974"/>
    <w:rsid w:val="00636A71"/>
    <w:rsid w:val="00641FF0"/>
    <w:rsid w:val="00642B02"/>
    <w:rsid w:val="00642DB6"/>
    <w:rsid w:val="00645CD0"/>
    <w:rsid w:val="00646287"/>
    <w:rsid w:val="00652CF2"/>
    <w:rsid w:val="006535C4"/>
    <w:rsid w:val="00653727"/>
    <w:rsid w:val="00654A21"/>
    <w:rsid w:val="006604C4"/>
    <w:rsid w:val="0066286F"/>
    <w:rsid w:val="006649C5"/>
    <w:rsid w:val="00665CE6"/>
    <w:rsid w:val="00666343"/>
    <w:rsid w:val="00670FAE"/>
    <w:rsid w:val="0067230E"/>
    <w:rsid w:val="00673B4B"/>
    <w:rsid w:val="00682863"/>
    <w:rsid w:val="006843BB"/>
    <w:rsid w:val="006956BE"/>
    <w:rsid w:val="00697E74"/>
    <w:rsid w:val="006A2F38"/>
    <w:rsid w:val="006A633E"/>
    <w:rsid w:val="006A7686"/>
    <w:rsid w:val="006B047E"/>
    <w:rsid w:val="006B2F82"/>
    <w:rsid w:val="006B35BF"/>
    <w:rsid w:val="006B391B"/>
    <w:rsid w:val="006B5D94"/>
    <w:rsid w:val="006C471A"/>
    <w:rsid w:val="006C4944"/>
    <w:rsid w:val="006C50B6"/>
    <w:rsid w:val="006C74F2"/>
    <w:rsid w:val="006D0344"/>
    <w:rsid w:val="006D1BCB"/>
    <w:rsid w:val="006D52AA"/>
    <w:rsid w:val="006D6CE9"/>
    <w:rsid w:val="006D7777"/>
    <w:rsid w:val="006E0CC7"/>
    <w:rsid w:val="006E1737"/>
    <w:rsid w:val="006E7CDC"/>
    <w:rsid w:val="006F22F2"/>
    <w:rsid w:val="006F519C"/>
    <w:rsid w:val="006F6A30"/>
    <w:rsid w:val="00702487"/>
    <w:rsid w:val="00704AF8"/>
    <w:rsid w:val="007052C2"/>
    <w:rsid w:val="00705443"/>
    <w:rsid w:val="0070634F"/>
    <w:rsid w:val="00707295"/>
    <w:rsid w:val="00707768"/>
    <w:rsid w:val="00710B22"/>
    <w:rsid w:val="00712B5E"/>
    <w:rsid w:val="00713150"/>
    <w:rsid w:val="007148DB"/>
    <w:rsid w:val="0071623D"/>
    <w:rsid w:val="00727009"/>
    <w:rsid w:val="00731BF1"/>
    <w:rsid w:val="00733320"/>
    <w:rsid w:val="00733B29"/>
    <w:rsid w:val="00736ED1"/>
    <w:rsid w:val="00745500"/>
    <w:rsid w:val="00751F34"/>
    <w:rsid w:val="00752373"/>
    <w:rsid w:val="00754D3F"/>
    <w:rsid w:val="00762CEE"/>
    <w:rsid w:val="00765354"/>
    <w:rsid w:val="00766127"/>
    <w:rsid w:val="00766DE3"/>
    <w:rsid w:val="00767F70"/>
    <w:rsid w:val="007716C2"/>
    <w:rsid w:val="0077276B"/>
    <w:rsid w:val="00777D7F"/>
    <w:rsid w:val="00783DD6"/>
    <w:rsid w:val="00787D39"/>
    <w:rsid w:val="0079124C"/>
    <w:rsid w:val="007A0C2A"/>
    <w:rsid w:val="007A48C7"/>
    <w:rsid w:val="007B540E"/>
    <w:rsid w:val="007B6ED9"/>
    <w:rsid w:val="007C2A5D"/>
    <w:rsid w:val="007C43AF"/>
    <w:rsid w:val="007C5CF6"/>
    <w:rsid w:val="007C7005"/>
    <w:rsid w:val="007C7231"/>
    <w:rsid w:val="007C7AF2"/>
    <w:rsid w:val="007D50F0"/>
    <w:rsid w:val="007D69CB"/>
    <w:rsid w:val="007E2DAD"/>
    <w:rsid w:val="007E3F9E"/>
    <w:rsid w:val="007F24FC"/>
    <w:rsid w:val="007F54CA"/>
    <w:rsid w:val="00800C72"/>
    <w:rsid w:val="00803694"/>
    <w:rsid w:val="0080581E"/>
    <w:rsid w:val="00805EF3"/>
    <w:rsid w:val="0080749C"/>
    <w:rsid w:val="0081018E"/>
    <w:rsid w:val="00810F57"/>
    <w:rsid w:val="00812B69"/>
    <w:rsid w:val="00816062"/>
    <w:rsid w:val="0082483E"/>
    <w:rsid w:val="00825AA7"/>
    <w:rsid w:val="00825DF5"/>
    <w:rsid w:val="00826A22"/>
    <w:rsid w:val="00827AF3"/>
    <w:rsid w:val="00831418"/>
    <w:rsid w:val="008345F1"/>
    <w:rsid w:val="0084309E"/>
    <w:rsid w:val="0084531D"/>
    <w:rsid w:val="00847330"/>
    <w:rsid w:val="00847DC8"/>
    <w:rsid w:val="00853E5E"/>
    <w:rsid w:val="00857FA4"/>
    <w:rsid w:val="008600BA"/>
    <w:rsid w:val="008617E3"/>
    <w:rsid w:val="00863082"/>
    <w:rsid w:val="008633B0"/>
    <w:rsid w:val="00864A2C"/>
    <w:rsid w:val="00864DD2"/>
    <w:rsid w:val="00866999"/>
    <w:rsid w:val="00870532"/>
    <w:rsid w:val="00871EEF"/>
    <w:rsid w:val="0087229B"/>
    <w:rsid w:val="00873BB0"/>
    <w:rsid w:val="0087607F"/>
    <w:rsid w:val="008777E3"/>
    <w:rsid w:val="008817DA"/>
    <w:rsid w:val="00886122"/>
    <w:rsid w:val="0088617D"/>
    <w:rsid w:val="008906D2"/>
    <w:rsid w:val="0089194B"/>
    <w:rsid w:val="00893006"/>
    <w:rsid w:val="00897454"/>
    <w:rsid w:val="008A54B2"/>
    <w:rsid w:val="008B1294"/>
    <w:rsid w:val="008C3719"/>
    <w:rsid w:val="008C3722"/>
    <w:rsid w:val="008C4E21"/>
    <w:rsid w:val="008C5345"/>
    <w:rsid w:val="008C664D"/>
    <w:rsid w:val="008D0B7E"/>
    <w:rsid w:val="008D1F55"/>
    <w:rsid w:val="008D3BE1"/>
    <w:rsid w:val="008D4A52"/>
    <w:rsid w:val="008D5CE3"/>
    <w:rsid w:val="008D78FE"/>
    <w:rsid w:val="008E0E19"/>
    <w:rsid w:val="008E1221"/>
    <w:rsid w:val="008F0233"/>
    <w:rsid w:val="008F02B2"/>
    <w:rsid w:val="008F2B6C"/>
    <w:rsid w:val="008F2C51"/>
    <w:rsid w:val="008F64A4"/>
    <w:rsid w:val="00901BC0"/>
    <w:rsid w:val="00901BC2"/>
    <w:rsid w:val="009032D9"/>
    <w:rsid w:val="009056D5"/>
    <w:rsid w:val="00906EC1"/>
    <w:rsid w:val="0090796B"/>
    <w:rsid w:val="00910951"/>
    <w:rsid w:val="00911D14"/>
    <w:rsid w:val="009124F9"/>
    <w:rsid w:val="009173F7"/>
    <w:rsid w:val="009202AA"/>
    <w:rsid w:val="00922275"/>
    <w:rsid w:val="00923E96"/>
    <w:rsid w:val="00924508"/>
    <w:rsid w:val="00925E3D"/>
    <w:rsid w:val="009262F8"/>
    <w:rsid w:val="0093010E"/>
    <w:rsid w:val="00930CC9"/>
    <w:rsid w:val="00935EBE"/>
    <w:rsid w:val="0094148F"/>
    <w:rsid w:val="00942F22"/>
    <w:rsid w:val="00944E56"/>
    <w:rsid w:val="009463E2"/>
    <w:rsid w:val="00952A0A"/>
    <w:rsid w:val="0095708D"/>
    <w:rsid w:val="009610E9"/>
    <w:rsid w:val="0096326B"/>
    <w:rsid w:val="00972BBB"/>
    <w:rsid w:val="00974049"/>
    <w:rsid w:val="00980A3D"/>
    <w:rsid w:val="00980B71"/>
    <w:rsid w:val="00980D22"/>
    <w:rsid w:val="009810E4"/>
    <w:rsid w:val="009967F4"/>
    <w:rsid w:val="00996FCC"/>
    <w:rsid w:val="00997976"/>
    <w:rsid w:val="009A07C2"/>
    <w:rsid w:val="009A405F"/>
    <w:rsid w:val="009A4D1B"/>
    <w:rsid w:val="009A7869"/>
    <w:rsid w:val="009B04DD"/>
    <w:rsid w:val="009B2733"/>
    <w:rsid w:val="009B3585"/>
    <w:rsid w:val="009B7AD5"/>
    <w:rsid w:val="009C1B9C"/>
    <w:rsid w:val="009C30E2"/>
    <w:rsid w:val="009C3DDC"/>
    <w:rsid w:val="009C4DA3"/>
    <w:rsid w:val="009C6076"/>
    <w:rsid w:val="009C7B48"/>
    <w:rsid w:val="009D5FED"/>
    <w:rsid w:val="009D72CB"/>
    <w:rsid w:val="009D740F"/>
    <w:rsid w:val="009E0668"/>
    <w:rsid w:val="009E1678"/>
    <w:rsid w:val="009E31C0"/>
    <w:rsid w:val="009E43C5"/>
    <w:rsid w:val="009E58F0"/>
    <w:rsid w:val="009E658A"/>
    <w:rsid w:val="009E6BB0"/>
    <w:rsid w:val="009E7595"/>
    <w:rsid w:val="009E7BC2"/>
    <w:rsid w:val="009F182B"/>
    <w:rsid w:val="00A005E7"/>
    <w:rsid w:val="00A03E72"/>
    <w:rsid w:val="00A1732E"/>
    <w:rsid w:val="00A214B4"/>
    <w:rsid w:val="00A232D6"/>
    <w:rsid w:val="00A30266"/>
    <w:rsid w:val="00A30C52"/>
    <w:rsid w:val="00A31A54"/>
    <w:rsid w:val="00A3744C"/>
    <w:rsid w:val="00A40F2B"/>
    <w:rsid w:val="00A412B3"/>
    <w:rsid w:val="00A429E8"/>
    <w:rsid w:val="00A42F4C"/>
    <w:rsid w:val="00A44509"/>
    <w:rsid w:val="00A5087E"/>
    <w:rsid w:val="00A52835"/>
    <w:rsid w:val="00A5757A"/>
    <w:rsid w:val="00A606DE"/>
    <w:rsid w:val="00A6404B"/>
    <w:rsid w:val="00A641A9"/>
    <w:rsid w:val="00A655F1"/>
    <w:rsid w:val="00A71E14"/>
    <w:rsid w:val="00A74EB0"/>
    <w:rsid w:val="00A75640"/>
    <w:rsid w:val="00A8057C"/>
    <w:rsid w:val="00A83FFB"/>
    <w:rsid w:val="00A84265"/>
    <w:rsid w:val="00A84408"/>
    <w:rsid w:val="00A85958"/>
    <w:rsid w:val="00A92188"/>
    <w:rsid w:val="00A92AE1"/>
    <w:rsid w:val="00A92EE2"/>
    <w:rsid w:val="00A965D4"/>
    <w:rsid w:val="00AA0A61"/>
    <w:rsid w:val="00AA4E63"/>
    <w:rsid w:val="00AB0E6D"/>
    <w:rsid w:val="00AC0C29"/>
    <w:rsid w:val="00AC1233"/>
    <w:rsid w:val="00AC2723"/>
    <w:rsid w:val="00AC489B"/>
    <w:rsid w:val="00AC6137"/>
    <w:rsid w:val="00AC6CFA"/>
    <w:rsid w:val="00AC71AA"/>
    <w:rsid w:val="00AD2F98"/>
    <w:rsid w:val="00AD3126"/>
    <w:rsid w:val="00AD350B"/>
    <w:rsid w:val="00AD3D43"/>
    <w:rsid w:val="00AD68D0"/>
    <w:rsid w:val="00AD771B"/>
    <w:rsid w:val="00AE01BF"/>
    <w:rsid w:val="00AE0283"/>
    <w:rsid w:val="00AE0C30"/>
    <w:rsid w:val="00AE2F13"/>
    <w:rsid w:val="00AF0967"/>
    <w:rsid w:val="00AF3BBF"/>
    <w:rsid w:val="00AF3EE0"/>
    <w:rsid w:val="00AF54AC"/>
    <w:rsid w:val="00AF5994"/>
    <w:rsid w:val="00B00B66"/>
    <w:rsid w:val="00B053BA"/>
    <w:rsid w:val="00B064A7"/>
    <w:rsid w:val="00B064B9"/>
    <w:rsid w:val="00B068EA"/>
    <w:rsid w:val="00B06F9E"/>
    <w:rsid w:val="00B14279"/>
    <w:rsid w:val="00B14331"/>
    <w:rsid w:val="00B14853"/>
    <w:rsid w:val="00B200FD"/>
    <w:rsid w:val="00B21D60"/>
    <w:rsid w:val="00B22F46"/>
    <w:rsid w:val="00B23178"/>
    <w:rsid w:val="00B26103"/>
    <w:rsid w:val="00B272F4"/>
    <w:rsid w:val="00B32E67"/>
    <w:rsid w:val="00B34B3F"/>
    <w:rsid w:val="00B37ECB"/>
    <w:rsid w:val="00B408F2"/>
    <w:rsid w:val="00B44636"/>
    <w:rsid w:val="00B459F9"/>
    <w:rsid w:val="00B50DDB"/>
    <w:rsid w:val="00B51262"/>
    <w:rsid w:val="00B53AEA"/>
    <w:rsid w:val="00B57BF8"/>
    <w:rsid w:val="00B61664"/>
    <w:rsid w:val="00B61F7B"/>
    <w:rsid w:val="00B63825"/>
    <w:rsid w:val="00B6502C"/>
    <w:rsid w:val="00B65C81"/>
    <w:rsid w:val="00B67450"/>
    <w:rsid w:val="00B7137A"/>
    <w:rsid w:val="00B741FB"/>
    <w:rsid w:val="00B75EB9"/>
    <w:rsid w:val="00B77C17"/>
    <w:rsid w:val="00B8205F"/>
    <w:rsid w:val="00B82676"/>
    <w:rsid w:val="00B846A0"/>
    <w:rsid w:val="00B850F3"/>
    <w:rsid w:val="00B9041F"/>
    <w:rsid w:val="00B9240B"/>
    <w:rsid w:val="00B93EAB"/>
    <w:rsid w:val="00B95E80"/>
    <w:rsid w:val="00B97CDE"/>
    <w:rsid w:val="00BA1BE9"/>
    <w:rsid w:val="00BA2907"/>
    <w:rsid w:val="00BA2C85"/>
    <w:rsid w:val="00BA3ED5"/>
    <w:rsid w:val="00BA50EF"/>
    <w:rsid w:val="00BA7990"/>
    <w:rsid w:val="00BB15BF"/>
    <w:rsid w:val="00BB2549"/>
    <w:rsid w:val="00BC1A8B"/>
    <w:rsid w:val="00BD18F2"/>
    <w:rsid w:val="00BE1149"/>
    <w:rsid w:val="00BE1344"/>
    <w:rsid w:val="00BE433B"/>
    <w:rsid w:val="00BE62F6"/>
    <w:rsid w:val="00BE78F6"/>
    <w:rsid w:val="00BF23E2"/>
    <w:rsid w:val="00BF2AD9"/>
    <w:rsid w:val="00BF6E15"/>
    <w:rsid w:val="00BF7678"/>
    <w:rsid w:val="00C02A92"/>
    <w:rsid w:val="00C05067"/>
    <w:rsid w:val="00C066FA"/>
    <w:rsid w:val="00C06B97"/>
    <w:rsid w:val="00C115EF"/>
    <w:rsid w:val="00C143DB"/>
    <w:rsid w:val="00C16EC4"/>
    <w:rsid w:val="00C209B5"/>
    <w:rsid w:val="00C2141F"/>
    <w:rsid w:val="00C26BA2"/>
    <w:rsid w:val="00C31005"/>
    <w:rsid w:val="00C318F8"/>
    <w:rsid w:val="00C319C1"/>
    <w:rsid w:val="00C33A8C"/>
    <w:rsid w:val="00C34007"/>
    <w:rsid w:val="00C36FBF"/>
    <w:rsid w:val="00C41FDA"/>
    <w:rsid w:val="00C4322A"/>
    <w:rsid w:val="00C4742D"/>
    <w:rsid w:val="00C47D12"/>
    <w:rsid w:val="00C50F84"/>
    <w:rsid w:val="00C51C18"/>
    <w:rsid w:val="00C51DC7"/>
    <w:rsid w:val="00C54403"/>
    <w:rsid w:val="00C55AFE"/>
    <w:rsid w:val="00C567C8"/>
    <w:rsid w:val="00C651BB"/>
    <w:rsid w:val="00C710DB"/>
    <w:rsid w:val="00C74E0B"/>
    <w:rsid w:val="00C751E4"/>
    <w:rsid w:val="00C82798"/>
    <w:rsid w:val="00C90570"/>
    <w:rsid w:val="00C95B51"/>
    <w:rsid w:val="00CA1240"/>
    <w:rsid w:val="00CA35FB"/>
    <w:rsid w:val="00CA5AC6"/>
    <w:rsid w:val="00CA71A1"/>
    <w:rsid w:val="00CB1E19"/>
    <w:rsid w:val="00CB1E24"/>
    <w:rsid w:val="00CB3CBB"/>
    <w:rsid w:val="00CB47AD"/>
    <w:rsid w:val="00CB6123"/>
    <w:rsid w:val="00CB76BE"/>
    <w:rsid w:val="00CC0F9D"/>
    <w:rsid w:val="00CC2276"/>
    <w:rsid w:val="00CC5944"/>
    <w:rsid w:val="00CD1E7D"/>
    <w:rsid w:val="00CD299B"/>
    <w:rsid w:val="00CE16E8"/>
    <w:rsid w:val="00CE3D70"/>
    <w:rsid w:val="00CE6410"/>
    <w:rsid w:val="00CF042A"/>
    <w:rsid w:val="00CF28E2"/>
    <w:rsid w:val="00CF4543"/>
    <w:rsid w:val="00CF7227"/>
    <w:rsid w:val="00D04439"/>
    <w:rsid w:val="00D062DF"/>
    <w:rsid w:val="00D10741"/>
    <w:rsid w:val="00D1290C"/>
    <w:rsid w:val="00D13063"/>
    <w:rsid w:val="00D15F6A"/>
    <w:rsid w:val="00D16985"/>
    <w:rsid w:val="00D17DCB"/>
    <w:rsid w:val="00D208B8"/>
    <w:rsid w:val="00D23B8B"/>
    <w:rsid w:val="00D26691"/>
    <w:rsid w:val="00D3092B"/>
    <w:rsid w:val="00D3364D"/>
    <w:rsid w:val="00D336EF"/>
    <w:rsid w:val="00D34546"/>
    <w:rsid w:val="00D36000"/>
    <w:rsid w:val="00D36CC5"/>
    <w:rsid w:val="00D37635"/>
    <w:rsid w:val="00D378C0"/>
    <w:rsid w:val="00D41311"/>
    <w:rsid w:val="00D43B7E"/>
    <w:rsid w:val="00D4576F"/>
    <w:rsid w:val="00D51E2C"/>
    <w:rsid w:val="00D51F7E"/>
    <w:rsid w:val="00D5244A"/>
    <w:rsid w:val="00D570B2"/>
    <w:rsid w:val="00D63847"/>
    <w:rsid w:val="00D65BFC"/>
    <w:rsid w:val="00D67962"/>
    <w:rsid w:val="00D70FC5"/>
    <w:rsid w:val="00D73B44"/>
    <w:rsid w:val="00D802FD"/>
    <w:rsid w:val="00D81AD2"/>
    <w:rsid w:val="00D82E8C"/>
    <w:rsid w:val="00D87C10"/>
    <w:rsid w:val="00DA4614"/>
    <w:rsid w:val="00DA6ECD"/>
    <w:rsid w:val="00DA772E"/>
    <w:rsid w:val="00DA7BA7"/>
    <w:rsid w:val="00DB16EA"/>
    <w:rsid w:val="00DB5D6E"/>
    <w:rsid w:val="00DC05F7"/>
    <w:rsid w:val="00DC439A"/>
    <w:rsid w:val="00DC4966"/>
    <w:rsid w:val="00DD3203"/>
    <w:rsid w:val="00DE5920"/>
    <w:rsid w:val="00DE5A64"/>
    <w:rsid w:val="00DE7780"/>
    <w:rsid w:val="00DF3332"/>
    <w:rsid w:val="00DF76DE"/>
    <w:rsid w:val="00E0068D"/>
    <w:rsid w:val="00E01FAF"/>
    <w:rsid w:val="00E028C7"/>
    <w:rsid w:val="00E05394"/>
    <w:rsid w:val="00E07B5E"/>
    <w:rsid w:val="00E108B7"/>
    <w:rsid w:val="00E15EE0"/>
    <w:rsid w:val="00E16074"/>
    <w:rsid w:val="00E21C29"/>
    <w:rsid w:val="00E25323"/>
    <w:rsid w:val="00E2744F"/>
    <w:rsid w:val="00E327E7"/>
    <w:rsid w:val="00E413DE"/>
    <w:rsid w:val="00E41D2A"/>
    <w:rsid w:val="00E422A6"/>
    <w:rsid w:val="00E423C2"/>
    <w:rsid w:val="00E4472C"/>
    <w:rsid w:val="00E45959"/>
    <w:rsid w:val="00E53275"/>
    <w:rsid w:val="00E536F6"/>
    <w:rsid w:val="00E553D4"/>
    <w:rsid w:val="00E61676"/>
    <w:rsid w:val="00E62E71"/>
    <w:rsid w:val="00E63B3C"/>
    <w:rsid w:val="00E70770"/>
    <w:rsid w:val="00E70D0F"/>
    <w:rsid w:val="00E74D97"/>
    <w:rsid w:val="00E75AD1"/>
    <w:rsid w:val="00E77183"/>
    <w:rsid w:val="00E80256"/>
    <w:rsid w:val="00E80BDE"/>
    <w:rsid w:val="00E82FA6"/>
    <w:rsid w:val="00E833FC"/>
    <w:rsid w:val="00E9274F"/>
    <w:rsid w:val="00EA07B9"/>
    <w:rsid w:val="00EA0FA6"/>
    <w:rsid w:val="00EA1372"/>
    <w:rsid w:val="00EA707C"/>
    <w:rsid w:val="00EB01EE"/>
    <w:rsid w:val="00EB5B27"/>
    <w:rsid w:val="00EB7936"/>
    <w:rsid w:val="00EC0AB1"/>
    <w:rsid w:val="00EC0B50"/>
    <w:rsid w:val="00EC1A60"/>
    <w:rsid w:val="00EC1BB1"/>
    <w:rsid w:val="00EC68E7"/>
    <w:rsid w:val="00EC6BC6"/>
    <w:rsid w:val="00EC6E91"/>
    <w:rsid w:val="00EC704B"/>
    <w:rsid w:val="00ED17D1"/>
    <w:rsid w:val="00ED1F35"/>
    <w:rsid w:val="00ED671A"/>
    <w:rsid w:val="00EE16C8"/>
    <w:rsid w:val="00EE3379"/>
    <w:rsid w:val="00EE64FF"/>
    <w:rsid w:val="00EF4B97"/>
    <w:rsid w:val="00EF53A2"/>
    <w:rsid w:val="00EF56E9"/>
    <w:rsid w:val="00EF73CB"/>
    <w:rsid w:val="00F042FA"/>
    <w:rsid w:val="00F05382"/>
    <w:rsid w:val="00F06564"/>
    <w:rsid w:val="00F12854"/>
    <w:rsid w:val="00F14A50"/>
    <w:rsid w:val="00F16784"/>
    <w:rsid w:val="00F3102C"/>
    <w:rsid w:val="00F3288D"/>
    <w:rsid w:val="00F32DD3"/>
    <w:rsid w:val="00F35A42"/>
    <w:rsid w:val="00F3699B"/>
    <w:rsid w:val="00F43796"/>
    <w:rsid w:val="00F44A74"/>
    <w:rsid w:val="00F45BE8"/>
    <w:rsid w:val="00F465B1"/>
    <w:rsid w:val="00F46ACE"/>
    <w:rsid w:val="00F47458"/>
    <w:rsid w:val="00F47CB6"/>
    <w:rsid w:val="00F50A28"/>
    <w:rsid w:val="00F50B41"/>
    <w:rsid w:val="00F513C2"/>
    <w:rsid w:val="00F53AAC"/>
    <w:rsid w:val="00F559B1"/>
    <w:rsid w:val="00F6483A"/>
    <w:rsid w:val="00F70129"/>
    <w:rsid w:val="00F723DC"/>
    <w:rsid w:val="00F72C83"/>
    <w:rsid w:val="00F87967"/>
    <w:rsid w:val="00F90FE5"/>
    <w:rsid w:val="00F91655"/>
    <w:rsid w:val="00F92A38"/>
    <w:rsid w:val="00F94229"/>
    <w:rsid w:val="00FA12BA"/>
    <w:rsid w:val="00FA7511"/>
    <w:rsid w:val="00FA7822"/>
    <w:rsid w:val="00FB23AF"/>
    <w:rsid w:val="00FB264F"/>
    <w:rsid w:val="00FB3619"/>
    <w:rsid w:val="00FB7C8B"/>
    <w:rsid w:val="00FC6FB8"/>
    <w:rsid w:val="00FD6543"/>
    <w:rsid w:val="00FD660F"/>
    <w:rsid w:val="00FE013E"/>
    <w:rsid w:val="00FE03FA"/>
    <w:rsid w:val="00FE32BA"/>
    <w:rsid w:val="00FE337D"/>
    <w:rsid w:val="00FE4180"/>
    <w:rsid w:val="00FE711E"/>
    <w:rsid w:val="00FF16AB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0004687</dc:creator>
  <cp:lastModifiedBy>Kool, Marcel</cp:lastModifiedBy>
  <cp:revision>2</cp:revision>
  <dcterms:created xsi:type="dcterms:W3CDTF">2012-02-14T16:59:00Z</dcterms:created>
  <dcterms:modified xsi:type="dcterms:W3CDTF">2012-02-14T16:59:00Z</dcterms:modified>
</cp:coreProperties>
</file>