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F19" w:rsidRDefault="00662F19" w:rsidP="00AD11A8">
      <w:pPr>
        <w:spacing w:line="480" w:lineRule="auto"/>
        <w:jc w:val="center"/>
        <w:rPr>
          <w:rFonts w:ascii="Times New Roman" w:hAnsi="Times New Roman" w:cs="Times New Roman"/>
          <w:b/>
          <w:bCs/>
        </w:rPr>
      </w:pPr>
      <w:r>
        <w:rPr>
          <w:rFonts w:ascii="Times New Roman" w:hAnsi="Times New Roman" w:cs="Times New Roman"/>
          <w:b/>
          <w:bCs/>
        </w:rPr>
        <w:t>SUPPLEMENTARY INFORMATION</w:t>
      </w:r>
    </w:p>
    <w:p w:rsidR="00662F19" w:rsidRDefault="00662F19" w:rsidP="00AD11A8">
      <w:pPr>
        <w:spacing w:line="480" w:lineRule="auto"/>
        <w:jc w:val="center"/>
        <w:rPr>
          <w:rFonts w:ascii="Times New Roman" w:hAnsi="Times New Roman" w:cs="Times New Roman"/>
          <w:b/>
          <w:bCs/>
        </w:rPr>
      </w:pPr>
    </w:p>
    <w:p w:rsidR="00662F19" w:rsidRPr="00AD11A8" w:rsidRDefault="00662F19" w:rsidP="00EF77A6">
      <w:pPr>
        <w:spacing w:line="480" w:lineRule="auto"/>
        <w:rPr>
          <w:rFonts w:ascii="Times New Roman" w:hAnsi="Times New Roman" w:cs="Times New Roman"/>
          <w:b/>
          <w:bCs/>
        </w:rPr>
      </w:pPr>
      <w:r w:rsidRPr="00AD11A8">
        <w:rPr>
          <w:rFonts w:ascii="Times New Roman" w:hAnsi="Times New Roman" w:cs="Times New Roman"/>
          <w:b/>
          <w:bCs/>
        </w:rPr>
        <w:t>Peripheral administration of tau aggregates triggers intracerebral tauopathy in transgenic mice</w:t>
      </w:r>
    </w:p>
    <w:p w:rsidR="00662F19" w:rsidRPr="00AD11A8" w:rsidRDefault="00662F19" w:rsidP="00EF77A6">
      <w:pPr>
        <w:spacing w:line="480" w:lineRule="auto"/>
        <w:rPr>
          <w:rFonts w:ascii="Times New Roman" w:hAnsi="Times New Roman" w:cs="Times New Roman"/>
          <w:b/>
          <w:bCs/>
        </w:rPr>
      </w:pPr>
    </w:p>
    <w:p w:rsidR="00662F19" w:rsidRPr="00AD11A8" w:rsidRDefault="00662F19" w:rsidP="00EF77A6">
      <w:pPr>
        <w:spacing w:line="360" w:lineRule="auto"/>
        <w:jc w:val="both"/>
        <w:rPr>
          <w:rFonts w:ascii="Times New Roman" w:hAnsi="Times New Roman" w:cs="Times New Roman"/>
          <w:vertAlign w:val="superscript"/>
        </w:rPr>
      </w:pPr>
      <w:r w:rsidRPr="00AD11A8">
        <w:rPr>
          <w:rFonts w:ascii="Times New Roman" w:hAnsi="Times New Roman" w:cs="Times New Roman"/>
          <w:lang w:val="en-US"/>
        </w:rPr>
        <w:t xml:space="preserve">Florence Clavaguera </w:t>
      </w:r>
      <w:r w:rsidRPr="00AD11A8">
        <w:rPr>
          <w:rFonts w:ascii="Times New Roman" w:hAnsi="Times New Roman" w:cs="Times New Roman"/>
          <w:vertAlign w:val="superscript"/>
          <w:lang w:val="en-US"/>
        </w:rPr>
        <w:t>1</w:t>
      </w:r>
      <w:r w:rsidRPr="00AD11A8">
        <w:rPr>
          <w:rFonts w:ascii="Times New Roman" w:hAnsi="Times New Roman" w:cs="Times New Roman"/>
          <w:lang w:val="en-US"/>
        </w:rPr>
        <w:t xml:space="preserve">, Jürgen Hench </w:t>
      </w:r>
      <w:r w:rsidRPr="00AD11A8">
        <w:rPr>
          <w:rFonts w:ascii="Times New Roman" w:hAnsi="Times New Roman" w:cs="Times New Roman"/>
          <w:vertAlign w:val="superscript"/>
          <w:lang w:val="en-US"/>
        </w:rPr>
        <w:t>1</w:t>
      </w:r>
      <w:r w:rsidRPr="00AD11A8">
        <w:rPr>
          <w:rFonts w:ascii="Times New Roman" w:hAnsi="Times New Roman" w:cs="Times New Roman"/>
          <w:lang w:val="en-US"/>
        </w:rPr>
        <w:t>, Isabelle Lavenir</w:t>
      </w:r>
      <w:r w:rsidRPr="00AD11A8">
        <w:rPr>
          <w:rFonts w:ascii="Times New Roman" w:hAnsi="Times New Roman" w:cs="Times New Roman"/>
        </w:rPr>
        <w:t xml:space="preserve"> </w:t>
      </w:r>
      <w:r w:rsidRPr="00AD11A8">
        <w:rPr>
          <w:rFonts w:ascii="Times New Roman" w:hAnsi="Times New Roman" w:cs="Times New Roman"/>
          <w:vertAlign w:val="superscript"/>
        </w:rPr>
        <w:t>2</w:t>
      </w:r>
      <w:r w:rsidRPr="00AD11A8">
        <w:rPr>
          <w:rFonts w:ascii="Times New Roman" w:hAnsi="Times New Roman" w:cs="Times New Roman"/>
        </w:rPr>
        <w:t xml:space="preserve">, Gabriel Schweighauser </w:t>
      </w:r>
      <w:r w:rsidRPr="00AD11A8">
        <w:rPr>
          <w:rFonts w:ascii="Times New Roman" w:hAnsi="Times New Roman" w:cs="Times New Roman"/>
          <w:vertAlign w:val="superscript"/>
          <w:lang w:val="en-US"/>
        </w:rPr>
        <w:t>1</w:t>
      </w:r>
      <w:r w:rsidRPr="00AD11A8">
        <w:rPr>
          <w:rFonts w:ascii="Times New Roman" w:hAnsi="Times New Roman" w:cs="Times New Roman"/>
        </w:rPr>
        <w:t xml:space="preserve">, Stephan Frank </w:t>
      </w:r>
      <w:r w:rsidRPr="00AD11A8">
        <w:rPr>
          <w:rFonts w:ascii="Times New Roman" w:hAnsi="Times New Roman" w:cs="Times New Roman"/>
          <w:vertAlign w:val="superscript"/>
          <w:lang w:val="en-US"/>
        </w:rPr>
        <w:t>1</w:t>
      </w:r>
      <w:r w:rsidRPr="00AD11A8">
        <w:rPr>
          <w:rFonts w:ascii="Times New Roman" w:hAnsi="Times New Roman" w:cs="Times New Roman"/>
        </w:rPr>
        <w:t xml:space="preserve">, Michel Goedert </w:t>
      </w:r>
      <w:r w:rsidRPr="00AD11A8">
        <w:rPr>
          <w:rFonts w:ascii="Times New Roman" w:hAnsi="Times New Roman" w:cs="Times New Roman"/>
          <w:vertAlign w:val="superscript"/>
        </w:rPr>
        <w:t>2,a,b</w:t>
      </w:r>
      <w:r w:rsidRPr="00AD11A8">
        <w:rPr>
          <w:rFonts w:ascii="Times New Roman" w:hAnsi="Times New Roman" w:cs="Times New Roman"/>
        </w:rPr>
        <w:t xml:space="preserve">, Markus Tolnay </w:t>
      </w:r>
      <w:r w:rsidRPr="00AD11A8">
        <w:rPr>
          <w:rFonts w:ascii="Times New Roman" w:hAnsi="Times New Roman" w:cs="Times New Roman"/>
          <w:vertAlign w:val="superscript"/>
        </w:rPr>
        <w:t>1,a,b</w:t>
      </w:r>
    </w:p>
    <w:p w:rsidR="00662F19" w:rsidRDefault="00662F19" w:rsidP="00444880">
      <w:pPr>
        <w:spacing w:line="360" w:lineRule="auto"/>
        <w:jc w:val="both"/>
        <w:rPr>
          <w:rFonts w:ascii="Times New Roman" w:hAnsi="Times New Roman" w:cs="Times New Roman"/>
          <w:vertAlign w:val="superscript"/>
        </w:rPr>
      </w:pPr>
    </w:p>
    <w:p w:rsidR="00662F19" w:rsidRDefault="00662F19" w:rsidP="00444880">
      <w:pPr>
        <w:spacing w:line="360" w:lineRule="auto"/>
        <w:jc w:val="both"/>
        <w:rPr>
          <w:rFonts w:ascii="Times New Roman" w:hAnsi="Times New Roman" w:cs="Times New Roman"/>
          <w:vertAlign w:val="superscript"/>
        </w:rPr>
      </w:pPr>
    </w:p>
    <w:p w:rsidR="00662F19" w:rsidRPr="005E3D4E" w:rsidRDefault="00662F19" w:rsidP="00444880">
      <w:pPr>
        <w:spacing w:line="360" w:lineRule="auto"/>
        <w:jc w:val="both"/>
        <w:rPr>
          <w:rFonts w:ascii="Times New Roman" w:hAnsi="Times New Roman" w:cs="Times New Roman"/>
          <w:vertAlign w:val="superscript"/>
        </w:rPr>
      </w:pPr>
    </w:p>
    <w:p w:rsidR="00662F19" w:rsidRPr="005E3D4E" w:rsidRDefault="00662F19" w:rsidP="00444880">
      <w:pPr>
        <w:spacing w:line="360" w:lineRule="auto"/>
        <w:jc w:val="both"/>
        <w:rPr>
          <w:rFonts w:ascii="Times New Roman" w:hAnsi="Times New Roman" w:cs="Times New Roman"/>
          <w:lang w:val="en-US"/>
        </w:rPr>
      </w:pPr>
      <w:r w:rsidRPr="005E3D4E">
        <w:rPr>
          <w:rFonts w:ascii="Times New Roman" w:hAnsi="Times New Roman" w:cs="Times New Roman"/>
          <w:vertAlign w:val="superscript"/>
          <w:lang w:val="en-US"/>
        </w:rPr>
        <w:t>1</w:t>
      </w:r>
      <w:r w:rsidRPr="005E3D4E">
        <w:rPr>
          <w:rFonts w:ascii="Times New Roman" w:hAnsi="Times New Roman" w:cs="Times New Roman"/>
          <w:lang w:val="en-US"/>
        </w:rPr>
        <w:t xml:space="preserve"> </w:t>
      </w:r>
      <w:r w:rsidRPr="005E3D4E">
        <w:rPr>
          <w:rFonts w:ascii="Times New Roman" w:hAnsi="Times New Roman" w:cs="Times New Roman"/>
        </w:rPr>
        <w:t>Department of Neuropathology, Institute of Pathology, University Hospital, 4031 Basel, Switzerland</w:t>
      </w:r>
    </w:p>
    <w:p w:rsidR="00662F19" w:rsidRPr="005E3D4E" w:rsidRDefault="00662F19" w:rsidP="00444880">
      <w:pPr>
        <w:widowControl w:val="0"/>
        <w:autoSpaceDE w:val="0"/>
        <w:autoSpaceDN w:val="0"/>
        <w:adjustRightInd w:val="0"/>
        <w:spacing w:line="360" w:lineRule="auto"/>
        <w:rPr>
          <w:rFonts w:ascii="Times New Roman" w:hAnsi="Times New Roman" w:cs="Times New Roman"/>
        </w:rPr>
      </w:pPr>
      <w:r w:rsidRPr="005E3D4E">
        <w:rPr>
          <w:rFonts w:ascii="Times New Roman" w:hAnsi="Times New Roman" w:cs="Times New Roman"/>
          <w:vertAlign w:val="superscript"/>
          <w:lang w:val="en-US"/>
        </w:rPr>
        <w:t>2</w:t>
      </w:r>
      <w:r w:rsidRPr="005E3D4E">
        <w:rPr>
          <w:rFonts w:ascii="Times New Roman" w:hAnsi="Times New Roman" w:cs="Times New Roman"/>
          <w:lang w:val="en-US"/>
        </w:rPr>
        <w:t xml:space="preserve"> </w:t>
      </w:r>
      <w:r w:rsidRPr="00714690">
        <w:rPr>
          <w:rFonts w:ascii="Times New Roman" w:hAnsi="Times New Roman" w:cs="Times New Roman"/>
          <w:sz w:val="9"/>
          <w:szCs w:val="9"/>
          <w:lang w:val="en-US"/>
        </w:rPr>
        <w:t>c</w:t>
      </w:r>
      <w:r w:rsidRPr="00714690">
        <w:rPr>
          <w:rFonts w:ascii="Times New Roman" w:hAnsi="Times New Roman" w:cs="Times New Roman"/>
          <w:lang w:val="en-US"/>
        </w:rPr>
        <w:t>Medical Research Council Laboratory of Molecular Biology, Cambridge CB2 0QH, United Kingdom</w:t>
      </w:r>
    </w:p>
    <w:p w:rsidR="00662F19" w:rsidRPr="005E3D4E" w:rsidRDefault="00662F19" w:rsidP="00444880">
      <w:pPr>
        <w:widowControl w:val="0"/>
        <w:autoSpaceDE w:val="0"/>
        <w:autoSpaceDN w:val="0"/>
        <w:adjustRightInd w:val="0"/>
        <w:spacing w:line="480" w:lineRule="auto"/>
        <w:rPr>
          <w:rFonts w:ascii="Times New Roman" w:hAnsi="Times New Roman" w:cs="Times New Roman"/>
        </w:rPr>
      </w:pPr>
    </w:p>
    <w:p w:rsidR="00662F19" w:rsidRPr="00714690" w:rsidRDefault="00662F19" w:rsidP="00444880">
      <w:pPr>
        <w:widowControl w:val="0"/>
        <w:autoSpaceDE w:val="0"/>
        <w:autoSpaceDN w:val="0"/>
        <w:adjustRightInd w:val="0"/>
        <w:spacing w:after="0" w:line="480" w:lineRule="auto"/>
        <w:rPr>
          <w:rFonts w:ascii="Times New Roman" w:hAnsi="Times New Roman" w:cs="Times New Roman"/>
        </w:rPr>
      </w:pPr>
      <w:r w:rsidRPr="00714690">
        <w:rPr>
          <w:rFonts w:ascii="Times New Roman" w:hAnsi="Times New Roman" w:cs="Times New Roman"/>
          <w:vertAlign w:val="superscript"/>
        </w:rPr>
        <w:t>a</w:t>
      </w:r>
      <w:r w:rsidRPr="00714690">
        <w:rPr>
          <w:rFonts w:ascii="Times New Roman" w:hAnsi="Times New Roman" w:cs="Times New Roman"/>
        </w:rPr>
        <w:t xml:space="preserve"> M.G. and M.T. contributed equally to this work.</w:t>
      </w:r>
    </w:p>
    <w:p w:rsidR="00662F19" w:rsidRPr="00714690" w:rsidRDefault="00662F19" w:rsidP="00444880">
      <w:pPr>
        <w:widowControl w:val="0"/>
        <w:autoSpaceDE w:val="0"/>
        <w:autoSpaceDN w:val="0"/>
        <w:adjustRightInd w:val="0"/>
        <w:spacing w:after="0" w:line="480" w:lineRule="auto"/>
        <w:rPr>
          <w:rFonts w:ascii="Times New Roman" w:hAnsi="Times New Roman" w:cs="Times New Roman"/>
        </w:rPr>
      </w:pPr>
      <w:r w:rsidRPr="00714690">
        <w:rPr>
          <w:rFonts w:ascii="Times New Roman" w:hAnsi="Times New Roman" w:cs="Times New Roman"/>
          <w:vertAlign w:val="superscript"/>
        </w:rPr>
        <w:t>b</w:t>
      </w:r>
      <w:r w:rsidRPr="00714690">
        <w:rPr>
          <w:rFonts w:ascii="Times New Roman" w:hAnsi="Times New Roman" w:cs="Times New Roman"/>
        </w:rPr>
        <w:t xml:space="preserve"> To whom correspondence may be addressed. E-mail: markus.tolnay@usb.ch or mg@mrc-lmb.cam.ac.uk.</w:t>
      </w:r>
    </w:p>
    <w:p w:rsidR="00662F19" w:rsidRPr="00AD11A8" w:rsidRDefault="00662F19" w:rsidP="00EF77A6">
      <w:pPr>
        <w:spacing w:line="480" w:lineRule="auto"/>
        <w:rPr>
          <w:rFonts w:ascii="Times New Roman" w:hAnsi="Times New Roman" w:cs="Times New Roman"/>
        </w:rPr>
      </w:pPr>
    </w:p>
    <w:p w:rsidR="00662F19" w:rsidRDefault="00662F19">
      <w:pPr>
        <w:spacing w:after="0"/>
        <w:rPr>
          <w:rFonts w:ascii="Times New Roman" w:hAnsi="Times New Roman" w:cs="Times New Roman"/>
          <w:b/>
          <w:bCs/>
        </w:rPr>
      </w:pPr>
      <w:r>
        <w:rPr>
          <w:rFonts w:ascii="Times New Roman" w:hAnsi="Times New Roman" w:cs="Times New Roman"/>
          <w:b/>
          <w:bCs/>
        </w:rPr>
        <w:br w:type="page"/>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METHODS</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Mice</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 xml:space="preserve">Homozygous mice transgenic for human mutant </w:t>
      </w:r>
      <w:r w:rsidRPr="00AD11A8">
        <w:rPr>
          <w:rFonts w:ascii="Times New Roman" w:hAnsi="Times New Roman" w:cs="Times New Roman"/>
        </w:rPr>
        <w:t xml:space="preserve">P301S tau </w:t>
      </w:r>
      <w:r w:rsidRPr="00AD11A8">
        <w:rPr>
          <w:rFonts w:ascii="Times New Roman" w:hAnsi="Times New Roman" w:cs="Times New Roman"/>
        </w:rPr>
        <w:sym w:font="Symbol" w:char="005B"/>
      </w:r>
      <w:r w:rsidRPr="00AD11A8">
        <w:rPr>
          <w:rFonts w:ascii="Times New Roman" w:hAnsi="Times New Roman" w:cs="Times New Roman"/>
        </w:rPr>
        <w:t>1</w:t>
      </w:r>
      <w:r w:rsidRPr="00AD11A8">
        <w:rPr>
          <w:rFonts w:ascii="Times New Roman" w:hAnsi="Times New Roman" w:cs="Times New Roman"/>
        </w:rPr>
        <w:sym w:font="Symbol" w:char="005D"/>
      </w:r>
      <w:r w:rsidRPr="005E3D4E">
        <w:rPr>
          <w:rFonts w:ascii="Times New Roman" w:hAnsi="Times New Roman" w:cs="Times New Roman"/>
        </w:rPr>
        <w:t>, heterozygous mice (generated by backcrossing homozygous mice with C57BL/6 mice for at least 10 generations) and non-transgenic control mice, all females on the C57BL/6 background, were used. Experiments were in compliance with the Basel Committee for Animal Care and Animal Use.</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Preparation of brain homogenates</w:t>
      </w:r>
    </w:p>
    <w:p w:rsidR="00662F19" w:rsidRPr="005E3D4E" w:rsidRDefault="00662F19" w:rsidP="00AD11A8">
      <w:pPr>
        <w:widowControl w:val="0"/>
        <w:autoSpaceDE w:val="0"/>
        <w:autoSpaceDN w:val="0"/>
        <w:adjustRightInd w:val="0"/>
        <w:spacing w:after="0" w:line="480" w:lineRule="auto"/>
        <w:ind w:firstLine="720"/>
        <w:rPr>
          <w:rFonts w:ascii="Times New Roman" w:hAnsi="Times New Roman" w:cs="Times New Roman"/>
          <w:sz w:val="16"/>
          <w:szCs w:val="16"/>
        </w:rPr>
      </w:pPr>
      <w:r w:rsidRPr="005E3D4E">
        <w:rPr>
          <w:rFonts w:ascii="Times New Roman" w:hAnsi="Times New Roman" w:cs="Times New Roman"/>
        </w:rPr>
        <w:t>Six-month-old mice homozygous mice transgenic for human mutant P301S tau and age-matched non-transgenic control mice were deeply anaesthetized with pentobarbital (100 mg/kg) and killed by decapitation. Brainstems were dissected, snap-frozen in liquid nitrogen and stored at -80° C. Brainstems from three mice were combined and homogenized at 10% (w/v) in sterile PBS, briefly sonicated (Branson 450, output 2, 5 times, 0.9 s each) and centrifuged at 3,000 g at 4 °C for 5 min. The supernatants were aliquoted, snap-frozen and kept at -80°C until use.</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Intraperitoneal injection</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 xml:space="preserve">Mice received two intraperitoneal injections, 100 </w:t>
      </w:r>
      <w:r>
        <w:rPr>
          <w:rFonts w:ascii="Times New Roman" w:hAnsi="Times New Roman" w:cs="Times New Roman"/>
        </w:rPr>
        <w:sym w:font="Symbol" w:char="006D"/>
      </w:r>
      <w:r w:rsidRPr="005E3D4E">
        <w:rPr>
          <w:rFonts w:ascii="Times New Roman" w:hAnsi="Times New Roman" w:cs="Times New Roman"/>
        </w:rPr>
        <w:t>l each, one week apart, of brainstem homogenates from either mice transgenic for P301S tau or non-transgenic controls. A second control group was injected with PBS.</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Intracerebral injection</w:t>
      </w:r>
    </w:p>
    <w:p w:rsidR="00662F19" w:rsidRPr="005E3D4E" w:rsidRDefault="00662F19" w:rsidP="00AD11A8">
      <w:pPr>
        <w:widowControl w:val="0"/>
        <w:autoSpaceDE w:val="0"/>
        <w:autoSpaceDN w:val="0"/>
        <w:adjustRightInd w:val="0"/>
        <w:spacing w:after="0" w:line="480" w:lineRule="auto"/>
        <w:ind w:firstLine="720"/>
        <w:rPr>
          <w:rFonts w:ascii="Times New Roman" w:hAnsi="Times New Roman" w:cs="Times New Roman"/>
          <w:sz w:val="16"/>
          <w:szCs w:val="16"/>
        </w:rPr>
      </w:pPr>
      <w:r w:rsidRPr="005E3D4E">
        <w:rPr>
          <w:rFonts w:ascii="Times New Roman" w:hAnsi="Times New Roman" w:cs="Times New Roman"/>
        </w:rPr>
        <w:t xml:space="preserve">Three-month-old heterozygous mice transgenic for human mutant P301S tau and non-transgenic controls were anaesthetized with a mixture of ketamine (10 mg/kg) and xylazine (20 mg/kg). They were placed on a heating pad to maintain body temperature during surgery. Using a Hamilton syringe, the hippocampus (A/P, -2.5 mm from bregma; L, -2.0 mm; D/V, -1.8 mm) and the overlying cerebral cortex (A/P, –2.5 mm from bregma; L, -2.0 mm; D/V, –0.8 mm) each received a unilateral (right hemisphere) stereotaxic injection of 2.5 </w:t>
      </w:r>
      <w:r>
        <w:rPr>
          <w:rFonts w:ascii="Times New Roman" w:hAnsi="Times New Roman" w:cs="Times New Roman"/>
        </w:rPr>
        <w:sym w:font="Symbol" w:char="006D"/>
      </w:r>
      <w:r w:rsidRPr="005E3D4E">
        <w:rPr>
          <w:rFonts w:ascii="Times New Roman" w:hAnsi="Times New Roman" w:cs="Times New Roman"/>
        </w:rPr>
        <w:t xml:space="preserve">l brain extract, at a speed of 1.25 </w:t>
      </w:r>
      <w:r>
        <w:rPr>
          <w:rFonts w:ascii="Times New Roman" w:hAnsi="Times New Roman" w:cs="Times New Roman"/>
        </w:rPr>
        <w:sym w:font="Symbol" w:char="006D"/>
      </w:r>
      <w:r w:rsidRPr="005E3D4E">
        <w:rPr>
          <w:rFonts w:ascii="Times New Roman" w:hAnsi="Times New Roman" w:cs="Times New Roman"/>
        </w:rPr>
        <w:t>l/min. Following injection, the needle was kept in place for an additional 3 min before gentle withdrawal. The surgical area was cleaned with saline and the incision sutured. The mice were monitored until recovery from anaesthesia and checked once a week thereafter.</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Histology and immunohistochemistry</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 xml:space="preserve">Mice were anaesthetized with pentobarbital (100 mg/kg) and perfused with 20 ml cold PBS, followed by 20 ml 4% paraformaldehyde in PBS. The brain and peripheral organs (heart, lungs, liver, spleen, kidneys) were dissected and post-fixed overnight. Following paraffin embedding, 5 </w:t>
      </w:r>
      <w:r>
        <w:rPr>
          <w:rFonts w:ascii="Times New Roman" w:hAnsi="Times New Roman" w:cs="Times New Roman"/>
        </w:rPr>
        <w:sym w:font="Symbol" w:char="006D"/>
      </w:r>
      <w:r w:rsidRPr="005E3D4E">
        <w:rPr>
          <w:rFonts w:ascii="Times New Roman" w:hAnsi="Times New Roman" w:cs="Times New Roman"/>
        </w:rPr>
        <w:t>m sagittal sections were cut. The sections were silver-impregnated (Gallyas-Braak staining) to visualize filamentous ta</w:t>
      </w:r>
      <w:r>
        <w:rPr>
          <w:rFonts w:ascii="Times New Roman" w:hAnsi="Times New Roman" w:cs="Times New Roman"/>
        </w:rPr>
        <w:t xml:space="preserve">u </w:t>
      </w:r>
      <w:r w:rsidRPr="00AD11A8">
        <w:rPr>
          <w:rFonts w:ascii="Times New Roman" w:hAnsi="Times New Roman" w:cs="Times New Roman"/>
        </w:rPr>
        <w:sym w:font="Symbol" w:char="005B"/>
      </w:r>
      <w:r>
        <w:rPr>
          <w:rFonts w:ascii="Times New Roman" w:hAnsi="Times New Roman" w:cs="Times New Roman"/>
        </w:rPr>
        <w:t>3</w:t>
      </w:r>
      <w:r w:rsidRPr="00AD11A8">
        <w:rPr>
          <w:rFonts w:ascii="Times New Roman" w:hAnsi="Times New Roman" w:cs="Times New Roman"/>
        </w:rPr>
        <w:sym w:font="Symbol" w:char="005D"/>
      </w:r>
      <w:r w:rsidRPr="005E3D4E">
        <w:rPr>
          <w:rFonts w:ascii="Times New Roman" w:hAnsi="Times New Roman" w:cs="Times New Roman"/>
        </w:rPr>
        <w:t>. Haematoxylin and eosin staining (H&amp;E) was used for morphological analysis. For immunohistochemistry, the following antibodies were used: AT8, specific for tau phosphorylated at S202 and T205 (1:1,000, Pierce); AT100, specific for tau phosphorylated at T212, S214 and T217 (1:1,000, Pierce); anti-Iba1 (1:300, Wako). Secondary antibodies were from Vector Laboratories (Vectastain ABC kit).</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Automated data acquisition</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Non-injected and injected (intraperitoneally or intracerebrally) heterozygous mice transgenic for human mutant P301S tau were analysed at 12 months of age (9 months post-injection, 5 mice per group). Silver-stained sagittal sections</w:t>
      </w:r>
      <w:r>
        <w:rPr>
          <w:rFonts w:ascii="Times New Roman" w:hAnsi="Times New Roman" w:cs="Times New Roman"/>
        </w:rPr>
        <w:t xml:space="preserve"> </w:t>
      </w:r>
      <w:r w:rsidRPr="00DA1E77">
        <w:rPr>
          <w:rFonts w:ascii="Times New Roman" w:hAnsi="Times New Roman" w:cs="Times New Roman"/>
        </w:rPr>
        <w:t>(ipsi-lateral hemisphere for IC injected mice)</w:t>
      </w:r>
      <w:r w:rsidRPr="005E3D4E">
        <w:rPr>
          <w:rFonts w:ascii="Times New Roman" w:hAnsi="Times New Roman" w:cs="Times New Roman"/>
        </w:rPr>
        <w:t xml:space="preserve"> of 0.6 mm lateral from bregma were use</w:t>
      </w:r>
      <w:r>
        <w:rPr>
          <w:rFonts w:ascii="Times New Roman" w:hAnsi="Times New Roman" w:cs="Times New Roman"/>
        </w:rPr>
        <w:t xml:space="preserve">d </w:t>
      </w:r>
      <w:r w:rsidRPr="00AD11A8">
        <w:rPr>
          <w:rFonts w:ascii="Times New Roman" w:hAnsi="Times New Roman" w:cs="Times New Roman"/>
        </w:rPr>
        <w:sym w:font="Symbol" w:char="005B"/>
      </w:r>
      <w:r>
        <w:rPr>
          <w:rFonts w:ascii="Times New Roman" w:hAnsi="Times New Roman" w:cs="Times New Roman"/>
        </w:rPr>
        <w:t>2</w:t>
      </w:r>
      <w:r w:rsidRPr="00AD11A8">
        <w:rPr>
          <w:rFonts w:ascii="Times New Roman" w:hAnsi="Times New Roman" w:cs="Times New Roman"/>
        </w:rPr>
        <w:sym w:font="Symbol" w:char="005D"/>
      </w:r>
      <w:r w:rsidRPr="005E3D4E">
        <w:rPr>
          <w:rFonts w:ascii="Times New Roman" w:hAnsi="Times New Roman" w:cs="Times New Roman"/>
        </w:rPr>
        <w:t>. The slides were scanned with a custom-built automated microscope based on the Olympus BX50 (Olympus, Tokyo, Japan), with a motorized XY stage (Prior Scientific, Cambridge, UK) and a motorized focus drive (PD-3110-42-232, Trinamic Motion Control, Hamburg, Germany). A slide scanning application, written in imageJ macro language, controlled the setup. Images were acquired in the form of continuous video recording during t</w:t>
      </w:r>
      <w:r>
        <w:rPr>
          <w:rFonts w:ascii="Times New Roman" w:hAnsi="Times New Roman" w:cs="Times New Roman"/>
        </w:rPr>
        <w:t xml:space="preserve">he scanning process with </w:t>
      </w:r>
      <w:r>
        <w:rPr>
          <w:rFonts w:ascii="Times New Roman" w:hAnsi="Times New Roman" w:cs="Times New Roman"/>
          <w:color w:val="000000"/>
        </w:rPr>
        <w:t xml:space="preserve">a CHDK-controlled SX220HS digital camera (Canon) mounted on the microscope with an adapter lens </w:t>
      </w:r>
      <w:bookmarkStart w:id="0" w:name="_GoBack"/>
      <w:bookmarkEnd w:id="0"/>
      <w:r>
        <w:rPr>
          <w:rFonts w:ascii="Times New Roman" w:hAnsi="Times New Roman" w:cs="Times New Roman"/>
          <w:color w:val="000000"/>
        </w:rPr>
        <w:t>(</w:t>
      </w:r>
      <w:hyperlink r:id="rId7" w:history="1">
        <w:r>
          <w:rPr>
            <w:rStyle w:val="Hyperlink"/>
            <w:rFonts w:ascii="Times New Roman" w:hAnsi="Times New Roman" w:cs="Times New Roman"/>
            <w:color w:val="000000"/>
          </w:rPr>
          <w:t>http://chdk.wikia.com/wiki/CHDK</w:t>
        </w:r>
      </w:hyperlink>
      <w:r>
        <w:rPr>
          <w:rFonts w:ascii="Times New Roman" w:hAnsi="Times New Roman" w:cs="Times New Roman"/>
          <w:color w:val="000000"/>
        </w:rPr>
        <w:t>). The resulting videos (1,920 x 1,080 pix</w:t>
      </w:r>
      <w:r w:rsidRPr="005E3D4E">
        <w:rPr>
          <w:rFonts w:ascii="Times New Roman" w:hAnsi="Times New Roman" w:cs="Times New Roman"/>
        </w:rPr>
        <w:t xml:space="preserve">els), representing a 661.5 x 372.1 </w:t>
      </w:r>
      <w:r>
        <w:rPr>
          <w:rFonts w:ascii="Times New Roman" w:hAnsi="Times New Roman" w:cs="Times New Roman"/>
        </w:rPr>
        <w:sym w:font="Symbol" w:char="006D"/>
      </w:r>
      <w:r w:rsidRPr="005E3D4E">
        <w:rPr>
          <w:rFonts w:ascii="Times New Roman" w:hAnsi="Times New Roman" w:cs="Times New Roman"/>
        </w:rPr>
        <w:t>m field, as determined by an object micrometer rule (Zeiss) were stored in a MOV container (Canon) and converted at the same sampling rate with ffmpeg in order to change the container to AVI, which is compatible with imageJ. The Sobel edge detector was then used to select the sharpest focal plane in each image substack. Finally, an assembled mosaic image of the entire section was generated and saved at 10% scale of the original image. It was used for statistical evaluation.</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Manual data annotation</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Brain outlines in the mosaic images were manually annotated in imageJ using the standard polygon and line annotation tools (Supplementary Figure 3). Artefacts of the tissue sections, such as cracks, black spots and folded areas, were excluded, as was the cerebellum. Regions of interest (ROI) were stored in imageJ ROI format, so that they could be loaded for automated analysis.</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Automated data analysis</w:t>
      </w:r>
    </w:p>
    <w:p w:rsidR="00662F19" w:rsidRPr="005E3D4E"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Annotated regions were proportionately enlarged to fit the original image set using the imageJ macro language</w:t>
      </w:r>
      <w:r>
        <w:rPr>
          <w:rFonts w:ascii="Times New Roman" w:hAnsi="Times New Roman" w:cs="Times New Roman"/>
        </w:rPr>
        <w:t xml:space="preserve"> </w:t>
      </w:r>
      <w:r w:rsidRPr="00AD11A8">
        <w:rPr>
          <w:rFonts w:ascii="Times New Roman" w:hAnsi="Times New Roman" w:cs="Times New Roman"/>
        </w:rPr>
        <w:sym w:font="Symbol" w:char="005B"/>
      </w:r>
      <w:r>
        <w:rPr>
          <w:rFonts w:ascii="Times New Roman" w:hAnsi="Times New Roman" w:cs="Times New Roman"/>
        </w:rPr>
        <w:t>4</w:t>
      </w:r>
      <w:r w:rsidRPr="00AD11A8">
        <w:rPr>
          <w:rFonts w:ascii="Times New Roman" w:hAnsi="Times New Roman" w:cs="Times New Roman"/>
        </w:rPr>
        <w:sym w:font="Symbol" w:char="005D"/>
      </w:r>
      <w:r w:rsidRPr="005E3D4E">
        <w:rPr>
          <w:rFonts w:ascii="Times New Roman" w:hAnsi="Times New Roman" w:cs="Times New Roman"/>
        </w:rPr>
        <w:t>. Pixels located outside the annotated area were ignored. The images were colour-segmented</w:t>
      </w:r>
      <w:r>
        <w:rPr>
          <w:rFonts w:ascii="Times New Roman" w:hAnsi="Times New Roman" w:cs="Times New Roman"/>
        </w:rPr>
        <w:t xml:space="preserve"> </w:t>
      </w:r>
      <w:r w:rsidRPr="00AD11A8">
        <w:rPr>
          <w:rFonts w:ascii="Times New Roman" w:hAnsi="Times New Roman" w:cs="Times New Roman"/>
        </w:rPr>
        <w:sym w:font="Symbol" w:char="005B"/>
      </w:r>
      <w:r>
        <w:rPr>
          <w:rFonts w:ascii="Times New Roman" w:hAnsi="Times New Roman" w:cs="Times New Roman"/>
        </w:rPr>
        <w:t>5</w:t>
      </w:r>
      <w:r w:rsidRPr="00AD11A8">
        <w:rPr>
          <w:rFonts w:ascii="Times New Roman" w:hAnsi="Times New Roman" w:cs="Times New Roman"/>
        </w:rPr>
        <w:sym w:font="Symbol" w:char="005D"/>
      </w:r>
      <w:r w:rsidRPr="005E3D4E">
        <w:rPr>
          <w:rFonts w:ascii="Times New Roman" w:hAnsi="Times New Roman" w:cs="Times New Roman"/>
        </w:rPr>
        <w:t xml:space="preserve"> to obtain a haematoxylin-weighted channel and silver-positive pixel ranges were empirically determined from a greyscale version of the image. Particle analysis was used to count silver- and haematoxylin-positive pixels, and the ratios of Gallyas-positive structures per cell nucleus (G/N ratio) were determined. These values were determined independently for the annotated area of each tile, resulting in a G/N ratio for each image. The ratios ranged from 0 to approximately 0.3 for intracerebrally injected mice, which served as controls for high G/N ratios. Based on these boundaries, a rainbow</w:t>
      </w:r>
      <w:r w:rsidRPr="005E3D4E">
        <w:rPr>
          <w:rFonts w:ascii="Times New Roman" w:hAnsi="Times New Roman" w:cs="Times New Roman"/>
          <w:color w:val="FF0000"/>
        </w:rPr>
        <w:t xml:space="preserve"> </w:t>
      </w:r>
      <w:r w:rsidRPr="005E3D4E">
        <w:rPr>
          <w:rFonts w:ascii="Times New Roman" w:hAnsi="Times New Roman" w:cs="Times New Roman"/>
        </w:rPr>
        <w:t>look-up table (LUT) was adjusted and applied to colour-code each tile image with its G/N value (Supplementary Figure 3), to verify that the morphologies matched the G/N ratios. No mismatch between the visible number of tau inclusions and the G/N ratios was observed.</w:t>
      </w:r>
    </w:p>
    <w:p w:rsidR="00662F19" w:rsidRPr="005E3D4E" w:rsidRDefault="00662F19" w:rsidP="00AD11A8">
      <w:pPr>
        <w:spacing w:line="480" w:lineRule="auto"/>
        <w:rPr>
          <w:rFonts w:ascii="Times New Roman" w:hAnsi="Times New Roman" w:cs="Times New Roman"/>
          <w:b/>
          <w:bCs/>
        </w:rPr>
      </w:pPr>
      <w:r w:rsidRPr="005E3D4E">
        <w:rPr>
          <w:rFonts w:ascii="Times New Roman" w:hAnsi="Times New Roman" w:cs="Times New Roman"/>
          <w:b/>
          <w:bCs/>
        </w:rPr>
        <w:t>Brain superimposition</w:t>
      </w:r>
    </w:p>
    <w:p w:rsidR="00662F19" w:rsidRPr="00AD11A8" w:rsidRDefault="00662F19" w:rsidP="00AD11A8">
      <w:pPr>
        <w:spacing w:line="480" w:lineRule="auto"/>
        <w:ind w:firstLine="720"/>
        <w:rPr>
          <w:rFonts w:ascii="Times New Roman" w:hAnsi="Times New Roman" w:cs="Times New Roman"/>
        </w:rPr>
      </w:pPr>
      <w:r w:rsidRPr="005E3D4E">
        <w:rPr>
          <w:rFonts w:ascii="Times New Roman" w:hAnsi="Times New Roman" w:cs="Times New Roman"/>
        </w:rPr>
        <w:t xml:space="preserve">Two anatomical landmarks per brain (Supplementary Figure 3A) were annotated using the point selection tool in imageJ to determine the rotation angle and the x/y offset required for superimposition. No scaling was performed, because the sections were of similar size. The G/N ratios were fitted to an 8-bit (0-255)-scale, based on the maximum values of the analysis. A Gaussian blur (sigma = 70 pixels, pixel edge length 3.45 </w:t>
      </w:r>
      <w:r>
        <w:rPr>
          <w:rFonts w:ascii="Times New Roman" w:hAnsi="Times New Roman" w:cs="Times New Roman"/>
        </w:rPr>
        <w:sym w:font="Symbol" w:char="006D"/>
      </w:r>
      <w:r w:rsidRPr="005E3D4E">
        <w:rPr>
          <w:rFonts w:ascii="Times New Roman" w:hAnsi="Times New Roman" w:cs="Times New Roman"/>
        </w:rPr>
        <w:t>m) was applied in imageJ to eliminate rectangular artefacts from the original tile shape. These maps were then grouped into imageJ stacks and an average image was calculated for each group (Figure 2, Supplementary Figure 2). After loading the bitmaps as numerical values (</w:t>
      </w:r>
      <w:hyperlink r:id="rId8" w:history="1">
        <w:r w:rsidRPr="005E3D4E">
          <w:rPr>
            <w:rStyle w:val="Hyperlink"/>
            <w:rFonts w:ascii="Times New Roman" w:hAnsi="Times New Roman" w:cs="Times New Roman"/>
          </w:rPr>
          <w:t>http://www.imagemagick.org</w:t>
        </w:r>
      </w:hyperlink>
      <w:r w:rsidRPr="005E3D4E">
        <w:rPr>
          <w:rFonts w:ascii="Times New Roman" w:hAnsi="Times New Roman" w:cs="Times New Roman"/>
        </w:rPr>
        <w:t>), a Student’s t-test was performed in octave (</w:t>
      </w:r>
      <w:hyperlink r:id="rId9" w:history="1">
        <w:r w:rsidRPr="005E3D4E">
          <w:rPr>
            <w:rStyle w:val="Hyperlink"/>
            <w:rFonts w:ascii="Times New Roman" w:hAnsi="Times New Roman" w:cs="Times New Roman"/>
          </w:rPr>
          <w:t>http://www.octave.org</w:t>
        </w:r>
      </w:hyperlink>
      <w:r w:rsidRPr="005E3D4E">
        <w:rPr>
          <w:rFonts w:ascii="Times New Roman" w:hAnsi="Times New Roman" w:cs="Times New Roman"/>
        </w:rPr>
        <w:t>) for each pixel to determine where the differences between groups were significant. Probability values were obtained as a floating point matrix and loaded into imageJ. The rainbow LUT was then applied to the p-value map and values above 0.05 were coded in black, with values between 0.05 and 0.00 being stretched over the remaining LUT colours (Figure 2, Supplementary Figure 2). Thus, brain areas of different colour reflected statistically significant differences.</w:t>
      </w:r>
    </w:p>
    <w:p w:rsidR="00662F19" w:rsidRPr="005E3D4E" w:rsidDel="00B37566" w:rsidRDefault="00662F19" w:rsidP="00AD11A8">
      <w:pPr>
        <w:spacing w:line="480" w:lineRule="auto"/>
        <w:rPr>
          <w:rFonts w:ascii="Times New Roman" w:hAnsi="Times New Roman" w:cs="Times New Roman"/>
        </w:rPr>
      </w:pPr>
    </w:p>
    <w:p w:rsidR="00662F19" w:rsidRDefault="00662F19" w:rsidP="00AD11A8">
      <w:pPr>
        <w:rPr>
          <w:rFonts w:ascii="Times New Roman" w:hAnsi="Times New Roman" w:cs="Times New Roman"/>
          <w:b/>
          <w:bCs/>
        </w:rPr>
      </w:pPr>
      <w:r w:rsidRPr="005E3D4E">
        <w:rPr>
          <w:rFonts w:ascii="Times New Roman" w:hAnsi="Times New Roman" w:cs="Times New Roman"/>
          <w:b/>
          <w:bCs/>
        </w:rPr>
        <w:br w:type="page"/>
        <w:t>References</w:t>
      </w:r>
    </w:p>
    <w:p w:rsidR="00662F19" w:rsidRPr="005E3D4E" w:rsidRDefault="00662F19" w:rsidP="00AD11A8">
      <w:pPr>
        <w:spacing w:line="480" w:lineRule="auto"/>
        <w:rPr>
          <w:rFonts w:ascii="Times New Roman" w:hAnsi="Times New Roman" w:cs="Times New Roman"/>
          <w:b/>
          <w:bCs/>
        </w:rPr>
      </w:pPr>
      <w:r w:rsidRPr="00AD11A8">
        <w:rPr>
          <w:rFonts w:ascii="Times New Roman" w:hAnsi="Times New Roman" w:cs="Times New Roman"/>
        </w:rPr>
        <w:t>1.</w:t>
      </w:r>
      <w:r>
        <w:rPr>
          <w:rFonts w:ascii="Times New Roman" w:hAnsi="Times New Roman" w:cs="Times New Roman"/>
          <w:b/>
          <w:bCs/>
        </w:rPr>
        <w:t xml:space="preserve"> </w:t>
      </w:r>
      <w:r w:rsidRPr="00F92E3A">
        <w:rPr>
          <w:rFonts w:ascii="Times New Roman" w:hAnsi="Times New Roman" w:cs="Times New Roman"/>
        </w:rPr>
        <w:t>Allen</w:t>
      </w:r>
      <w:r>
        <w:rPr>
          <w:rFonts w:ascii="Times New Roman" w:hAnsi="Times New Roman" w:cs="Times New Roman"/>
        </w:rPr>
        <w:t xml:space="preserve"> B,</w:t>
      </w:r>
      <w:r w:rsidRPr="00F92E3A">
        <w:rPr>
          <w:rFonts w:ascii="Times New Roman" w:hAnsi="Times New Roman" w:cs="Times New Roman"/>
        </w:rPr>
        <w:t xml:space="preserve"> </w:t>
      </w:r>
      <w:hyperlink r:id="rId10" w:history="1">
        <w:r w:rsidRPr="00714690">
          <w:rPr>
            <w:rStyle w:val="Hyperlink"/>
            <w:rFonts w:ascii="Times New Roman" w:hAnsi="Times New Roman" w:cs="Times New Roman"/>
            <w:color w:val="auto"/>
            <w:u w:val="none"/>
          </w:rPr>
          <w:t>Ingram E</w:t>
        </w:r>
      </w:hyperlink>
      <w:r w:rsidRPr="00714690">
        <w:rPr>
          <w:rFonts w:ascii="Times New Roman" w:hAnsi="Times New Roman" w:cs="Times New Roman"/>
        </w:rPr>
        <w:t xml:space="preserve">, </w:t>
      </w:r>
      <w:hyperlink r:id="rId11" w:history="1">
        <w:r w:rsidRPr="00714690">
          <w:rPr>
            <w:rStyle w:val="Hyperlink"/>
            <w:rFonts w:ascii="Times New Roman" w:hAnsi="Times New Roman" w:cs="Times New Roman"/>
            <w:color w:val="auto"/>
            <w:u w:val="none"/>
          </w:rPr>
          <w:t>Takao M</w:t>
        </w:r>
      </w:hyperlink>
      <w:r>
        <w:rPr>
          <w:rFonts w:ascii="Times New Roman" w:hAnsi="Times New Roman" w:cs="Times New Roman"/>
        </w:rPr>
        <w:t xml:space="preserve"> et al</w:t>
      </w:r>
      <w:r w:rsidRPr="005E3D4E">
        <w:rPr>
          <w:rFonts w:ascii="Times New Roman" w:hAnsi="Times New Roman" w:cs="Times New Roman"/>
        </w:rPr>
        <w:t xml:space="preserve"> (2002)</w:t>
      </w:r>
      <w:r>
        <w:rPr>
          <w:rFonts w:ascii="Times New Roman" w:hAnsi="Times New Roman" w:cs="Times New Roman"/>
        </w:rPr>
        <w:t xml:space="preserve"> </w:t>
      </w:r>
      <w:r w:rsidRPr="00714690">
        <w:rPr>
          <w:rFonts w:ascii="Times New Roman" w:hAnsi="Times New Roman" w:cs="Times New Roman"/>
        </w:rPr>
        <w:t>Abundant tau filaments and nonapoptotic neurodegeneration in transgenic mice expressing human P301S tau protein.</w:t>
      </w:r>
      <w:r w:rsidRPr="005E3D4E">
        <w:rPr>
          <w:rFonts w:ascii="Times New Roman" w:hAnsi="Times New Roman" w:cs="Times New Roman"/>
        </w:rPr>
        <w:t xml:space="preserve"> </w:t>
      </w:r>
      <w:r>
        <w:rPr>
          <w:rFonts w:ascii="Times New Roman" w:hAnsi="Times New Roman" w:cs="Times New Roman"/>
        </w:rPr>
        <w:t>J Neurosci</w:t>
      </w:r>
      <w:r w:rsidRPr="009A40CF">
        <w:rPr>
          <w:rFonts w:ascii="Times New Roman" w:hAnsi="Times New Roman" w:cs="Times New Roman"/>
        </w:rPr>
        <w:t xml:space="preserve"> 22</w:t>
      </w:r>
      <w:r>
        <w:rPr>
          <w:rFonts w:ascii="Times New Roman" w:hAnsi="Times New Roman" w:cs="Times New Roman"/>
        </w:rPr>
        <w:t>:</w:t>
      </w:r>
      <w:r w:rsidRPr="005E3D4E">
        <w:rPr>
          <w:rFonts w:ascii="Times New Roman" w:hAnsi="Times New Roman" w:cs="Times New Roman"/>
        </w:rPr>
        <w:t xml:space="preserve"> 9340-9351</w:t>
      </w:r>
    </w:p>
    <w:p w:rsidR="00662F19" w:rsidRDefault="00662F19" w:rsidP="00AD11A8">
      <w:pPr>
        <w:spacing w:line="480" w:lineRule="auto"/>
        <w:rPr>
          <w:rFonts w:ascii="Times New Roman" w:hAnsi="Times New Roman" w:cs="Times New Roman"/>
        </w:rPr>
      </w:pPr>
      <w:r w:rsidRPr="005E3D4E">
        <w:rPr>
          <w:rFonts w:ascii="Times New Roman" w:hAnsi="Times New Roman" w:cs="Times New Roman"/>
        </w:rPr>
        <w:t>2. Fran</w:t>
      </w:r>
      <w:r>
        <w:rPr>
          <w:rFonts w:ascii="Times New Roman" w:hAnsi="Times New Roman" w:cs="Times New Roman"/>
        </w:rPr>
        <w:t>klin KBJ, Paxinos G (</w:t>
      </w:r>
      <w:r w:rsidRPr="005E3D4E">
        <w:rPr>
          <w:rFonts w:ascii="Times New Roman" w:hAnsi="Times New Roman" w:cs="Times New Roman"/>
        </w:rPr>
        <w:t>2008</w:t>
      </w:r>
      <w:r>
        <w:rPr>
          <w:rFonts w:ascii="Times New Roman" w:hAnsi="Times New Roman" w:cs="Times New Roman"/>
        </w:rPr>
        <w:t>)</w:t>
      </w:r>
      <w:r w:rsidRPr="005E3D4E">
        <w:rPr>
          <w:rFonts w:ascii="Times New Roman" w:hAnsi="Times New Roman" w:cs="Times New Roman"/>
        </w:rPr>
        <w:t xml:space="preserve"> The mouse brain in stereotaxic coordinates. 3</w:t>
      </w:r>
      <w:r w:rsidRPr="005E3D4E">
        <w:rPr>
          <w:rFonts w:ascii="Times New Roman" w:hAnsi="Times New Roman" w:cs="Times New Roman"/>
          <w:vertAlign w:val="superscript"/>
        </w:rPr>
        <w:t>rd</w:t>
      </w:r>
      <w:r w:rsidRPr="005E3D4E">
        <w:rPr>
          <w:rFonts w:ascii="Times New Roman" w:hAnsi="Times New Roman" w:cs="Times New Roman"/>
        </w:rPr>
        <w:t xml:space="preserve"> edition. Academic Press, New York </w:t>
      </w:r>
    </w:p>
    <w:p w:rsidR="00662F19" w:rsidRPr="005E3D4E" w:rsidRDefault="00662F19" w:rsidP="00AD11A8">
      <w:pPr>
        <w:spacing w:line="480" w:lineRule="auto"/>
        <w:rPr>
          <w:rFonts w:ascii="Times New Roman" w:hAnsi="Times New Roman" w:cs="Times New Roman"/>
        </w:rPr>
      </w:pPr>
      <w:r>
        <w:rPr>
          <w:rFonts w:ascii="Times New Roman" w:hAnsi="Times New Roman" w:cs="Times New Roman"/>
        </w:rPr>
        <w:t xml:space="preserve">3. </w:t>
      </w:r>
      <w:r w:rsidRPr="005E3D4E">
        <w:rPr>
          <w:rFonts w:ascii="Times New Roman" w:hAnsi="Times New Roman" w:cs="Times New Roman"/>
        </w:rPr>
        <w:t>Gallyas</w:t>
      </w:r>
      <w:r>
        <w:rPr>
          <w:rFonts w:ascii="Times New Roman" w:hAnsi="Times New Roman" w:cs="Times New Roman"/>
        </w:rPr>
        <w:t xml:space="preserve"> F</w:t>
      </w:r>
      <w:r w:rsidRPr="005E3D4E">
        <w:rPr>
          <w:rFonts w:ascii="Times New Roman" w:hAnsi="Times New Roman" w:cs="Times New Roman"/>
        </w:rPr>
        <w:t xml:space="preserve"> (1971)</w:t>
      </w:r>
      <w:r>
        <w:rPr>
          <w:rFonts w:ascii="Times New Roman" w:hAnsi="Times New Roman" w:cs="Times New Roman"/>
        </w:rPr>
        <w:t xml:space="preserve"> </w:t>
      </w:r>
      <w:r w:rsidRPr="00714690">
        <w:rPr>
          <w:rFonts w:ascii="Times New Roman" w:hAnsi="Times New Roman" w:cs="Times New Roman"/>
        </w:rPr>
        <w:t xml:space="preserve">Silver staining of Alzheimer's neurofibrillary changes by means of physical development. </w:t>
      </w:r>
      <w:r>
        <w:rPr>
          <w:rFonts w:ascii="Times New Roman" w:hAnsi="Times New Roman" w:cs="Times New Roman"/>
        </w:rPr>
        <w:t>Acta Morphol Acad Sci Hung</w:t>
      </w:r>
      <w:r w:rsidRPr="00AD11A8">
        <w:rPr>
          <w:rFonts w:ascii="Times New Roman" w:hAnsi="Times New Roman" w:cs="Times New Roman"/>
        </w:rPr>
        <w:t xml:space="preserve"> 19</w:t>
      </w:r>
      <w:r>
        <w:rPr>
          <w:rFonts w:ascii="Times New Roman" w:hAnsi="Times New Roman" w:cs="Times New Roman"/>
        </w:rPr>
        <w:t>:</w:t>
      </w:r>
      <w:r w:rsidRPr="00AD11A8">
        <w:rPr>
          <w:rFonts w:ascii="Times New Roman" w:hAnsi="Times New Roman" w:cs="Times New Roman"/>
        </w:rPr>
        <w:t xml:space="preserve"> 1-8</w:t>
      </w:r>
    </w:p>
    <w:p w:rsidR="00662F19" w:rsidRPr="005E3D4E" w:rsidRDefault="00662F19" w:rsidP="00AD11A8">
      <w:pPr>
        <w:spacing w:line="480" w:lineRule="auto"/>
        <w:rPr>
          <w:rFonts w:ascii="Times New Roman" w:hAnsi="Times New Roman" w:cs="Times New Roman"/>
        </w:rPr>
      </w:pPr>
      <w:r w:rsidRPr="005E3D4E">
        <w:rPr>
          <w:rFonts w:ascii="Times New Roman" w:hAnsi="Times New Roman" w:cs="Times New Roman"/>
        </w:rPr>
        <w:t>4.</w:t>
      </w:r>
      <w:r>
        <w:rPr>
          <w:rFonts w:ascii="Times New Roman" w:hAnsi="Times New Roman" w:cs="Times New Roman"/>
        </w:rPr>
        <w:t xml:space="preserve"> Rasband W</w:t>
      </w:r>
      <w:r w:rsidRPr="005E3D4E">
        <w:rPr>
          <w:rFonts w:ascii="Times New Roman" w:hAnsi="Times New Roman" w:cs="Times New Roman"/>
        </w:rPr>
        <w:t>S</w:t>
      </w:r>
      <w:r>
        <w:rPr>
          <w:rFonts w:ascii="Times New Roman" w:hAnsi="Times New Roman" w:cs="Times New Roman"/>
        </w:rPr>
        <w:t>,</w:t>
      </w:r>
      <w:r w:rsidRPr="005E3D4E">
        <w:rPr>
          <w:rFonts w:ascii="Times New Roman" w:hAnsi="Times New Roman" w:cs="Times New Roman"/>
        </w:rPr>
        <w:t xml:space="preserve"> ImageJ, </w:t>
      </w:r>
      <w:hyperlink r:id="rId12" w:history="1">
        <w:r w:rsidRPr="005E3D4E">
          <w:rPr>
            <w:rStyle w:val="Hyperlink"/>
            <w:rFonts w:ascii="Times New Roman" w:hAnsi="Times New Roman" w:cs="Times New Roman"/>
          </w:rPr>
          <w:t>http://rsb.info.nih.gov/ij/</w:t>
        </w:r>
      </w:hyperlink>
    </w:p>
    <w:p w:rsidR="00662F19" w:rsidRPr="005E3D4E" w:rsidRDefault="00662F19" w:rsidP="00AD11A8">
      <w:pPr>
        <w:spacing w:line="480" w:lineRule="auto"/>
        <w:rPr>
          <w:rFonts w:ascii="Times New Roman" w:hAnsi="Times New Roman" w:cs="Times New Roman"/>
        </w:rPr>
      </w:pPr>
      <w:r w:rsidRPr="005E3D4E">
        <w:rPr>
          <w:rFonts w:ascii="Times New Roman" w:hAnsi="Times New Roman" w:cs="Times New Roman"/>
        </w:rPr>
        <w:t>5.</w:t>
      </w:r>
      <w:r>
        <w:rPr>
          <w:rFonts w:ascii="Times New Roman" w:hAnsi="Times New Roman" w:cs="Times New Roman"/>
        </w:rPr>
        <w:t xml:space="preserve"> Ruifrok AC, Johnston DA </w:t>
      </w:r>
      <w:r w:rsidRPr="005E3D4E">
        <w:rPr>
          <w:rFonts w:ascii="Times New Roman" w:hAnsi="Times New Roman" w:cs="Times New Roman"/>
        </w:rPr>
        <w:t xml:space="preserve">(2001) </w:t>
      </w:r>
      <w:r w:rsidRPr="00714690">
        <w:rPr>
          <w:rFonts w:ascii="Times New Roman" w:hAnsi="Times New Roman" w:cs="Times New Roman"/>
        </w:rPr>
        <w:t>Quantification of histochemical staining by color deconvolution.</w:t>
      </w:r>
      <w:r w:rsidRPr="005E3D4E">
        <w:rPr>
          <w:rFonts w:ascii="Times New Roman" w:hAnsi="Times New Roman" w:cs="Times New Roman"/>
        </w:rPr>
        <w:t xml:space="preserve"> </w:t>
      </w:r>
      <w:r>
        <w:rPr>
          <w:rFonts w:ascii="Times New Roman" w:hAnsi="Times New Roman" w:cs="Times New Roman"/>
        </w:rPr>
        <w:t>Anal Quant Cytol Histol</w:t>
      </w:r>
      <w:r w:rsidRPr="00AD11A8">
        <w:rPr>
          <w:rFonts w:ascii="Times New Roman" w:hAnsi="Times New Roman" w:cs="Times New Roman"/>
        </w:rPr>
        <w:t xml:space="preserve"> 23</w:t>
      </w:r>
      <w:r>
        <w:rPr>
          <w:rFonts w:ascii="Times New Roman" w:hAnsi="Times New Roman" w:cs="Times New Roman"/>
        </w:rPr>
        <w:t>:</w:t>
      </w:r>
      <w:r w:rsidRPr="00AD11A8">
        <w:rPr>
          <w:rFonts w:ascii="Times New Roman" w:hAnsi="Times New Roman" w:cs="Times New Roman"/>
        </w:rPr>
        <w:t xml:space="preserve"> 291-299</w:t>
      </w:r>
      <w:r w:rsidRPr="005E3D4E">
        <w:rPr>
          <w:rFonts w:ascii="Times New Roman" w:hAnsi="Times New Roman" w:cs="Times New Roman"/>
        </w:rPr>
        <w:t xml:space="preserve"> </w:t>
      </w:r>
    </w:p>
    <w:p w:rsidR="00662F19" w:rsidRPr="00EF77A6" w:rsidRDefault="00662F19" w:rsidP="00EF77A6">
      <w:pPr>
        <w:spacing w:line="480" w:lineRule="auto"/>
        <w:rPr>
          <w:rFonts w:ascii="Verdana" w:hAnsi="Verdana" w:cs="Verdana"/>
        </w:rPr>
      </w:pPr>
    </w:p>
    <w:p w:rsidR="00662F19" w:rsidRDefault="00662F19">
      <w:pPr>
        <w:spacing w:after="0"/>
        <w:rPr>
          <w:rFonts w:ascii="Verdana" w:hAnsi="Verdana" w:cs="Verdana"/>
          <w:b/>
          <w:bCs/>
        </w:rPr>
      </w:pPr>
      <w:r>
        <w:rPr>
          <w:rFonts w:ascii="Verdana" w:hAnsi="Verdana" w:cs="Verdana"/>
          <w:b/>
          <w:bCs/>
        </w:rPr>
        <w:br w:type="page"/>
      </w:r>
    </w:p>
    <w:p w:rsidR="00662F19" w:rsidRPr="00AD11A8" w:rsidRDefault="00662F19" w:rsidP="00EF77A6">
      <w:pPr>
        <w:spacing w:line="480" w:lineRule="auto"/>
        <w:rPr>
          <w:rFonts w:ascii="Times New Roman" w:hAnsi="Times New Roman" w:cs="Times New Roman"/>
          <w:b/>
          <w:bCs/>
        </w:rPr>
      </w:pPr>
      <w:r w:rsidRPr="00AD11A8">
        <w:rPr>
          <w:rFonts w:ascii="Times New Roman" w:hAnsi="Times New Roman" w:cs="Times New Roman"/>
          <w:b/>
          <w:bCs/>
        </w:rPr>
        <w:t>Supplementary Figure legends</w:t>
      </w:r>
    </w:p>
    <w:p w:rsidR="00662F19" w:rsidRPr="00AD11A8" w:rsidRDefault="00662F19" w:rsidP="00EF77A6">
      <w:pPr>
        <w:spacing w:line="480" w:lineRule="auto"/>
        <w:rPr>
          <w:rFonts w:ascii="Times New Roman" w:hAnsi="Times New Roman" w:cs="Times New Roman"/>
          <w:b/>
          <w:bCs/>
        </w:rPr>
      </w:pPr>
      <w:r w:rsidRPr="00AD11A8">
        <w:rPr>
          <w:rFonts w:ascii="Times New Roman" w:hAnsi="Times New Roman" w:cs="Times New Roman"/>
          <w:b/>
          <w:bCs/>
        </w:rPr>
        <w:t>Supplementary Figure 1</w:t>
      </w:r>
    </w:p>
    <w:p w:rsidR="00662F19" w:rsidRPr="00AD11A8" w:rsidRDefault="00662F19" w:rsidP="00E0407D">
      <w:pPr>
        <w:spacing w:line="480" w:lineRule="auto"/>
        <w:rPr>
          <w:rFonts w:ascii="Times New Roman" w:hAnsi="Times New Roman" w:cs="Times New Roman"/>
        </w:rPr>
      </w:pPr>
      <w:r>
        <w:rPr>
          <w:rFonts w:ascii="Times New Roman" w:hAnsi="Times New Roman" w:cs="Times New Roman"/>
        </w:rPr>
        <w:t xml:space="preserve">A- </w:t>
      </w:r>
      <w:r w:rsidRPr="00AD11A8">
        <w:rPr>
          <w:rFonts w:ascii="Times New Roman" w:hAnsi="Times New Roman" w:cs="Times New Roman"/>
        </w:rPr>
        <w:t>Gallyas silver-positive structures in the hippocampus of non-injected</w:t>
      </w:r>
      <w:r>
        <w:rPr>
          <w:rFonts w:ascii="Times New Roman" w:hAnsi="Times New Roman" w:cs="Times New Roman"/>
        </w:rPr>
        <w:t xml:space="preserve"> </w:t>
      </w:r>
      <w:r w:rsidRPr="00DA1E77">
        <w:rPr>
          <w:rFonts w:ascii="Times New Roman" w:hAnsi="Times New Roman" w:cs="Times New Roman"/>
        </w:rPr>
        <w:t>(CO),</w:t>
      </w:r>
      <w:r w:rsidRPr="00AD11A8">
        <w:rPr>
          <w:rFonts w:ascii="Times New Roman" w:hAnsi="Times New Roman" w:cs="Times New Roman"/>
        </w:rPr>
        <w:t xml:space="preserve"> intraperitoneally injected </w:t>
      </w:r>
      <w:r w:rsidRPr="00DA1E77">
        <w:rPr>
          <w:rFonts w:ascii="Times New Roman" w:hAnsi="Times New Roman" w:cs="Times New Roman"/>
        </w:rPr>
        <w:t>(IP) and intracerebrally injected (IC)</w:t>
      </w:r>
      <w:r>
        <w:rPr>
          <w:rFonts w:ascii="Times New Roman" w:hAnsi="Times New Roman" w:cs="Times New Roman"/>
          <w:b/>
          <w:bCs/>
          <w:color w:val="FF0000"/>
        </w:rPr>
        <w:t xml:space="preserve"> </w:t>
      </w:r>
      <w:r w:rsidRPr="00AD11A8">
        <w:rPr>
          <w:rFonts w:ascii="Times New Roman" w:hAnsi="Times New Roman" w:cs="Times New Roman"/>
        </w:rPr>
        <w:t xml:space="preserve">mice heterozygous for human mutant P301S tau. Mice were injected with brainstem homogenate from homozygous transgenic mice at 3 months of age and analysed at 12 months. Two 100 </w:t>
      </w:r>
      <w:r>
        <w:rPr>
          <w:rFonts w:ascii="Times New Roman" w:hAnsi="Times New Roman" w:cs="Times New Roman"/>
        </w:rPr>
        <w:sym w:font="Symbol" w:char="006D"/>
      </w:r>
      <w:r w:rsidRPr="00AD11A8">
        <w:rPr>
          <w:rFonts w:ascii="Times New Roman" w:hAnsi="Times New Roman" w:cs="Times New Roman"/>
        </w:rPr>
        <w:t xml:space="preserve">l injections (one week apart) were given intraperitoneally and 2.5 </w:t>
      </w:r>
      <w:r>
        <w:rPr>
          <w:rFonts w:ascii="Times New Roman" w:hAnsi="Times New Roman" w:cs="Times New Roman"/>
        </w:rPr>
        <w:sym w:font="Symbol" w:char="006D"/>
      </w:r>
      <w:r w:rsidRPr="00AD11A8">
        <w:rPr>
          <w:rFonts w:ascii="Times New Roman" w:hAnsi="Times New Roman" w:cs="Times New Roman"/>
        </w:rPr>
        <w:t>l homogenate were injected into each the hippocampus and the overlying cerebral cortex</w:t>
      </w:r>
      <w:r>
        <w:rPr>
          <w:rFonts w:ascii="Times New Roman" w:hAnsi="Times New Roman" w:cs="Times New Roman"/>
        </w:rPr>
        <w:t xml:space="preserve"> </w:t>
      </w:r>
      <w:r w:rsidRPr="00DA1E77">
        <w:rPr>
          <w:rFonts w:ascii="Times New Roman" w:hAnsi="Times New Roman" w:cs="Times New Roman"/>
        </w:rPr>
        <w:t>(5µl in total).</w:t>
      </w:r>
      <w:r w:rsidRPr="00AD11A8">
        <w:rPr>
          <w:rFonts w:ascii="Times New Roman" w:hAnsi="Times New Roman" w:cs="Times New Roman"/>
        </w:rPr>
        <w:t xml:space="preserve"> Note the robust induction of silver positivity following the intracerebral injection of homogenate. The brain sections were counterstained with haematoxylin-eosin. Scale bar, 100 </w:t>
      </w:r>
      <w:r>
        <w:rPr>
          <w:rFonts w:ascii="Times New Roman" w:hAnsi="Times New Roman" w:cs="Times New Roman"/>
        </w:rPr>
        <w:sym w:font="Symbol" w:char="006D"/>
      </w:r>
      <w:r w:rsidRPr="00AD11A8">
        <w:rPr>
          <w:rFonts w:ascii="Times New Roman" w:hAnsi="Times New Roman" w:cs="Times New Roman"/>
        </w:rPr>
        <w:t>m.</w:t>
      </w:r>
    </w:p>
    <w:p w:rsidR="00662F19" w:rsidRPr="00DA1E77" w:rsidRDefault="00662F19" w:rsidP="00EF77A6">
      <w:pPr>
        <w:spacing w:line="480" w:lineRule="auto"/>
        <w:rPr>
          <w:rFonts w:ascii="Times New Roman" w:hAnsi="Times New Roman" w:cs="Times New Roman"/>
        </w:rPr>
      </w:pPr>
      <w:r w:rsidRPr="00DA1E77">
        <w:rPr>
          <w:rFonts w:ascii="Times New Roman" w:hAnsi="Times New Roman" w:cs="Times New Roman"/>
        </w:rPr>
        <w:t>B- Statistically significant differences between the three groups were determined by pixel-based t-tests and colour coded in the range of &lt;0.05. Statistically significant differences were apparent between non-injected and injected animals, with the major differences between IP- and IC-injected animals being located in the hippocampus, one of the two intracerebral injection sites. Each group consisted of 5 mice. *Rounding leads to an absolute zero, which reflects an infinitely small value (p is not identical to 0).</w:t>
      </w:r>
    </w:p>
    <w:p w:rsidR="00662F19" w:rsidRPr="00DA1E77" w:rsidRDefault="00662F19" w:rsidP="00EF77A6">
      <w:pPr>
        <w:spacing w:line="480" w:lineRule="auto"/>
        <w:rPr>
          <w:rFonts w:ascii="Times New Roman" w:hAnsi="Times New Roman" w:cs="Times New Roman"/>
        </w:rPr>
      </w:pPr>
    </w:p>
    <w:p w:rsidR="00662F19" w:rsidRPr="00DA1E77" w:rsidRDefault="00662F19" w:rsidP="00EF77A6">
      <w:pPr>
        <w:spacing w:line="480" w:lineRule="auto"/>
        <w:rPr>
          <w:rFonts w:ascii="Times New Roman" w:hAnsi="Times New Roman" w:cs="Times New Roman"/>
        </w:rPr>
      </w:pPr>
      <w:r w:rsidRPr="00DA1E77">
        <w:rPr>
          <w:rFonts w:ascii="Times New Roman" w:hAnsi="Times New Roman" w:cs="Times New Roman"/>
          <w:b/>
          <w:bCs/>
        </w:rPr>
        <w:t xml:space="preserve">Supplementary Figure 2 </w:t>
      </w:r>
    </w:p>
    <w:p w:rsidR="00662F19" w:rsidRPr="00DA1E77" w:rsidRDefault="00662F19" w:rsidP="005B6E7E">
      <w:pPr>
        <w:spacing w:line="480" w:lineRule="auto"/>
        <w:ind w:firstLine="426"/>
        <w:rPr>
          <w:rFonts w:ascii="Times New Roman" w:hAnsi="Times New Roman" w:cs="Times New Roman"/>
        </w:rPr>
      </w:pPr>
      <w:r>
        <w:rPr>
          <w:rFonts w:ascii="Times New Roman" w:hAnsi="Times New Roman" w:cs="Times New Roman"/>
        </w:rPr>
        <w:t>Enlarged version of Figure 2A, right panel (</w:t>
      </w:r>
      <w:r w:rsidRPr="00DA1E77">
        <w:rPr>
          <w:rFonts w:ascii="Times New Roman" w:hAnsi="Times New Roman" w:cs="Times New Roman"/>
        </w:rPr>
        <w:t>†</w:t>
      </w:r>
      <w:r>
        <w:rPr>
          <w:rFonts w:ascii="Times New Roman" w:hAnsi="Times New Roman" w:cs="Times New Roman"/>
        </w:rPr>
        <w:t xml:space="preserve">). </w:t>
      </w:r>
      <w:r w:rsidRPr="00DA1E77">
        <w:rPr>
          <w:rFonts w:ascii="Times New Roman" w:hAnsi="Times New Roman" w:cs="Times New Roman"/>
        </w:rPr>
        <w:t xml:space="preserve">Brain regions annotations: </w:t>
      </w:r>
      <w:r w:rsidRPr="00714690">
        <w:rPr>
          <w:rFonts w:ascii="Times New Roman" w:hAnsi="Times New Roman" w:cs="Times New Roman"/>
        </w:rPr>
        <w:t>secondary motor cortex (M2), ventral orbital cortex (VO), olfactory nucleus (Olf), pallidum (Pall), lateral preoptic area (PreOp), lateral habenular nucleus (Hab), thalamic nucleus (Thal), pretectal nucleus (PreTec), mesencephalic reticular formation (MesRet), pontine reticular nuc (Pont), gigantocellular nucleus (Gig), median vestibular nucles (Vest), solitary tract (Sol).</w:t>
      </w:r>
    </w:p>
    <w:p w:rsidR="00662F19" w:rsidRDefault="00662F19" w:rsidP="00EF77A6">
      <w:pPr>
        <w:spacing w:line="480" w:lineRule="auto"/>
        <w:rPr>
          <w:rFonts w:ascii="Times New Roman" w:hAnsi="Times New Roman" w:cs="Times New Roman"/>
        </w:rPr>
      </w:pPr>
    </w:p>
    <w:p w:rsidR="00662F19" w:rsidRPr="00DA1E77" w:rsidRDefault="00662F19" w:rsidP="00EF77A6">
      <w:pPr>
        <w:spacing w:line="480" w:lineRule="auto"/>
        <w:rPr>
          <w:rFonts w:ascii="Times New Roman" w:hAnsi="Times New Roman" w:cs="Times New Roman"/>
        </w:rPr>
      </w:pPr>
      <w:r w:rsidRPr="00DA1E77">
        <w:rPr>
          <w:rFonts w:ascii="Times New Roman" w:hAnsi="Times New Roman" w:cs="Times New Roman"/>
          <w:b/>
          <w:bCs/>
        </w:rPr>
        <w:t>Supplementary Figure 3</w:t>
      </w:r>
    </w:p>
    <w:p w:rsidR="00662F19" w:rsidRPr="00DA1E77" w:rsidRDefault="00662F19" w:rsidP="005B6E7E">
      <w:pPr>
        <w:spacing w:line="480" w:lineRule="auto"/>
        <w:ind w:firstLine="426"/>
        <w:rPr>
          <w:rFonts w:ascii="Times New Roman" w:hAnsi="Times New Roman" w:cs="Times New Roman"/>
        </w:rPr>
      </w:pPr>
      <w:r w:rsidRPr="00DA1E77">
        <w:rPr>
          <w:rFonts w:ascii="Times New Roman" w:hAnsi="Times New Roman" w:cs="Times New Roman"/>
        </w:rPr>
        <w:t xml:space="preserve">AT8 and AT100 immunohistochemistry in the brainstem of non-injected (CO) and intraperitoneally injected (IP) 12-month-old mice heterozygous for </w:t>
      </w:r>
      <w:r>
        <w:rPr>
          <w:rFonts w:ascii="Times New Roman" w:hAnsi="Times New Roman" w:cs="Times New Roman"/>
        </w:rPr>
        <w:t xml:space="preserve">human </w:t>
      </w:r>
      <w:r w:rsidRPr="00DA1E77">
        <w:rPr>
          <w:rFonts w:ascii="Times New Roman" w:hAnsi="Times New Roman" w:cs="Times New Roman"/>
        </w:rPr>
        <w:t xml:space="preserve">P301S tau protein mice. </w:t>
      </w:r>
      <w:r>
        <w:rPr>
          <w:rFonts w:ascii="Times New Roman" w:hAnsi="Times New Roman" w:cs="Times New Roman"/>
        </w:rPr>
        <w:t>T</w:t>
      </w:r>
      <w:r w:rsidRPr="00DA1E77">
        <w:rPr>
          <w:rFonts w:ascii="Times New Roman" w:hAnsi="Times New Roman" w:cs="Times New Roman"/>
        </w:rPr>
        <w:t xml:space="preserve">au immunoreactivity </w:t>
      </w:r>
      <w:r>
        <w:rPr>
          <w:rFonts w:ascii="Times New Roman" w:hAnsi="Times New Roman" w:cs="Times New Roman"/>
        </w:rPr>
        <w:t xml:space="preserve">was increased </w:t>
      </w:r>
      <w:r w:rsidRPr="00DA1E77">
        <w:rPr>
          <w:rFonts w:ascii="Times New Roman" w:hAnsi="Times New Roman" w:cs="Times New Roman"/>
        </w:rPr>
        <w:t>in IP injected mice compared to CO</w:t>
      </w:r>
      <w:r>
        <w:rPr>
          <w:rFonts w:ascii="Times New Roman" w:hAnsi="Times New Roman" w:cs="Times New Roman"/>
        </w:rPr>
        <w:t xml:space="preserve"> but no</w:t>
      </w:r>
      <w:r w:rsidRPr="00DA1E77">
        <w:rPr>
          <w:rFonts w:ascii="Times New Roman" w:hAnsi="Times New Roman" w:cs="Times New Roman"/>
        </w:rPr>
        <w:t xml:space="preserve"> difference in the pattern of tau pathology was observed. The brain sections were counterstained with haematoxylin-eosin. Scale bar, 100 </w:t>
      </w:r>
      <w:r w:rsidRPr="00DA1E77">
        <w:rPr>
          <w:rFonts w:ascii="Times New Roman" w:hAnsi="Times New Roman" w:cs="Times New Roman"/>
        </w:rPr>
        <w:sym w:font="Symbol" w:char="006D"/>
      </w:r>
      <w:r w:rsidRPr="00DA1E77">
        <w:rPr>
          <w:rFonts w:ascii="Times New Roman" w:hAnsi="Times New Roman" w:cs="Times New Roman"/>
        </w:rPr>
        <w:t>m.</w:t>
      </w:r>
    </w:p>
    <w:p w:rsidR="00662F19" w:rsidRPr="00AD11A8" w:rsidRDefault="00662F19" w:rsidP="00EF77A6">
      <w:pPr>
        <w:spacing w:line="480" w:lineRule="auto"/>
        <w:rPr>
          <w:rFonts w:ascii="Times New Roman" w:hAnsi="Times New Roman" w:cs="Times New Roman"/>
        </w:rPr>
      </w:pPr>
    </w:p>
    <w:p w:rsidR="00662F19" w:rsidRPr="00DA1E77" w:rsidRDefault="00662F19" w:rsidP="00EF77A6">
      <w:pPr>
        <w:spacing w:line="480" w:lineRule="auto"/>
        <w:rPr>
          <w:rFonts w:ascii="Times New Roman" w:hAnsi="Times New Roman" w:cs="Times New Roman"/>
          <w:b/>
          <w:bCs/>
        </w:rPr>
      </w:pPr>
      <w:r w:rsidRPr="00DA1E77">
        <w:rPr>
          <w:rFonts w:ascii="Times New Roman" w:hAnsi="Times New Roman" w:cs="Times New Roman"/>
          <w:b/>
          <w:bCs/>
        </w:rPr>
        <w:t>Supplementary Figure 4</w:t>
      </w:r>
    </w:p>
    <w:p w:rsidR="00662F19" w:rsidRPr="00AD11A8" w:rsidRDefault="00662F19" w:rsidP="00EF77A6">
      <w:pPr>
        <w:spacing w:line="480" w:lineRule="auto"/>
        <w:ind w:firstLine="360"/>
        <w:rPr>
          <w:rFonts w:ascii="Times New Roman" w:hAnsi="Times New Roman" w:cs="Times New Roman"/>
        </w:rPr>
      </w:pPr>
      <w:r w:rsidRPr="00AD11A8">
        <w:rPr>
          <w:rFonts w:ascii="Times New Roman" w:hAnsi="Times New Roman" w:cs="Times New Roman"/>
        </w:rPr>
        <w:t>Automated assessment of Gallyas silver-positive structures per cell nucleus (G/N ratios), at lateral 0.60 mm from bregma.</w:t>
      </w:r>
    </w:p>
    <w:p w:rsidR="00662F19" w:rsidRPr="00AD11A8" w:rsidRDefault="00662F19" w:rsidP="00AD11A8">
      <w:pPr>
        <w:spacing w:line="480" w:lineRule="auto"/>
        <w:rPr>
          <w:rFonts w:ascii="Times New Roman" w:hAnsi="Times New Roman" w:cs="Times New Roman"/>
        </w:rPr>
      </w:pPr>
      <w:r>
        <w:rPr>
          <w:rFonts w:ascii="Times New Roman" w:hAnsi="Times New Roman" w:cs="Times New Roman"/>
        </w:rPr>
        <w:t xml:space="preserve">A- </w:t>
      </w:r>
      <w:r w:rsidRPr="00AD11A8">
        <w:rPr>
          <w:rFonts w:ascii="Times New Roman" w:hAnsi="Times New Roman" w:cs="Times New Roman"/>
        </w:rPr>
        <w:t>Mosaic image representing the raw data after slide scanning, together with the annotation of the brain areas to analyse. Brain regions were not pre-defined, in the interest of objectivity. The regions of interest were joined together for G/N analysis. The red and yellow dots represent landmarks used for superimposition.</w:t>
      </w:r>
    </w:p>
    <w:p w:rsidR="00662F19" w:rsidRPr="00AD11A8" w:rsidRDefault="00662F19" w:rsidP="00AD11A8">
      <w:pPr>
        <w:spacing w:line="480" w:lineRule="auto"/>
        <w:rPr>
          <w:rFonts w:ascii="Verdana" w:hAnsi="Verdana" w:cs="Verdana"/>
        </w:rPr>
      </w:pPr>
      <w:r>
        <w:rPr>
          <w:rFonts w:ascii="Times New Roman" w:hAnsi="Times New Roman" w:cs="Times New Roman"/>
        </w:rPr>
        <w:t xml:space="preserve">B- </w:t>
      </w:r>
      <w:r w:rsidRPr="00AD11A8">
        <w:rPr>
          <w:rFonts w:ascii="Times New Roman" w:hAnsi="Times New Roman" w:cs="Times New Roman"/>
        </w:rPr>
        <w:t>Colour-coded representation of the G/N ratios per tile, overlaid on top of the image shown in (A). The colour map corresponds to the scale in Supplementary Figure 2.</w:t>
      </w:r>
    </w:p>
    <w:p w:rsidR="00662F19" w:rsidRPr="00A37534" w:rsidRDefault="00662F19" w:rsidP="00A37534">
      <w:pPr>
        <w:spacing w:after="0"/>
        <w:rPr>
          <w:rFonts w:ascii="Verdana" w:hAnsi="Verdana" w:cs="Verdana"/>
        </w:rPr>
      </w:pPr>
    </w:p>
    <w:sectPr w:rsidR="00662F19" w:rsidRPr="00A37534" w:rsidSect="00205AB1">
      <w:footerReference w:type="default" r:id="rId13"/>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F19" w:rsidRDefault="00662F19" w:rsidP="00F92A7D">
      <w:pPr>
        <w:spacing w:after="0"/>
      </w:pPr>
      <w:r>
        <w:separator/>
      </w:r>
    </w:p>
  </w:endnote>
  <w:endnote w:type="continuationSeparator" w:id="0">
    <w:p w:rsidR="00662F19" w:rsidRDefault="00662F19" w:rsidP="00F92A7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Symbol">
    <w:panose1 w:val="05050102010706020507"/>
    <w:charset w:val="00"/>
    <w:family w:val="decorative"/>
    <w:notTrueType/>
    <w:pitch w:val="variable"/>
    <w:sig w:usb0="00000083" w:usb1="00000000" w:usb2="00000000" w:usb3="00000000" w:csb0="00000009"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19" w:rsidRDefault="00662F19" w:rsidP="00E0407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62F19" w:rsidRDefault="00662F19" w:rsidP="00F92A7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F19" w:rsidRDefault="00662F19" w:rsidP="00F92A7D">
      <w:pPr>
        <w:spacing w:after="0"/>
      </w:pPr>
      <w:r>
        <w:separator/>
      </w:r>
    </w:p>
  </w:footnote>
  <w:footnote w:type="continuationSeparator" w:id="0">
    <w:p w:rsidR="00662F19" w:rsidRDefault="00662F19" w:rsidP="00F92A7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E42FE"/>
    <w:multiLevelType w:val="hybridMultilevel"/>
    <w:tmpl w:val="61B844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0F22"/>
    <w:rsid w:val="000D6BCD"/>
    <w:rsid w:val="000E1951"/>
    <w:rsid w:val="00205AB1"/>
    <w:rsid w:val="0024070E"/>
    <w:rsid w:val="00444880"/>
    <w:rsid w:val="00464366"/>
    <w:rsid w:val="004F4014"/>
    <w:rsid w:val="005232B8"/>
    <w:rsid w:val="00526290"/>
    <w:rsid w:val="005B6E7E"/>
    <w:rsid w:val="005E3D4E"/>
    <w:rsid w:val="00662F19"/>
    <w:rsid w:val="00714690"/>
    <w:rsid w:val="009A40CF"/>
    <w:rsid w:val="00A37534"/>
    <w:rsid w:val="00AB2BA6"/>
    <w:rsid w:val="00AD11A8"/>
    <w:rsid w:val="00B37566"/>
    <w:rsid w:val="00C21338"/>
    <w:rsid w:val="00C9334B"/>
    <w:rsid w:val="00CE636B"/>
    <w:rsid w:val="00D163E1"/>
    <w:rsid w:val="00DA1E77"/>
    <w:rsid w:val="00DE519A"/>
    <w:rsid w:val="00DF5B26"/>
    <w:rsid w:val="00E0407D"/>
    <w:rsid w:val="00EF77A6"/>
    <w:rsid w:val="00F92A7D"/>
    <w:rsid w:val="00F92E3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7A6"/>
    <w:pPr>
      <w:spacing w:after="200"/>
    </w:pPr>
    <w:rPr>
      <w:rFonts w:cs="Cambria"/>
      <w:sz w:val="24"/>
      <w:szCs w:val="24"/>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77A6"/>
    <w:pPr>
      <w:ind w:left="720"/>
    </w:pPr>
  </w:style>
  <w:style w:type="paragraph" w:styleId="BalloonText">
    <w:name w:val="Balloon Text"/>
    <w:basedOn w:val="Normal"/>
    <w:link w:val="BalloonTextChar"/>
    <w:uiPriority w:val="99"/>
    <w:semiHidden/>
    <w:rsid w:val="00DE519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DE519A"/>
    <w:rPr>
      <w:rFonts w:ascii="Lucida Grande" w:eastAsia="Times New Roman" w:hAnsi="Lucida Grande" w:cs="Lucida Grande"/>
      <w:sz w:val="18"/>
      <w:szCs w:val="18"/>
      <w:lang w:val="en-GB" w:eastAsia="en-US"/>
    </w:rPr>
  </w:style>
  <w:style w:type="character" w:styleId="Hyperlink">
    <w:name w:val="Hyperlink"/>
    <w:basedOn w:val="DefaultParagraphFont"/>
    <w:uiPriority w:val="99"/>
    <w:rsid w:val="00AD11A8"/>
    <w:rPr>
      <w:color w:val="0000FF"/>
      <w:u w:val="single"/>
    </w:rPr>
  </w:style>
  <w:style w:type="paragraph" w:styleId="Footer">
    <w:name w:val="footer"/>
    <w:basedOn w:val="Normal"/>
    <w:link w:val="FooterChar"/>
    <w:uiPriority w:val="99"/>
    <w:rsid w:val="00F92A7D"/>
    <w:pPr>
      <w:tabs>
        <w:tab w:val="center" w:pos="4703"/>
        <w:tab w:val="right" w:pos="9406"/>
      </w:tabs>
      <w:spacing w:after="0"/>
    </w:pPr>
  </w:style>
  <w:style w:type="character" w:customStyle="1" w:styleId="FooterChar">
    <w:name w:val="Footer Char"/>
    <w:basedOn w:val="DefaultParagraphFont"/>
    <w:link w:val="Footer"/>
    <w:uiPriority w:val="99"/>
    <w:locked/>
    <w:rsid w:val="00F92A7D"/>
    <w:rPr>
      <w:rFonts w:eastAsia="Times New Roman"/>
      <w:lang w:val="en-GB" w:eastAsia="en-US"/>
    </w:rPr>
  </w:style>
  <w:style w:type="character" w:styleId="PageNumber">
    <w:name w:val="page number"/>
    <w:basedOn w:val="DefaultParagraphFont"/>
    <w:uiPriority w:val="99"/>
    <w:semiHidden/>
    <w:rsid w:val="00F92A7D"/>
  </w:style>
  <w:style w:type="character" w:styleId="FollowedHyperlink">
    <w:name w:val="FollowedHyperlink"/>
    <w:basedOn w:val="DefaultParagraphFont"/>
    <w:uiPriority w:val="99"/>
    <w:semiHidden/>
    <w:rsid w:val="00714690"/>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agemagick.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hdk.wikia.com/wiki/CHDK" TargetMode="External"/><Relationship Id="rId12" Type="http://schemas.openxmlformats.org/officeDocument/2006/relationships/hyperlink" Target="http://rsb.info.nih.gov/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Takao%20M%5BAuthor%5D&amp;cauthor=true&amp;cauthor_uid=124176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cbi.nlm.nih.gov/pubmed?term=Ingram%20E%5BAuthor%5D&amp;cauthor=true&amp;cauthor_uid=12417659" TargetMode="External"/><Relationship Id="rId4" Type="http://schemas.openxmlformats.org/officeDocument/2006/relationships/webSettings" Target="webSettings.xml"/><Relationship Id="rId9" Type="http://schemas.openxmlformats.org/officeDocument/2006/relationships/hyperlink" Target="http://www.octav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1724</Words>
  <Characters>9831</Characters>
  <Application>Microsoft Office Outlook</Application>
  <DocSecurity>0</DocSecurity>
  <Lines>0</Lines>
  <Paragraphs>0</Paragraphs>
  <ScaleCrop>false</ScaleCrop>
  <Company>Institut de pathologie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Clavaguera</dc:creator>
  <cp:keywords/>
  <dc:description/>
  <cp:lastModifiedBy>0000431</cp:lastModifiedBy>
  <cp:revision>3</cp:revision>
  <dcterms:created xsi:type="dcterms:W3CDTF">2013-12-17T12:24:00Z</dcterms:created>
  <dcterms:modified xsi:type="dcterms:W3CDTF">2013-12-18T08:39:00Z</dcterms:modified>
</cp:coreProperties>
</file>