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6E7EC1" w14:textId="32C1A123" w:rsidR="000D3D96" w:rsidRDefault="000D3D96" w:rsidP="000D3D96">
      <w:pPr>
        <w:rPr>
          <w:b/>
          <w:lang w:val="en-US"/>
        </w:rPr>
      </w:pPr>
      <w:r>
        <w:rPr>
          <w:b/>
          <w:lang w:val="en-US"/>
        </w:rPr>
        <w:t>SUPPLEMENTARY FIGURES</w:t>
      </w:r>
    </w:p>
    <w:p w14:paraId="5104851F" w14:textId="77777777" w:rsidR="001A7522" w:rsidRDefault="001A7522" w:rsidP="000D3D96">
      <w:pPr>
        <w:rPr>
          <w:b/>
          <w:lang w:val="en-US"/>
        </w:rPr>
      </w:pPr>
    </w:p>
    <w:p w14:paraId="160191BA" w14:textId="77777777" w:rsidR="000D3D96" w:rsidRPr="007E2558" w:rsidRDefault="000D3D96" w:rsidP="000D3D96">
      <w:pPr>
        <w:rPr>
          <w:lang w:val="en-US"/>
        </w:rPr>
      </w:pPr>
      <w:r w:rsidRPr="007E2558">
        <w:rPr>
          <w:lang w:val="en-US"/>
        </w:rPr>
        <w:t>Supplementary Figure 1</w:t>
      </w:r>
    </w:p>
    <w:p w14:paraId="419BB6FB" w14:textId="3C68AEFB" w:rsidR="000D3D96" w:rsidRPr="0063720F" w:rsidRDefault="00EC4935" w:rsidP="000D3D96">
      <w:pPr>
        <w:rPr>
          <w:lang w:val="en-US"/>
        </w:rPr>
      </w:pPr>
      <w:r>
        <w:rPr>
          <w:noProof/>
          <w:lang w:eastAsia="de-DE"/>
        </w:rPr>
        <w:drawing>
          <wp:inline distT="0" distB="0" distL="0" distR="0" wp14:anchorId="390DE1D2" wp14:editId="597C12F0">
            <wp:extent cx="5756910" cy="6363970"/>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upp_Fig1-01.jpg"/>
                    <pic:cNvPicPr/>
                  </pic:nvPicPr>
                  <pic:blipFill>
                    <a:blip r:embed="rId9"/>
                    <a:stretch>
                      <a:fillRect/>
                    </a:stretch>
                  </pic:blipFill>
                  <pic:spPr>
                    <a:xfrm>
                      <a:off x="0" y="0"/>
                      <a:ext cx="5756910" cy="6363970"/>
                    </a:xfrm>
                    <a:prstGeom prst="rect">
                      <a:avLst/>
                    </a:prstGeom>
                  </pic:spPr>
                </pic:pic>
              </a:graphicData>
            </a:graphic>
          </wp:inline>
        </w:drawing>
      </w:r>
    </w:p>
    <w:p w14:paraId="6B5FB9D2" w14:textId="7373B163" w:rsidR="00EC4935" w:rsidRPr="00AD0772" w:rsidRDefault="00700260" w:rsidP="00EC4935">
      <w:pPr>
        <w:spacing w:line="480" w:lineRule="auto"/>
        <w:jc w:val="both"/>
        <w:rPr>
          <w:color w:val="000000" w:themeColor="text1"/>
          <w:lang w:val="en-US"/>
        </w:rPr>
      </w:pPr>
      <w:r>
        <w:rPr>
          <w:b/>
          <w:lang w:val="en-US"/>
        </w:rPr>
        <w:t xml:space="preserve">Supplementary </w:t>
      </w:r>
      <w:r w:rsidR="000D3D96" w:rsidRPr="008D463F">
        <w:rPr>
          <w:b/>
          <w:lang w:val="en-US"/>
        </w:rPr>
        <w:t>Fig.</w:t>
      </w:r>
      <w:r w:rsidR="000D3D96">
        <w:rPr>
          <w:b/>
          <w:lang w:val="en-US"/>
        </w:rPr>
        <w:t xml:space="preserve"> </w:t>
      </w:r>
      <w:r w:rsidR="000D3D96" w:rsidRPr="008D463F">
        <w:rPr>
          <w:b/>
          <w:lang w:val="en-US"/>
        </w:rPr>
        <w:t>1</w:t>
      </w:r>
      <w:r w:rsidR="000D3D96">
        <w:rPr>
          <w:lang w:val="en-US"/>
        </w:rPr>
        <w:t xml:space="preserve"> </w:t>
      </w:r>
      <w:r w:rsidR="000D3D96" w:rsidRPr="006A70F4">
        <w:rPr>
          <w:lang w:val="en-US"/>
        </w:rPr>
        <w:t>IL-1R1 is expressed by BBB-ECs.</w:t>
      </w:r>
      <w:r w:rsidR="000D3D96" w:rsidRPr="006A70F4">
        <w:rPr>
          <w:b/>
          <w:lang w:val="en-US"/>
        </w:rPr>
        <w:t xml:space="preserve"> </w:t>
      </w:r>
      <w:r w:rsidR="000D3D96" w:rsidRPr="006A70F4">
        <w:rPr>
          <w:lang w:val="en-US"/>
        </w:rPr>
        <w:t>Analysis of active EAE induction by immunization with MOG</w:t>
      </w:r>
      <w:r w:rsidR="000D3D96" w:rsidRPr="006A70F4">
        <w:rPr>
          <w:vertAlign w:val="subscript"/>
          <w:lang w:val="en-US"/>
        </w:rPr>
        <w:t>35-55</w:t>
      </w:r>
      <w:r w:rsidR="000D3D96" w:rsidRPr="006A70F4">
        <w:rPr>
          <w:lang w:val="en-US"/>
        </w:rPr>
        <w:t>/CFA</w:t>
      </w:r>
      <w:r w:rsidR="000D3D96" w:rsidRPr="006A70F4">
        <w:rPr>
          <w:vertAlign w:val="subscript"/>
          <w:lang w:val="en-US"/>
        </w:rPr>
        <w:t xml:space="preserve"> </w:t>
      </w:r>
      <w:r w:rsidR="000D3D96" w:rsidRPr="006A70F4">
        <w:rPr>
          <w:lang w:val="en-US"/>
        </w:rPr>
        <w:t>and PTx injection of mice of the indicated genotypes. CNS tissue was isolated at indicated time</w:t>
      </w:r>
      <w:r w:rsidR="00E971B4">
        <w:rPr>
          <w:lang w:val="en-US"/>
        </w:rPr>
        <w:t xml:space="preserve"> </w:t>
      </w:r>
      <w:bookmarkStart w:id="0" w:name="_GoBack"/>
      <w:bookmarkEnd w:id="0"/>
      <w:r w:rsidR="000D3D96" w:rsidRPr="006A70F4">
        <w:rPr>
          <w:lang w:val="en-US"/>
        </w:rPr>
        <w:t>points and single cell suspensions were analyzed by flow cytometry.</w:t>
      </w:r>
      <w:r w:rsidR="000D3D96" w:rsidRPr="006A70F4">
        <w:rPr>
          <w:b/>
          <w:lang w:val="en-US"/>
        </w:rPr>
        <w:t xml:space="preserve"> </w:t>
      </w:r>
      <w:r w:rsidR="000D3D96">
        <w:rPr>
          <w:b/>
          <w:lang w:val="en-US"/>
        </w:rPr>
        <w:t>a</w:t>
      </w:r>
      <w:r w:rsidR="000D3D96" w:rsidRPr="006A70F4">
        <w:rPr>
          <w:lang w:val="en-US"/>
        </w:rPr>
        <w:t xml:space="preserve"> Representative gating strategy to identify living CD45</w:t>
      </w:r>
      <w:r w:rsidR="000D3D96" w:rsidRPr="006A70F4">
        <w:rPr>
          <w:vertAlign w:val="superscript"/>
          <w:lang w:val="en-US"/>
        </w:rPr>
        <w:t>-</w:t>
      </w:r>
      <w:r w:rsidR="000D3D96" w:rsidRPr="006A70F4">
        <w:rPr>
          <w:lang w:val="en-US"/>
        </w:rPr>
        <w:t>CD11b</w:t>
      </w:r>
      <w:r w:rsidR="000D3D96" w:rsidRPr="006A70F4">
        <w:rPr>
          <w:vertAlign w:val="superscript"/>
          <w:lang w:val="en-US"/>
        </w:rPr>
        <w:t>-</w:t>
      </w:r>
      <w:r w:rsidR="000D3D96" w:rsidRPr="006A70F4">
        <w:rPr>
          <w:lang w:val="en-US"/>
        </w:rPr>
        <w:t>CD31</w:t>
      </w:r>
      <w:r w:rsidR="000D3D96" w:rsidRPr="006A70F4">
        <w:rPr>
          <w:vertAlign w:val="superscript"/>
          <w:lang w:val="en-US"/>
        </w:rPr>
        <w:t>+</w:t>
      </w:r>
      <w:r w:rsidR="000D3D96" w:rsidRPr="006A70F4" w:rsidDel="008D52E5">
        <w:rPr>
          <w:lang w:val="en-US"/>
        </w:rPr>
        <w:t xml:space="preserve"> </w:t>
      </w:r>
      <w:r w:rsidR="000D3D96" w:rsidRPr="006A70F4">
        <w:rPr>
          <w:lang w:val="en-US"/>
        </w:rPr>
        <w:t>BBB-ECs, CD45</w:t>
      </w:r>
      <w:r w:rsidR="000D3D96" w:rsidRPr="006A70F4">
        <w:rPr>
          <w:vertAlign w:val="superscript"/>
          <w:lang w:val="en-US"/>
        </w:rPr>
        <w:t>int</w:t>
      </w:r>
      <w:r w:rsidR="000D3D96" w:rsidRPr="006A70F4">
        <w:rPr>
          <w:lang w:val="en-US"/>
        </w:rPr>
        <w:t>CD11b</w:t>
      </w:r>
      <w:r w:rsidR="000D3D96" w:rsidRPr="006A70F4">
        <w:rPr>
          <w:vertAlign w:val="superscript"/>
          <w:lang w:val="en-US"/>
        </w:rPr>
        <w:t>+</w:t>
      </w:r>
      <w:r w:rsidR="000D3D96" w:rsidRPr="006A70F4">
        <w:rPr>
          <w:lang w:val="en-US"/>
        </w:rPr>
        <w:t xml:space="preserve"> microglia and CD45</w:t>
      </w:r>
      <w:r w:rsidR="000D3D96" w:rsidRPr="006A70F4">
        <w:rPr>
          <w:vertAlign w:val="superscript"/>
          <w:lang w:val="en-US"/>
        </w:rPr>
        <w:t>-</w:t>
      </w:r>
      <w:r w:rsidR="000D3D96" w:rsidRPr="006A70F4">
        <w:rPr>
          <w:lang w:val="en-US"/>
        </w:rPr>
        <w:t>CD11b</w:t>
      </w:r>
      <w:r w:rsidR="000D3D96" w:rsidRPr="006A70F4">
        <w:rPr>
          <w:vertAlign w:val="superscript"/>
          <w:lang w:val="en-US"/>
        </w:rPr>
        <w:t>-</w:t>
      </w:r>
      <w:r w:rsidR="000D3D96" w:rsidRPr="006A70F4">
        <w:rPr>
          <w:lang w:val="en-US"/>
        </w:rPr>
        <w:t>GFAP</w:t>
      </w:r>
      <w:r w:rsidR="000D3D96" w:rsidRPr="006A70F4">
        <w:rPr>
          <w:vertAlign w:val="superscript"/>
          <w:lang w:val="en-US"/>
        </w:rPr>
        <w:t xml:space="preserve">+ </w:t>
      </w:r>
      <w:r w:rsidR="000D3D96" w:rsidRPr="006A70F4">
        <w:rPr>
          <w:lang w:val="en-US"/>
        </w:rPr>
        <w:t xml:space="preserve">astrocytes by flow cytometry. </w:t>
      </w:r>
      <w:r w:rsidR="000D3D96" w:rsidRPr="006A70F4">
        <w:rPr>
          <w:b/>
          <w:lang w:val="en-US"/>
        </w:rPr>
        <w:t xml:space="preserve">b </w:t>
      </w:r>
      <w:r w:rsidR="000D3D96" w:rsidRPr="006A70F4">
        <w:rPr>
          <w:lang w:val="en-US"/>
        </w:rPr>
        <w:t>Representative flow cytometry histograms of IL-1R1</w:t>
      </w:r>
      <w:r w:rsidR="000D3D96" w:rsidRPr="006A70F4">
        <w:rPr>
          <w:vertAlign w:val="superscript"/>
          <w:lang w:val="en-US"/>
        </w:rPr>
        <w:t xml:space="preserve"> </w:t>
      </w:r>
      <w:r w:rsidR="000D3D96" w:rsidRPr="006A70F4">
        <w:rPr>
          <w:lang w:val="en-US"/>
        </w:rPr>
        <w:t xml:space="preserve">expression by BBB-ECs, microglia </w:t>
      </w:r>
      <w:r w:rsidR="000D3D96" w:rsidRPr="006A70F4">
        <w:rPr>
          <w:lang w:val="en-US"/>
        </w:rPr>
        <w:lastRenderedPageBreak/>
        <w:t xml:space="preserve">and astrocytes, respectively, comparing cells isolated from WT or IL-1R1-deficient mice at different time points post immunization. </w:t>
      </w:r>
      <w:r w:rsidR="000D3D96" w:rsidRPr="006A70F4">
        <w:rPr>
          <w:b/>
          <w:lang w:val="en-US"/>
        </w:rPr>
        <w:t>c</w:t>
      </w:r>
      <w:r w:rsidR="000D3D96" w:rsidRPr="006A70F4">
        <w:rPr>
          <w:lang w:val="en-US"/>
        </w:rPr>
        <w:t xml:space="preserve"> Frequencies of IL-1R1</w:t>
      </w:r>
      <w:r w:rsidR="000D3D96" w:rsidRPr="006A70F4">
        <w:rPr>
          <w:vertAlign w:val="superscript"/>
          <w:lang w:val="en-US"/>
        </w:rPr>
        <w:t>+</w:t>
      </w:r>
      <w:r w:rsidR="000D3D96" w:rsidRPr="006A70F4">
        <w:rPr>
          <w:lang w:val="en-US"/>
        </w:rPr>
        <w:t xml:space="preserve"> BBB-ECs at different time points post immunization. Data in </w:t>
      </w:r>
      <w:r w:rsidR="000D3D96" w:rsidRPr="006A70F4">
        <w:rPr>
          <w:b/>
          <w:lang w:val="en-US"/>
        </w:rPr>
        <w:t>b</w:t>
      </w:r>
      <w:r w:rsidR="000D3D96" w:rsidRPr="006A70F4">
        <w:rPr>
          <w:lang w:val="en-US"/>
        </w:rPr>
        <w:t xml:space="preserve"> and </w:t>
      </w:r>
      <w:r w:rsidR="000D3D96" w:rsidRPr="006A70F4">
        <w:rPr>
          <w:b/>
          <w:lang w:val="en-US"/>
        </w:rPr>
        <w:t xml:space="preserve">c </w:t>
      </w:r>
      <w:r w:rsidR="000D3D96" w:rsidRPr="006A70F4">
        <w:rPr>
          <w:lang w:val="en-US"/>
        </w:rPr>
        <w:t xml:space="preserve">is representative for three individual experiments with at least n=4 per group. </w:t>
      </w:r>
      <w:r w:rsidR="000D3D96" w:rsidRPr="006A70F4">
        <w:rPr>
          <w:b/>
          <w:lang w:val="en-US"/>
        </w:rPr>
        <w:t>d</w:t>
      </w:r>
      <w:r w:rsidR="000D3D96" w:rsidRPr="006A70F4">
        <w:rPr>
          <w:lang w:val="en-US"/>
        </w:rPr>
        <w:t xml:space="preserve"> Brain and spinal cord tissues were isolated from mice of the indicated genotypes at day 10 post immunization and single cell suspensions were analyzed by flow cytometry for IL-1R1 expression. Shown is a representative histogram of brain tissue and the quantification of the frequencies of IL-1R1</w:t>
      </w:r>
      <w:r w:rsidR="000D3D96" w:rsidRPr="006A70F4">
        <w:rPr>
          <w:vertAlign w:val="superscript"/>
          <w:lang w:val="en-US"/>
        </w:rPr>
        <w:t>+</w:t>
      </w:r>
      <w:r w:rsidR="000D3D96" w:rsidRPr="006A70F4">
        <w:rPr>
          <w:b/>
          <w:lang w:val="en-US"/>
        </w:rPr>
        <w:t xml:space="preserve"> </w:t>
      </w:r>
      <w:r w:rsidR="000D3D96" w:rsidRPr="006A70F4">
        <w:rPr>
          <w:lang w:val="en-US"/>
        </w:rPr>
        <w:t>ECs</w:t>
      </w:r>
      <w:r w:rsidR="00665FC6">
        <w:rPr>
          <w:lang w:val="en-US"/>
        </w:rPr>
        <w:t xml:space="preserve"> isolated from the indicated parts of the CNS</w:t>
      </w:r>
      <w:r w:rsidR="000D3D96" w:rsidRPr="006A70F4">
        <w:rPr>
          <w:lang w:val="en-US"/>
        </w:rPr>
        <w:t xml:space="preserve">. Data in </w:t>
      </w:r>
      <w:r w:rsidR="000D3D96" w:rsidRPr="006A70F4">
        <w:rPr>
          <w:b/>
          <w:lang w:val="en-US"/>
        </w:rPr>
        <w:t>d</w:t>
      </w:r>
      <w:r w:rsidR="000D3D96" w:rsidRPr="006A70F4">
        <w:rPr>
          <w:lang w:val="en-US"/>
        </w:rPr>
        <w:t xml:space="preserve"> is representative for three individual experiments with at least n=3 per group. Data in </w:t>
      </w:r>
      <w:r w:rsidR="000D3D96" w:rsidRPr="006A70F4">
        <w:rPr>
          <w:b/>
          <w:lang w:val="en-US"/>
        </w:rPr>
        <w:t xml:space="preserve">c </w:t>
      </w:r>
      <w:r w:rsidR="000D3D96" w:rsidRPr="006A70F4">
        <w:rPr>
          <w:lang w:val="en-US"/>
        </w:rPr>
        <w:t xml:space="preserve">is shown as mean ± SEM and analyzed using 1-way ANOVA with Bonferroni’s post hoc test. Data in </w:t>
      </w:r>
      <w:r w:rsidR="000D3D96" w:rsidRPr="006A70F4">
        <w:rPr>
          <w:b/>
          <w:lang w:val="en-US"/>
        </w:rPr>
        <w:t>d</w:t>
      </w:r>
      <w:r w:rsidR="000D3D96" w:rsidRPr="006A70F4">
        <w:rPr>
          <w:lang w:val="en-US"/>
        </w:rPr>
        <w:t xml:space="preserve"> is shown as mean ± SEM</w:t>
      </w:r>
      <w:r w:rsidR="00EC4935">
        <w:rPr>
          <w:lang w:val="en-US"/>
        </w:rPr>
        <w:t xml:space="preserve"> </w:t>
      </w:r>
      <w:r w:rsidR="00EC4935" w:rsidRPr="006A70F4">
        <w:rPr>
          <w:lang w:val="en-US"/>
        </w:rPr>
        <w:t xml:space="preserve">SEM and analyzed using two-tailed </w:t>
      </w:r>
      <w:r w:rsidR="00EC4935" w:rsidRPr="006A70F4">
        <w:rPr>
          <w:bCs/>
          <w:lang w:val="en-US"/>
        </w:rPr>
        <w:t>unpaired student’s t-test</w:t>
      </w:r>
      <w:r w:rsidR="00EC4935">
        <w:rPr>
          <w:bCs/>
          <w:lang w:val="en-US"/>
        </w:rPr>
        <w:t xml:space="preserve"> </w:t>
      </w:r>
      <w:r w:rsidR="00EC4935" w:rsidRPr="001C6A76">
        <w:rPr>
          <w:color w:val="000000" w:themeColor="text1"/>
          <w:lang w:val="en-US"/>
        </w:rPr>
        <w:t>*** p&lt;0.001</w:t>
      </w:r>
    </w:p>
    <w:p w14:paraId="0DC78451" w14:textId="00A040B6" w:rsidR="000D3D96" w:rsidRDefault="000D3D96" w:rsidP="000D3D96">
      <w:pPr>
        <w:spacing w:line="480" w:lineRule="auto"/>
        <w:jc w:val="both"/>
        <w:rPr>
          <w:lang w:val="en-US"/>
        </w:rPr>
      </w:pPr>
    </w:p>
    <w:p w14:paraId="31333A7D" w14:textId="6221C493" w:rsidR="00D31545" w:rsidRDefault="000D3D96" w:rsidP="00D31545">
      <w:pPr>
        <w:rPr>
          <w:lang w:val="en-US"/>
        </w:rPr>
      </w:pPr>
      <w:r>
        <w:rPr>
          <w:lang w:val="en-US"/>
        </w:rPr>
        <w:br w:type="page"/>
      </w:r>
      <w:r w:rsidR="00D31545" w:rsidRPr="007E2558">
        <w:rPr>
          <w:lang w:val="en-US"/>
        </w:rPr>
        <w:lastRenderedPageBreak/>
        <w:t xml:space="preserve">Supplementary Figure </w:t>
      </w:r>
      <w:r w:rsidR="00D31545">
        <w:rPr>
          <w:lang w:val="en-US"/>
        </w:rPr>
        <w:t>2</w:t>
      </w:r>
    </w:p>
    <w:p w14:paraId="3A2BD5B1" w14:textId="1B9906C5" w:rsidR="000D3D96" w:rsidRPr="001C6A76" w:rsidRDefault="006F5CEF" w:rsidP="00C87AA8">
      <w:pPr>
        <w:rPr>
          <w:lang w:val="en-US"/>
        </w:rPr>
      </w:pPr>
      <w:r>
        <w:rPr>
          <w:noProof/>
          <w:lang w:eastAsia="de-DE"/>
        </w:rPr>
        <w:drawing>
          <wp:inline distT="0" distB="0" distL="0" distR="0" wp14:anchorId="212DB0CE" wp14:editId="0B22B4D2">
            <wp:extent cx="5702300" cy="5791200"/>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MOG-CFA-01.jpg"/>
                    <pic:cNvPicPr/>
                  </pic:nvPicPr>
                  <pic:blipFill>
                    <a:blip r:embed="rId10"/>
                    <a:stretch>
                      <a:fillRect/>
                    </a:stretch>
                  </pic:blipFill>
                  <pic:spPr>
                    <a:xfrm>
                      <a:off x="0" y="0"/>
                      <a:ext cx="5702300" cy="5791200"/>
                    </a:xfrm>
                    <a:prstGeom prst="rect">
                      <a:avLst/>
                    </a:prstGeom>
                  </pic:spPr>
                </pic:pic>
              </a:graphicData>
            </a:graphic>
          </wp:inline>
        </w:drawing>
      </w:r>
    </w:p>
    <w:p w14:paraId="64A95556" w14:textId="68985549" w:rsidR="00720441" w:rsidRPr="009600E8" w:rsidRDefault="00700260" w:rsidP="009600E8">
      <w:pPr>
        <w:spacing w:line="480" w:lineRule="auto"/>
        <w:jc w:val="both"/>
        <w:rPr>
          <w:color w:val="000000" w:themeColor="text1"/>
          <w:lang w:val="en-US"/>
        </w:rPr>
      </w:pPr>
      <w:r w:rsidRPr="00B3144E">
        <w:rPr>
          <w:b/>
          <w:color w:val="000000" w:themeColor="text1"/>
          <w:lang w:val="en-US"/>
        </w:rPr>
        <w:t xml:space="preserve">Supplementary </w:t>
      </w:r>
      <w:r w:rsidR="00095A18" w:rsidRPr="00B3144E">
        <w:rPr>
          <w:b/>
          <w:color w:val="000000" w:themeColor="text1"/>
          <w:lang w:val="en-US"/>
        </w:rPr>
        <w:t>Fig</w:t>
      </w:r>
      <w:r w:rsidR="0049634B" w:rsidRPr="00B3144E">
        <w:rPr>
          <w:b/>
          <w:color w:val="000000" w:themeColor="text1"/>
          <w:lang w:val="en-US"/>
        </w:rPr>
        <w:t>. 2</w:t>
      </w:r>
      <w:r w:rsidR="0008712D" w:rsidRPr="001C6A76">
        <w:rPr>
          <w:color w:val="000000" w:themeColor="text1"/>
          <w:lang w:val="en-US"/>
        </w:rPr>
        <w:t xml:space="preserve"> </w:t>
      </w:r>
      <w:r w:rsidR="00CF21FD" w:rsidRPr="001C6A76">
        <w:rPr>
          <w:color w:val="000000" w:themeColor="text1"/>
          <w:lang w:val="en-US"/>
        </w:rPr>
        <w:t xml:space="preserve">IL-1R1 and Icam-1 expression by BBB-ECs </w:t>
      </w:r>
      <w:r w:rsidR="006F5CEF" w:rsidRPr="001C6A76">
        <w:rPr>
          <w:color w:val="000000" w:themeColor="text1"/>
          <w:lang w:val="en-US"/>
        </w:rPr>
        <w:t>is</w:t>
      </w:r>
      <w:r w:rsidR="00CF21FD" w:rsidRPr="001C6A76">
        <w:rPr>
          <w:color w:val="000000" w:themeColor="text1"/>
          <w:lang w:val="en-US"/>
        </w:rPr>
        <w:t xml:space="preserve"> induced through CFA. </w:t>
      </w:r>
      <w:r w:rsidR="00665FC6">
        <w:rPr>
          <w:color w:val="000000" w:themeColor="text1"/>
          <w:lang w:val="en-US"/>
        </w:rPr>
        <w:t>Quantification of f</w:t>
      </w:r>
      <w:r w:rsidR="00665FC6" w:rsidRPr="001C6A76">
        <w:rPr>
          <w:color w:val="000000" w:themeColor="text1"/>
          <w:lang w:val="en-US"/>
        </w:rPr>
        <w:t xml:space="preserve">low </w:t>
      </w:r>
      <w:r w:rsidR="00095A18" w:rsidRPr="001C6A76">
        <w:rPr>
          <w:color w:val="000000" w:themeColor="text1"/>
          <w:lang w:val="en-US"/>
        </w:rPr>
        <w:t xml:space="preserve">cytometry analysis showing </w:t>
      </w:r>
      <w:r w:rsidR="00665FC6">
        <w:rPr>
          <w:color w:val="000000" w:themeColor="text1"/>
          <w:lang w:val="en-US"/>
        </w:rPr>
        <w:t>the frequency</w:t>
      </w:r>
      <w:r w:rsidR="00665FC6" w:rsidRPr="001C6A76">
        <w:rPr>
          <w:color w:val="000000" w:themeColor="text1"/>
          <w:lang w:val="en-US"/>
        </w:rPr>
        <w:t xml:space="preserve"> </w:t>
      </w:r>
      <w:r w:rsidR="0008712D" w:rsidRPr="001C6A76">
        <w:rPr>
          <w:color w:val="000000" w:themeColor="text1"/>
          <w:lang w:val="en-US"/>
        </w:rPr>
        <w:t xml:space="preserve">of </w:t>
      </w:r>
      <w:r w:rsidR="00CF21FD" w:rsidRPr="001C6A76">
        <w:rPr>
          <w:color w:val="000000" w:themeColor="text1"/>
          <w:lang w:val="en-US"/>
        </w:rPr>
        <w:t>IL-1R1</w:t>
      </w:r>
      <w:r w:rsidR="00CF21FD" w:rsidRPr="001C6A76">
        <w:rPr>
          <w:color w:val="000000" w:themeColor="text1"/>
          <w:vertAlign w:val="superscript"/>
          <w:lang w:val="en-US"/>
        </w:rPr>
        <w:t>+</w:t>
      </w:r>
      <w:r w:rsidR="00CF21FD" w:rsidRPr="0013595E">
        <w:rPr>
          <w:color w:val="000000" w:themeColor="text1"/>
          <w:lang w:val="en-US"/>
        </w:rPr>
        <w:t xml:space="preserve"> </w:t>
      </w:r>
      <w:r w:rsidR="00665FC6" w:rsidRPr="0013595E">
        <w:rPr>
          <w:color w:val="000000" w:themeColor="text1"/>
          <w:lang w:val="en-US"/>
        </w:rPr>
        <w:t>cells</w:t>
      </w:r>
      <w:r w:rsidR="00665FC6">
        <w:rPr>
          <w:color w:val="000000" w:themeColor="text1"/>
          <w:lang w:val="en-US"/>
        </w:rPr>
        <w:t xml:space="preserve"> </w:t>
      </w:r>
      <w:r w:rsidR="00095A18" w:rsidRPr="001C6A76">
        <w:rPr>
          <w:color w:val="000000" w:themeColor="text1"/>
          <w:lang w:val="en-US"/>
        </w:rPr>
        <w:t xml:space="preserve">and mean fluorescence intensity (MFI) </w:t>
      </w:r>
      <w:r w:rsidR="00CF21FD" w:rsidRPr="001C6A76">
        <w:rPr>
          <w:color w:val="000000" w:themeColor="text1"/>
          <w:lang w:val="en-US"/>
        </w:rPr>
        <w:t xml:space="preserve">of Icam-1 and Vcam-1 </w:t>
      </w:r>
      <w:r w:rsidR="00665FC6">
        <w:rPr>
          <w:color w:val="000000" w:themeColor="text1"/>
          <w:lang w:val="en-US"/>
        </w:rPr>
        <w:t xml:space="preserve">expression in </w:t>
      </w:r>
      <w:r w:rsidR="00095A18" w:rsidRPr="001C6A76">
        <w:rPr>
          <w:color w:val="000000" w:themeColor="text1"/>
          <w:lang w:val="en-US"/>
        </w:rPr>
        <w:t>BBB-ECs (gated as CD45</w:t>
      </w:r>
      <w:r w:rsidR="00095A18" w:rsidRPr="001C6A76">
        <w:rPr>
          <w:color w:val="000000" w:themeColor="text1"/>
          <w:vertAlign w:val="superscript"/>
          <w:lang w:val="en-US"/>
        </w:rPr>
        <w:t>-</w:t>
      </w:r>
      <w:r w:rsidR="00095A18" w:rsidRPr="001C6A76">
        <w:rPr>
          <w:color w:val="000000" w:themeColor="text1"/>
          <w:lang w:val="en-US"/>
        </w:rPr>
        <w:t>CD11b</w:t>
      </w:r>
      <w:r w:rsidR="00095A18" w:rsidRPr="001C6A76">
        <w:rPr>
          <w:color w:val="000000" w:themeColor="text1"/>
          <w:vertAlign w:val="superscript"/>
          <w:lang w:val="en-US"/>
        </w:rPr>
        <w:t>-</w:t>
      </w:r>
      <w:r w:rsidR="00095A18" w:rsidRPr="001C6A76">
        <w:rPr>
          <w:color w:val="000000" w:themeColor="text1"/>
          <w:lang w:val="en-US"/>
        </w:rPr>
        <w:t>CD31</w:t>
      </w:r>
      <w:r w:rsidR="00095A18" w:rsidRPr="001C6A76">
        <w:rPr>
          <w:color w:val="000000" w:themeColor="text1"/>
          <w:vertAlign w:val="superscript"/>
          <w:lang w:val="en-US"/>
        </w:rPr>
        <w:t>+</w:t>
      </w:r>
      <w:r w:rsidR="00095A18" w:rsidRPr="001C6A76">
        <w:rPr>
          <w:color w:val="000000" w:themeColor="text1"/>
          <w:lang w:val="en-US"/>
        </w:rPr>
        <w:t>Ly6c</w:t>
      </w:r>
      <w:r w:rsidR="00095A18" w:rsidRPr="001C6A76">
        <w:rPr>
          <w:color w:val="000000" w:themeColor="text1"/>
          <w:vertAlign w:val="superscript"/>
          <w:lang w:val="en-US"/>
        </w:rPr>
        <w:t>+</w:t>
      </w:r>
      <w:r w:rsidR="00095A18" w:rsidRPr="001C6A76">
        <w:rPr>
          <w:color w:val="000000" w:themeColor="text1"/>
          <w:lang w:val="en-US"/>
        </w:rPr>
        <w:t xml:space="preserve"> living single cells)</w:t>
      </w:r>
      <w:r w:rsidR="00CF21FD" w:rsidRPr="001C6A76">
        <w:rPr>
          <w:color w:val="000000" w:themeColor="text1"/>
          <w:lang w:val="en-US"/>
        </w:rPr>
        <w:t xml:space="preserve"> isolated from brain (</w:t>
      </w:r>
      <w:r w:rsidR="00CF21FD" w:rsidRPr="000F5F35">
        <w:rPr>
          <w:b/>
          <w:color w:val="000000" w:themeColor="text1"/>
          <w:lang w:val="en-US"/>
        </w:rPr>
        <w:t>a</w:t>
      </w:r>
      <w:r w:rsidR="00CF21FD" w:rsidRPr="001C6A76">
        <w:rPr>
          <w:color w:val="000000" w:themeColor="text1"/>
          <w:lang w:val="en-US"/>
        </w:rPr>
        <w:t>) and spinal cord (</w:t>
      </w:r>
      <w:r w:rsidR="00CF21FD" w:rsidRPr="000F5F35">
        <w:rPr>
          <w:b/>
          <w:color w:val="000000" w:themeColor="text1"/>
          <w:lang w:val="en-US"/>
        </w:rPr>
        <w:t>b</w:t>
      </w:r>
      <w:r w:rsidR="00CF21FD" w:rsidRPr="001C6A76">
        <w:rPr>
          <w:color w:val="000000" w:themeColor="text1"/>
          <w:lang w:val="en-US"/>
        </w:rPr>
        <w:t xml:space="preserve">) </w:t>
      </w:r>
      <w:r w:rsidR="00095A18" w:rsidRPr="001C6A76">
        <w:rPr>
          <w:color w:val="000000" w:themeColor="text1"/>
          <w:lang w:val="en-US"/>
        </w:rPr>
        <w:t xml:space="preserve">at day </w:t>
      </w:r>
      <w:r w:rsidR="00CF21FD" w:rsidRPr="001C6A76">
        <w:rPr>
          <w:color w:val="000000" w:themeColor="text1"/>
          <w:lang w:val="en-US"/>
        </w:rPr>
        <w:t>3</w:t>
      </w:r>
      <w:r w:rsidR="00095A18" w:rsidRPr="001C6A76">
        <w:rPr>
          <w:color w:val="000000" w:themeColor="text1"/>
          <w:lang w:val="en-US"/>
        </w:rPr>
        <w:t xml:space="preserve"> post CFA +PTx </w:t>
      </w:r>
      <w:r w:rsidR="00665FC6">
        <w:rPr>
          <w:color w:val="000000" w:themeColor="text1"/>
          <w:lang w:val="en-US"/>
        </w:rPr>
        <w:t>or</w:t>
      </w:r>
      <w:r w:rsidR="00665FC6" w:rsidRPr="001C6A76">
        <w:rPr>
          <w:color w:val="000000" w:themeColor="text1"/>
          <w:lang w:val="en-US"/>
        </w:rPr>
        <w:t xml:space="preserve"> </w:t>
      </w:r>
      <w:r w:rsidR="00095A18" w:rsidRPr="001C6A76">
        <w:rPr>
          <w:color w:val="000000" w:themeColor="text1"/>
          <w:lang w:val="en-US"/>
        </w:rPr>
        <w:t xml:space="preserve">MOG/CFA+ PTx immunization. Data is shown as mean ± SEM and analyzed using </w:t>
      </w:r>
      <w:r w:rsidR="00291093">
        <w:rPr>
          <w:color w:val="000000" w:themeColor="text1"/>
          <w:lang w:val="en-US"/>
        </w:rPr>
        <w:t>one</w:t>
      </w:r>
      <w:r w:rsidR="00095A18" w:rsidRPr="001C6A76">
        <w:rPr>
          <w:color w:val="000000" w:themeColor="text1"/>
          <w:lang w:val="en-US"/>
        </w:rPr>
        <w:t>-way ANOVA</w:t>
      </w:r>
      <w:r w:rsidR="00665FC6">
        <w:rPr>
          <w:color w:val="000000" w:themeColor="text1"/>
          <w:lang w:val="en-US"/>
        </w:rPr>
        <w:t>.</w:t>
      </w:r>
      <w:r w:rsidR="00095A18" w:rsidRPr="001C6A76">
        <w:rPr>
          <w:color w:val="000000" w:themeColor="text1"/>
          <w:lang w:val="en-US"/>
        </w:rPr>
        <w:t xml:space="preserve"> *p&lt;0.05, ** p&lt;0.01</w:t>
      </w:r>
      <w:r w:rsidR="000F5F35">
        <w:rPr>
          <w:color w:val="000000" w:themeColor="text1"/>
          <w:lang w:val="en-US"/>
        </w:rPr>
        <w:br w:type="page"/>
      </w:r>
    </w:p>
    <w:p w14:paraId="43F7F780" w14:textId="1762D7D5" w:rsidR="000D3D96" w:rsidRDefault="00D31545" w:rsidP="000D3D96">
      <w:pPr>
        <w:rPr>
          <w:lang w:val="en-US"/>
        </w:rPr>
      </w:pPr>
      <w:r w:rsidRPr="007E2558">
        <w:rPr>
          <w:lang w:val="en-US"/>
        </w:rPr>
        <w:lastRenderedPageBreak/>
        <w:t xml:space="preserve">Supplementary Figure </w:t>
      </w:r>
      <w:r>
        <w:rPr>
          <w:lang w:val="en-US"/>
        </w:rPr>
        <w:t>3</w:t>
      </w:r>
    </w:p>
    <w:p w14:paraId="45FEC0E6" w14:textId="76B1252D" w:rsidR="008B7672" w:rsidRPr="006A70F4" w:rsidRDefault="008B7672" w:rsidP="000D3D96">
      <w:pPr>
        <w:rPr>
          <w:lang w:val="en-US"/>
        </w:rPr>
      </w:pPr>
      <w:r>
        <w:rPr>
          <w:noProof/>
          <w:lang w:eastAsia="de-DE"/>
        </w:rPr>
        <w:drawing>
          <wp:inline distT="0" distB="0" distL="0" distR="0" wp14:anchorId="04EC1E2C" wp14:editId="5DC6E4D1">
            <wp:extent cx="4953000" cy="290830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upp_Fig3-01.jpg"/>
                    <pic:cNvPicPr/>
                  </pic:nvPicPr>
                  <pic:blipFill>
                    <a:blip r:embed="rId11"/>
                    <a:stretch>
                      <a:fillRect/>
                    </a:stretch>
                  </pic:blipFill>
                  <pic:spPr>
                    <a:xfrm>
                      <a:off x="0" y="0"/>
                      <a:ext cx="4953000" cy="2908300"/>
                    </a:xfrm>
                    <a:prstGeom prst="rect">
                      <a:avLst/>
                    </a:prstGeom>
                  </pic:spPr>
                </pic:pic>
              </a:graphicData>
            </a:graphic>
          </wp:inline>
        </w:drawing>
      </w:r>
    </w:p>
    <w:p w14:paraId="2A701364" w14:textId="0C1EFED2" w:rsidR="000D3D96" w:rsidRDefault="000D3D96" w:rsidP="000D3D96">
      <w:pPr>
        <w:rPr>
          <w:lang w:val="en-US"/>
        </w:rPr>
      </w:pPr>
    </w:p>
    <w:p w14:paraId="3BFA15E3" w14:textId="3290FA13" w:rsidR="00555035" w:rsidRPr="001C6A76" w:rsidRDefault="00700260" w:rsidP="00B3144E">
      <w:pPr>
        <w:spacing w:line="480" w:lineRule="auto"/>
        <w:jc w:val="both"/>
        <w:rPr>
          <w:color w:val="000000" w:themeColor="text1"/>
          <w:lang w:val="en-US"/>
        </w:rPr>
      </w:pPr>
      <w:r w:rsidRPr="00B3144E">
        <w:rPr>
          <w:b/>
          <w:color w:val="000000" w:themeColor="text1"/>
          <w:lang w:val="en-US"/>
        </w:rPr>
        <w:t xml:space="preserve">Supplementary </w:t>
      </w:r>
      <w:r w:rsidR="00555035" w:rsidRPr="00B3144E">
        <w:rPr>
          <w:b/>
          <w:color w:val="000000" w:themeColor="text1"/>
          <w:lang w:val="en-US"/>
        </w:rPr>
        <w:t>Fig.</w:t>
      </w:r>
      <w:r w:rsidR="0049634B" w:rsidRPr="00B3144E">
        <w:rPr>
          <w:b/>
          <w:color w:val="000000" w:themeColor="text1"/>
          <w:lang w:val="en-US"/>
        </w:rPr>
        <w:t xml:space="preserve"> </w:t>
      </w:r>
      <w:r w:rsidR="00555035" w:rsidRPr="00B3144E">
        <w:rPr>
          <w:b/>
          <w:color w:val="000000" w:themeColor="text1"/>
          <w:lang w:val="en-US"/>
        </w:rPr>
        <w:t>3</w:t>
      </w:r>
      <w:r w:rsidR="00555035" w:rsidRPr="001C6A76">
        <w:rPr>
          <w:color w:val="000000" w:themeColor="text1"/>
          <w:lang w:val="en-US"/>
        </w:rPr>
        <w:t xml:space="preserve"> Tamoxifen injection does not influence IL-1R1 expression or IL-1</w:t>
      </w:r>
      <w:r w:rsidR="00A424D8">
        <w:rPr>
          <w:color w:val="000000" w:themeColor="text1"/>
          <w:lang w:val="en-US"/>
        </w:rPr>
        <w:sym w:font="Symbol" w:char="F062"/>
      </w:r>
      <w:r w:rsidR="00555035" w:rsidRPr="001C6A76">
        <w:rPr>
          <w:color w:val="000000" w:themeColor="text1"/>
          <w:lang w:val="en-US"/>
        </w:rPr>
        <w:t xml:space="preserve"> production upon MOG/CFA immunization. Flow cytometric analysis showing </w:t>
      </w:r>
      <w:r w:rsidR="005C00D5">
        <w:rPr>
          <w:color w:val="000000" w:themeColor="text1"/>
          <w:lang w:val="en-US"/>
        </w:rPr>
        <w:t>the frequency</w:t>
      </w:r>
      <w:r w:rsidR="005C00D5" w:rsidRPr="001C6A76">
        <w:rPr>
          <w:color w:val="000000" w:themeColor="text1"/>
          <w:lang w:val="en-US"/>
        </w:rPr>
        <w:t xml:space="preserve"> </w:t>
      </w:r>
      <w:r w:rsidR="00555035" w:rsidRPr="001C6A76">
        <w:rPr>
          <w:color w:val="000000" w:themeColor="text1"/>
          <w:lang w:val="en-US"/>
        </w:rPr>
        <w:t>of IL-1R1</w:t>
      </w:r>
      <w:r w:rsidR="00555035" w:rsidRPr="001C6A76">
        <w:rPr>
          <w:color w:val="000000" w:themeColor="text1"/>
          <w:vertAlign w:val="superscript"/>
          <w:lang w:val="en-US"/>
        </w:rPr>
        <w:t>+</w:t>
      </w:r>
      <w:r w:rsidR="00555035" w:rsidRPr="001C6A76">
        <w:rPr>
          <w:color w:val="000000" w:themeColor="text1"/>
          <w:lang w:val="en-US"/>
        </w:rPr>
        <w:t xml:space="preserve"> spinal cord ECs (gated as CD45</w:t>
      </w:r>
      <w:r w:rsidR="00555035" w:rsidRPr="001C6A76">
        <w:rPr>
          <w:color w:val="000000" w:themeColor="text1"/>
          <w:vertAlign w:val="superscript"/>
          <w:lang w:val="en-US"/>
        </w:rPr>
        <w:t>-</w:t>
      </w:r>
      <w:r w:rsidR="00555035" w:rsidRPr="001C6A76">
        <w:rPr>
          <w:color w:val="000000" w:themeColor="text1"/>
          <w:lang w:val="en-US"/>
        </w:rPr>
        <w:t>CD11b</w:t>
      </w:r>
      <w:r w:rsidR="00555035" w:rsidRPr="001C6A76">
        <w:rPr>
          <w:color w:val="000000" w:themeColor="text1"/>
          <w:vertAlign w:val="superscript"/>
          <w:lang w:val="en-US"/>
        </w:rPr>
        <w:t>-</w:t>
      </w:r>
      <w:r w:rsidR="00555035" w:rsidRPr="001C6A76">
        <w:rPr>
          <w:color w:val="000000" w:themeColor="text1"/>
          <w:lang w:val="en-US"/>
        </w:rPr>
        <w:t>CD31</w:t>
      </w:r>
      <w:r w:rsidR="00555035" w:rsidRPr="001C6A76">
        <w:rPr>
          <w:color w:val="000000" w:themeColor="text1"/>
          <w:vertAlign w:val="superscript"/>
          <w:lang w:val="en-US"/>
        </w:rPr>
        <w:t>+</w:t>
      </w:r>
      <w:r w:rsidR="00555035" w:rsidRPr="001C6A76">
        <w:rPr>
          <w:color w:val="000000" w:themeColor="text1"/>
          <w:lang w:val="en-US"/>
        </w:rPr>
        <w:t>Ly6c</w:t>
      </w:r>
      <w:r w:rsidR="00555035" w:rsidRPr="001C6A76">
        <w:rPr>
          <w:color w:val="000000" w:themeColor="text1"/>
          <w:vertAlign w:val="superscript"/>
          <w:lang w:val="en-US"/>
        </w:rPr>
        <w:t>+</w:t>
      </w:r>
      <w:r w:rsidR="00555035" w:rsidRPr="001C6A76">
        <w:rPr>
          <w:color w:val="000000" w:themeColor="text1"/>
          <w:lang w:val="en-US"/>
        </w:rPr>
        <w:t xml:space="preserve"> living single cells) (</w:t>
      </w:r>
      <w:r w:rsidR="00555035" w:rsidRPr="000F5F35">
        <w:rPr>
          <w:b/>
          <w:color w:val="000000" w:themeColor="text1"/>
          <w:lang w:val="en-US"/>
        </w:rPr>
        <w:t>a</w:t>
      </w:r>
      <w:r w:rsidR="00555035" w:rsidRPr="001C6A76">
        <w:rPr>
          <w:color w:val="000000" w:themeColor="text1"/>
          <w:lang w:val="en-US"/>
        </w:rPr>
        <w:t xml:space="preserve">) and </w:t>
      </w:r>
      <w:r w:rsidR="005C00D5">
        <w:rPr>
          <w:color w:val="000000" w:themeColor="text1"/>
          <w:lang w:val="en-US"/>
        </w:rPr>
        <w:t>frequency</w:t>
      </w:r>
      <w:r w:rsidR="005C00D5" w:rsidRPr="001C6A76">
        <w:rPr>
          <w:color w:val="000000" w:themeColor="text1"/>
          <w:lang w:val="en-US"/>
        </w:rPr>
        <w:t xml:space="preserve"> </w:t>
      </w:r>
      <w:r w:rsidR="00555035" w:rsidRPr="001C6A76">
        <w:rPr>
          <w:color w:val="000000" w:themeColor="text1"/>
          <w:lang w:val="en-US"/>
        </w:rPr>
        <w:t>of IL-1</w:t>
      </w:r>
      <w:r w:rsidR="00A424D8">
        <w:rPr>
          <w:color w:val="000000" w:themeColor="text1"/>
          <w:lang w:val="en-US"/>
        </w:rPr>
        <w:sym w:font="Symbol" w:char="F062"/>
      </w:r>
      <w:r w:rsidR="00555035" w:rsidRPr="001C6A76">
        <w:rPr>
          <w:color w:val="000000" w:themeColor="text1"/>
          <w:lang w:val="en-US"/>
        </w:rPr>
        <w:t xml:space="preserve"> producing GR1</w:t>
      </w:r>
      <w:r w:rsidR="00555035" w:rsidRPr="001C6A76">
        <w:rPr>
          <w:color w:val="000000" w:themeColor="text1"/>
          <w:vertAlign w:val="superscript"/>
          <w:lang w:val="en-US"/>
        </w:rPr>
        <w:t>+</w:t>
      </w:r>
      <w:r w:rsidR="00555035" w:rsidRPr="001C6A76">
        <w:rPr>
          <w:color w:val="000000" w:themeColor="text1"/>
          <w:lang w:val="en-US"/>
        </w:rPr>
        <w:t xml:space="preserve"> splenocytes (gated as CD11b</w:t>
      </w:r>
      <w:r w:rsidR="00555035" w:rsidRPr="001C6A76">
        <w:rPr>
          <w:color w:val="000000" w:themeColor="text1"/>
          <w:vertAlign w:val="superscript"/>
          <w:lang w:val="en-US"/>
        </w:rPr>
        <w:t xml:space="preserve">+ </w:t>
      </w:r>
      <w:r w:rsidR="00555035" w:rsidRPr="001C6A76">
        <w:rPr>
          <w:color w:val="000000" w:themeColor="text1"/>
          <w:lang w:val="en-US"/>
        </w:rPr>
        <w:t xml:space="preserve">living single cells) stimulated for 4 h with 500 ng/mL LPS and 2 </w:t>
      </w:r>
      <w:r w:rsidR="00A424D8">
        <w:rPr>
          <w:color w:val="000000" w:themeColor="text1"/>
          <w:lang w:val="en-US"/>
        </w:rPr>
        <w:sym w:font="Symbol" w:char="F06D"/>
      </w:r>
      <w:r w:rsidR="00555035" w:rsidRPr="001C6A76">
        <w:rPr>
          <w:color w:val="000000" w:themeColor="text1"/>
          <w:lang w:val="en-US"/>
        </w:rPr>
        <w:t>M monensin (</w:t>
      </w:r>
      <w:r w:rsidR="00555035" w:rsidRPr="000F5F35">
        <w:rPr>
          <w:b/>
          <w:color w:val="000000" w:themeColor="text1"/>
          <w:lang w:val="en-US"/>
        </w:rPr>
        <w:t>b</w:t>
      </w:r>
      <w:r w:rsidR="00555035" w:rsidRPr="001C6A76">
        <w:rPr>
          <w:color w:val="000000" w:themeColor="text1"/>
          <w:lang w:val="en-US"/>
        </w:rPr>
        <w:t>). Wildtype mice were treated with 5 x 2 mg tamoxifen and immunized with MOG/CFA + PTx one week after final tamoxifen injection. Analysis was performed on d</w:t>
      </w:r>
      <w:r w:rsidR="005C00D5">
        <w:rPr>
          <w:color w:val="000000" w:themeColor="text1"/>
          <w:lang w:val="en-US"/>
        </w:rPr>
        <w:t xml:space="preserve">ay </w:t>
      </w:r>
      <w:r w:rsidR="00555035" w:rsidRPr="001C6A76">
        <w:rPr>
          <w:color w:val="000000" w:themeColor="text1"/>
          <w:lang w:val="en-US"/>
        </w:rPr>
        <w:t>3 post immunization. Data is shown as mean ± SEM</w:t>
      </w:r>
      <w:r w:rsidR="005C00D5">
        <w:rPr>
          <w:color w:val="000000" w:themeColor="text1"/>
          <w:lang w:val="en-US"/>
        </w:rPr>
        <w:t xml:space="preserve"> (at least n=3 per group)</w:t>
      </w:r>
      <w:r w:rsidR="00555035" w:rsidRPr="001C6A76">
        <w:rPr>
          <w:color w:val="000000" w:themeColor="text1"/>
          <w:lang w:val="en-US"/>
        </w:rPr>
        <w:t xml:space="preserve"> and analyzed using </w:t>
      </w:r>
      <w:r w:rsidR="00592A7B">
        <w:rPr>
          <w:color w:val="000000" w:themeColor="text1"/>
          <w:lang w:val="en-US"/>
        </w:rPr>
        <w:t>one</w:t>
      </w:r>
      <w:r w:rsidR="00555035" w:rsidRPr="001C6A76">
        <w:rPr>
          <w:color w:val="000000" w:themeColor="text1"/>
          <w:lang w:val="en-US"/>
        </w:rPr>
        <w:t>-way ANOVA *p&lt;0.05, ** p&lt;0.01, *** p&lt;0.001</w:t>
      </w:r>
    </w:p>
    <w:p w14:paraId="6A225CE9" w14:textId="34E34F09" w:rsidR="000D3D96" w:rsidRDefault="000D3D96" w:rsidP="000D3D96">
      <w:pPr>
        <w:rPr>
          <w:lang w:val="en-US"/>
        </w:rPr>
      </w:pPr>
      <w:r w:rsidRPr="006A70F4">
        <w:rPr>
          <w:lang w:val="en-US"/>
        </w:rPr>
        <w:br w:type="page"/>
      </w:r>
      <w:r w:rsidRPr="007E2558">
        <w:rPr>
          <w:lang w:val="en-US"/>
        </w:rPr>
        <w:lastRenderedPageBreak/>
        <w:t xml:space="preserve">Supplementary Figure </w:t>
      </w:r>
      <w:r w:rsidR="00D31545">
        <w:rPr>
          <w:lang w:val="en-US"/>
        </w:rPr>
        <w:t>4</w:t>
      </w:r>
    </w:p>
    <w:p w14:paraId="43534EC1" w14:textId="43BF88E5" w:rsidR="000D3D96" w:rsidRPr="006A70F4" w:rsidRDefault="00E35FE9" w:rsidP="000D3D96">
      <w:pPr>
        <w:rPr>
          <w:lang w:val="en-US"/>
        </w:rPr>
      </w:pPr>
      <w:r>
        <w:rPr>
          <w:noProof/>
          <w:lang w:eastAsia="de-DE"/>
        </w:rPr>
        <w:drawing>
          <wp:inline distT="0" distB="0" distL="0" distR="0" wp14:anchorId="06AFC69C" wp14:editId="64379B0F">
            <wp:extent cx="5756910" cy="6656070"/>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Ext.Fig2-01.jpg"/>
                    <pic:cNvPicPr/>
                  </pic:nvPicPr>
                  <pic:blipFill>
                    <a:blip r:embed="rId12"/>
                    <a:stretch>
                      <a:fillRect/>
                    </a:stretch>
                  </pic:blipFill>
                  <pic:spPr>
                    <a:xfrm>
                      <a:off x="0" y="0"/>
                      <a:ext cx="5756910" cy="6656070"/>
                    </a:xfrm>
                    <a:prstGeom prst="rect">
                      <a:avLst/>
                    </a:prstGeom>
                  </pic:spPr>
                </pic:pic>
              </a:graphicData>
            </a:graphic>
          </wp:inline>
        </w:drawing>
      </w:r>
    </w:p>
    <w:p w14:paraId="6E012278" w14:textId="77777777" w:rsidR="000D3D96" w:rsidRPr="006A70F4" w:rsidRDefault="000D3D96" w:rsidP="000D3D96">
      <w:pPr>
        <w:rPr>
          <w:lang w:val="en-US"/>
        </w:rPr>
      </w:pPr>
    </w:p>
    <w:p w14:paraId="3C944610" w14:textId="68FD81E1" w:rsidR="000D3D96" w:rsidRPr="00AD0772" w:rsidRDefault="00700260" w:rsidP="000D3D96">
      <w:pPr>
        <w:spacing w:line="480" w:lineRule="auto"/>
        <w:jc w:val="both"/>
        <w:rPr>
          <w:color w:val="000000" w:themeColor="text1"/>
          <w:lang w:val="en-US"/>
        </w:rPr>
      </w:pPr>
      <w:r>
        <w:rPr>
          <w:b/>
          <w:lang w:val="en-US"/>
        </w:rPr>
        <w:t xml:space="preserve">Supplementary </w:t>
      </w:r>
      <w:r w:rsidR="000D3D96" w:rsidRPr="008D463F">
        <w:rPr>
          <w:b/>
          <w:lang w:val="en-US"/>
        </w:rPr>
        <w:t xml:space="preserve">Fig. </w:t>
      </w:r>
      <w:r w:rsidR="0008712D">
        <w:rPr>
          <w:b/>
          <w:lang w:val="en-US"/>
        </w:rPr>
        <w:t>4</w:t>
      </w:r>
      <w:r w:rsidR="000D3D96" w:rsidRPr="006A70F4">
        <w:rPr>
          <w:b/>
          <w:lang w:val="fr-FR"/>
        </w:rPr>
        <w:t xml:space="preserve"> </w:t>
      </w:r>
      <w:r w:rsidR="000D3D96" w:rsidRPr="006A70F4">
        <w:rPr>
          <w:lang w:val="fr-FR"/>
        </w:rPr>
        <w:t xml:space="preserve">BBB-EC IL-1 </w:t>
      </w:r>
      <w:r w:rsidR="000D3D96" w:rsidRPr="006A70F4">
        <w:rPr>
          <w:lang w:val="en-US"/>
        </w:rPr>
        <w:t>signaling promotes brain leukocyte migration</w:t>
      </w:r>
      <w:r w:rsidR="000D3D96" w:rsidRPr="006A70F4">
        <w:rPr>
          <w:lang w:val="fr-FR"/>
        </w:rPr>
        <w:t>.</w:t>
      </w:r>
      <w:r w:rsidR="000D3D96" w:rsidRPr="006A70F4">
        <w:rPr>
          <w:b/>
          <w:lang w:val="fr-FR"/>
        </w:rPr>
        <w:t xml:space="preserve"> </w:t>
      </w:r>
      <w:r w:rsidR="000D3D96" w:rsidRPr="006A70F4">
        <w:rPr>
          <w:lang w:val="en-US"/>
        </w:rPr>
        <w:t>Analysis of brain tissue upon active EAE induction by immunization with MOG</w:t>
      </w:r>
      <w:r w:rsidR="000D3D96" w:rsidRPr="006A70F4">
        <w:rPr>
          <w:vertAlign w:val="subscript"/>
          <w:lang w:val="en-US"/>
        </w:rPr>
        <w:t>35-55</w:t>
      </w:r>
      <w:r w:rsidR="000D3D96" w:rsidRPr="006A70F4">
        <w:rPr>
          <w:lang w:val="en-US"/>
        </w:rPr>
        <w:t>/CFA</w:t>
      </w:r>
      <w:r w:rsidR="000D3D96" w:rsidRPr="006A70F4">
        <w:rPr>
          <w:vertAlign w:val="subscript"/>
          <w:lang w:val="en-US"/>
        </w:rPr>
        <w:t xml:space="preserve"> </w:t>
      </w:r>
      <w:r w:rsidR="000D3D96" w:rsidRPr="006A70F4">
        <w:rPr>
          <w:lang w:val="en-US"/>
        </w:rPr>
        <w:t xml:space="preserve">and PTx injection of mice with the indicated genotypes. </w:t>
      </w:r>
      <w:r w:rsidR="000D3D96" w:rsidRPr="006A70F4">
        <w:rPr>
          <w:b/>
          <w:lang w:val="en-US"/>
        </w:rPr>
        <w:t xml:space="preserve">a </w:t>
      </w:r>
      <w:r w:rsidR="000D3D96" w:rsidRPr="006A70F4">
        <w:rPr>
          <w:bCs/>
          <w:lang w:val="en-US"/>
        </w:rPr>
        <w:t xml:space="preserve">Representative gating strategy to identify </w:t>
      </w:r>
      <w:r w:rsidR="000D3D96" w:rsidRPr="006A70F4">
        <w:rPr>
          <w:lang w:val="en-US"/>
        </w:rPr>
        <w:t xml:space="preserve">living </w:t>
      </w:r>
      <w:r w:rsidR="000D3D96" w:rsidRPr="006A70F4">
        <w:rPr>
          <w:bCs/>
          <w:lang w:val="en-US"/>
        </w:rPr>
        <w:t>CD90.2</w:t>
      </w:r>
      <w:r w:rsidR="000D3D96" w:rsidRPr="006A70F4">
        <w:rPr>
          <w:bCs/>
          <w:vertAlign w:val="superscript"/>
          <w:lang w:val="en-US"/>
        </w:rPr>
        <w:t>+</w:t>
      </w:r>
      <w:r w:rsidR="000D3D96" w:rsidRPr="006A70F4">
        <w:rPr>
          <w:bCs/>
          <w:lang w:val="en-US"/>
        </w:rPr>
        <w:t>CD4</w:t>
      </w:r>
      <w:r w:rsidR="000D3D96" w:rsidRPr="006A70F4">
        <w:rPr>
          <w:bCs/>
          <w:vertAlign w:val="superscript"/>
          <w:lang w:val="en-US"/>
        </w:rPr>
        <w:t>+</w:t>
      </w:r>
      <w:r w:rsidR="000D3D96" w:rsidRPr="006A70F4">
        <w:rPr>
          <w:bCs/>
          <w:lang w:val="en-US"/>
        </w:rPr>
        <w:t>CD44</w:t>
      </w:r>
      <w:r w:rsidR="000D3D96" w:rsidRPr="006A70F4">
        <w:rPr>
          <w:bCs/>
          <w:vertAlign w:val="superscript"/>
          <w:lang w:val="en-US"/>
        </w:rPr>
        <w:t>+</w:t>
      </w:r>
      <w:r w:rsidR="000D3D96" w:rsidRPr="006A70F4">
        <w:rPr>
          <w:bCs/>
          <w:lang w:val="en-US"/>
        </w:rPr>
        <w:t>CD40L</w:t>
      </w:r>
      <w:r w:rsidR="000D3D96" w:rsidRPr="006A70F4">
        <w:rPr>
          <w:bCs/>
          <w:vertAlign w:val="superscript"/>
          <w:lang w:val="en-US"/>
        </w:rPr>
        <w:t>+</w:t>
      </w:r>
      <w:r w:rsidR="000D3D96" w:rsidRPr="006A70F4">
        <w:rPr>
          <w:bCs/>
          <w:lang w:val="en-US"/>
        </w:rPr>
        <w:t xml:space="preserve"> MOG-specific T cells</w:t>
      </w:r>
      <w:r w:rsidR="005C00D5">
        <w:rPr>
          <w:bCs/>
          <w:lang w:val="en-US"/>
        </w:rPr>
        <w:t>,</w:t>
      </w:r>
      <w:r w:rsidR="000D3D96" w:rsidRPr="006A70F4">
        <w:rPr>
          <w:bCs/>
          <w:lang w:val="en-US"/>
        </w:rPr>
        <w:t xml:space="preserve"> which were further analyzed for their </w:t>
      </w:r>
      <w:r w:rsidR="000D3D96" w:rsidRPr="006A70F4">
        <w:rPr>
          <w:lang w:val="en-US"/>
        </w:rPr>
        <w:t>cytokine secretion</w:t>
      </w:r>
      <w:r w:rsidR="000D3D96" w:rsidRPr="006A70F4">
        <w:rPr>
          <w:bCs/>
          <w:lang w:val="en-US"/>
        </w:rPr>
        <w:t xml:space="preserve">. </w:t>
      </w:r>
      <w:r w:rsidR="000D3D96" w:rsidRPr="006A70F4">
        <w:rPr>
          <w:b/>
          <w:bCs/>
          <w:lang w:val="en-US"/>
        </w:rPr>
        <w:t>b</w:t>
      </w:r>
      <w:r w:rsidR="000D3D96" w:rsidRPr="006A70F4">
        <w:rPr>
          <w:bCs/>
          <w:lang w:val="en-US"/>
        </w:rPr>
        <w:t xml:space="preserve"> Representative gating strategy for </w:t>
      </w:r>
      <w:r w:rsidR="000D3D96" w:rsidRPr="006A70F4">
        <w:rPr>
          <w:lang w:val="en-US"/>
        </w:rPr>
        <w:t>living CD45</w:t>
      </w:r>
      <w:r w:rsidR="000D3D96" w:rsidRPr="006A70F4">
        <w:rPr>
          <w:vertAlign w:val="superscript"/>
          <w:lang w:val="en-US"/>
        </w:rPr>
        <w:t>+</w:t>
      </w:r>
      <w:r w:rsidR="000D3D96" w:rsidRPr="006A70F4">
        <w:rPr>
          <w:lang w:val="en-US"/>
        </w:rPr>
        <w:t>CD11b</w:t>
      </w:r>
      <w:r w:rsidR="000D3D96" w:rsidRPr="006A70F4">
        <w:rPr>
          <w:vertAlign w:val="superscript"/>
          <w:lang w:val="en-US"/>
        </w:rPr>
        <w:t>high</w:t>
      </w:r>
      <w:r w:rsidR="000D3D96" w:rsidRPr="006A70F4">
        <w:rPr>
          <w:lang w:val="en-US"/>
        </w:rPr>
        <w:t xml:space="preserve"> myeloid cells, further gated on CD45</w:t>
      </w:r>
      <w:r w:rsidR="000D3D96" w:rsidRPr="006A70F4">
        <w:rPr>
          <w:vertAlign w:val="superscript"/>
          <w:lang w:val="en-US"/>
        </w:rPr>
        <w:t>+</w:t>
      </w:r>
      <w:r w:rsidR="000D3D96" w:rsidRPr="006A70F4">
        <w:rPr>
          <w:lang w:val="en-US"/>
        </w:rPr>
        <w:t>CD11b</w:t>
      </w:r>
      <w:r w:rsidR="000D3D96" w:rsidRPr="006A70F4">
        <w:rPr>
          <w:vertAlign w:val="superscript"/>
          <w:lang w:val="en-US"/>
        </w:rPr>
        <w:t>high</w:t>
      </w:r>
      <w:r w:rsidR="000D3D96" w:rsidRPr="006A70F4">
        <w:rPr>
          <w:lang w:val="en-US"/>
        </w:rPr>
        <w:t>Ly6c</w:t>
      </w:r>
      <w:r w:rsidR="000D3D96" w:rsidRPr="006A70F4">
        <w:rPr>
          <w:vertAlign w:val="superscript"/>
          <w:lang w:val="en-US"/>
        </w:rPr>
        <w:t>high</w:t>
      </w:r>
      <w:r w:rsidR="000D3D96" w:rsidRPr="006A70F4">
        <w:rPr>
          <w:lang w:val="en-US"/>
        </w:rPr>
        <w:t xml:space="preserve"> monocytes and CD45</w:t>
      </w:r>
      <w:r w:rsidR="000D3D96" w:rsidRPr="006A70F4">
        <w:rPr>
          <w:vertAlign w:val="superscript"/>
          <w:lang w:val="en-US"/>
        </w:rPr>
        <w:t>+</w:t>
      </w:r>
      <w:r w:rsidR="000D3D96" w:rsidRPr="006A70F4">
        <w:rPr>
          <w:lang w:val="en-US"/>
        </w:rPr>
        <w:t>CD11b</w:t>
      </w:r>
      <w:r w:rsidR="000D3D96" w:rsidRPr="006A70F4">
        <w:rPr>
          <w:vertAlign w:val="superscript"/>
          <w:lang w:val="en-US"/>
        </w:rPr>
        <w:t>high</w:t>
      </w:r>
      <w:r w:rsidR="000D3D96" w:rsidRPr="006A70F4">
        <w:rPr>
          <w:lang w:val="en-US"/>
        </w:rPr>
        <w:t>Ly6c</w:t>
      </w:r>
      <w:r w:rsidR="000D3D96" w:rsidRPr="006A70F4">
        <w:rPr>
          <w:vertAlign w:val="superscript"/>
          <w:lang w:val="en-US"/>
        </w:rPr>
        <w:t>+</w:t>
      </w:r>
      <w:r w:rsidR="000D3D96" w:rsidRPr="006A70F4">
        <w:rPr>
          <w:lang w:val="en-US"/>
        </w:rPr>
        <w:t>Ly6g</w:t>
      </w:r>
      <w:r w:rsidR="000D3D96" w:rsidRPr="006A70F4">
        <w:rPr>
          <w:vertAlign w:val="superscript"/>
          <w:lang w:val="en-US"/>
        </w:rPr>
        <w:t>+</w:t>
      </w:r>
      <w:r w:rsidR="000D3D96" w:rsidRPr="006A70F4">
        <w:rPr>
          <w:lang w:val="en-US"/>
        </w:rPr>
        <w:t xml:space="preserve"> </w:t>
      </w:r>
      <w:r w:rsidR="000D3D96" w:rsidRPr="006A70F4">
        <w:rPr>
          <w:lang w:val="en-US"/>
        </w:rPr>
        <w:lastRenderedPageBreak/>
        <w:t xml:space="preserve">neutrophils. </w:t>
      </w:r>
      <w:r w:rsidR="000D3D96" w:rsidRPr="006A70F4">
        <w:rPr>
          <w:b/>
          <w:lang w:val="en-US"/>
        </w:rPr>
        <w:t>c</w:t>
      </w:r>
      <w:r w:rsidR="000D3D96" w:rsidRPr="006A70F4">
        <w:rPr>
          <w:lang w:val="en-US"/>
        </w:rPr>
        <w:t xml:space="preserve">, </w:t>
      </w:r>
      <w:r w:rsidR="000D3D96" w:rsidRPr="006A70F4">
        <w:rPr>
          <w:b/>
          <w:lang w:val="en-US"/>
        </w:rPr>
        <w:t>d</w:t>
      </w:r>
      <w:r w:rsidR="000D3D96" w:rsidRPr="006A70F4">
        <w:rPr>
          <w:lang w:val="en-US"/>
        </w:rPr>
        <w:t xml:space="preserve"> At peak of disease, brain tissue was isolated and single cell suspensions subjected to MOG antigen recall assays. Quantification of flow cytometry analysis shows the absolute cell numbers (</w:t>
      </w:r>
      <w:r w:rsidR="000D3D96" w:rsidRPr="006A70F4">
        <w:rPr>
          <w:b/>
          <w:lang w:val="en-US"/>
        </w:rPr>
        <w:t>c</w:t>
      </w:r>
      <w:r w:rsidR="000D3D96" w:rsidRPr="006A70F4">
        <w:rPr>
          <w:lang w:val="en-US"/>
        </w:rPr>
        <w:t>) and the frequencies (</w:t>
      </w:r>
      <w:r w:rsidR="000D3D96" w:rsidRPr="006A70F4">
        <w:rPr>
          <w:b/>
          <w:lang w:val="en-US"/>
        </w:rPr>
        <w:t>d</w:t>
      </w:r>
      <w:r w:rsidR="000D3D96" w:rsidRPr="006A70F4">
        <w:rPr>
          <w:lang w:val="en-US"/>
        </w:rPr>
        <w:t xml:space="preserve">) of the indicated T cell subsets. </w:t>
      </w:r>
      <w:r w:rsidR="000D3D96" w:rsidRPr="006A70F4">
        <w:rPr>
          <w:b/>
          <w:bCs/>
          <w:lang w:val="en-US"/>
        </w:rPr>
        <w:t>e, f</w:t>
      </w:r>
      <w:r w:rsidR="000D3D96" w:rsidRPr="006A70F4">
        <w:rPr>
          <w:lang w:val="en-US"/>
        </w:rPr>
        <w:t xml:space="preserve"> At peak of disease, spinal cord tissue was isolated</w:t>
      </w:r>
      <w:r w:rsidR="000D3D96" w:rsidRPr="006A70F4">
        <w:rPr>
          <w:b/>
          <w:lang w:val="en-US"/>
        </w:rPr>
        <w:t xml:space="preserve"> </w:t>
      </w:r>
      <w:r w:rsidR="000D3D96" w:rsidRPr="006A70F4">
        <w:rPr>
          <w:lang w:val="en-US"/>
        </w:rPr>
        <w:t>and single cell suspensions analyzed by flow cytometry. The quantification shows absolute cell number (</w:t>
      </w:r>
      <w:r w:rsidR="000D3D96" w:rsidRPr="006A70F4">
        <w:rPr>
          <w:b/>
          <w:lang w:val="en-US"/>
        </w:rPr>
        <w:t>e</w:t>
      </w:r>
      <w:r w:rsidR="000D3D96" w:rsidRPr="006A70F4">
        <w:rPr>
          <w:lang w:val="en-US"/>
        </w:rPr>
        <w:t>) and frequencies (</w:t>
      </w:r>
      <w:r w:rsidR="000D3D96" w:rsidRPr="006A70F4">
        <w:rPr>
          <w:b/>
          <w:lang w:val="en-US"/>
        </w:rPr>
        <w:t>f</w:t>
      </w:r>
      <w:r w:rsidR="000D3D96" w:rsidRPr="006A70F4">
        <w:rPr>
          <w:lang w:val="en-US"/>
        </w:rPr>
        <w:t>) of all living myeloid cells, further gated on monocytes and neutrophils.</w:t>
      </w:r>
      <w:r w:rsidR="000D3D96" w:rsidRPr="006A70F4">
        <w:rPr>
          <w:b/>
          <w:lang w:val="en-US"/>
        </w:rPr>
        <w:t xml:space="preserve"> g</w:t>
      </w:r>
      <w:r w:rsidR="000D3D96" w:rsidRPr="006A70F4">
        <w:rPr>
          <w:lang w:val="en-US"/>
        </w:rPr>
        <w:t xml:space="preserve">, </w:t>
      </w:r>
      <w:r w:rsidR="000D3D96" w:rsidRPr="006A70F4">
        <w:rPr>
          <w:b/>
          <w:lang w:val="en-US"/>
        </w:rPr>
        <w:t>h</w:t>
      </w:r>
      <w:r w:rsidR="000D3D96" w:rsidRPr="006A70F4">
        <w:rPr>
          <w:lang w:val="en-US"/>
        </w:rPr>
        <w:t xml:space="preserve"> At day 8 post immunization lymph nodes and spleen were isolated and single cell suspensions were subjected to MOG antigen recall assays. The quantification of flow cytometry analysis shows the frequencies and total cell numbers of MOG-specific T cells producing the indicated cytokines, as found in lymph nodes (</w:t>
      </w:r>
      <w:r w:rsidR="000D3D96" w:rsidRPr="006A70F4">
        <w:rPr>
          <w:b/>
          <w:lang w:val="en-US"/>
        </w:rPr>
        <w:t>g</w:t>
      </w:r>
      <w:r w:rsidR="000D3D96" w:rsidRPr="006A70F4">
        <w:rPr>
          <w:lang w:val="en-US"/>
        </w:rPr>
        <w:t>) and spleens (</w:t>
      </w:r>
      <w:r w:rsidR="000D3D96" w:rsidRPr="006A70F4">
        <w:rPr>
          <w:b/>
          <w:lang w:val="en-US"/>
        </w:rPr>
        <w:t>h</w:t>
      </w:r>
      <w:r w:rsidR="000D3D96" w:rsidRPr="006A70F4">
        <w:rPr>
          <w:lang w:val="en-US"/>
        </w:rPr>
        <w:t>) of IL-1R1</w:t>
      </w:r>
      <w:r w:rsidR="000D3D96" w:rsidRPr="006A70F4">
        <w:rPr>
          <w:vertAlign w:val="superscript"/>
          <w:lang w:val="en-US"/>
        </w:rPr>
        <w:t>SLC</w:t>
      </w:r>
      <w:r w:rsidR="000D3D96" w:rsidRPr="006A70F4">
        <w:rPr>
          <w:lang w:val="en-US"/>
        </w:rPr>
        <w:t xml:space="preserve"> and control mice</w:t>
      </w:r>
      <w:r w:rsidR="000D3D96" w:rsidRPr="006A70F4">
        <w:rPr>
          <w:bCs/>
          <w:lang w:val="en-US"/>
        </w:rPr>
        <w:t xml:space="preserve">. </w:t>
      </w:r>
      <w:r w:rsidR="000D3D96" w:rsidRPr="006A70F4">
        <w:rPr>
          <w:lang w:val="en-US"/>
        </w:rPr>
        <w:t xml:space="preserve">Data </w:t>
      </w:r>
      <w:r w:rsidR="000D3D96" w:rsidRPr="006A70F4">
        <w:rPr>
          <w:b/>
          <w:lang w:val="en-US"/>
        </w:rPr>
        <w:t>a</w:t>
      </w:r>
      <w:r w:rsidR="000D3D96" w:rsidRPr="006A70F4">
        <w:rPr>
          <w:lang w:val="en-US"/>
        </w:rPr>
        <w:t>-</w:t>
      </w:r>
      <w:r w:rsidR="000D3D96" w:rsidRPr="006A70F4">
        <w:rPr>
          <w:b/>
          <w:lang w:val="en-US"/>
        </w:rPr>
        <w:t>h</w:t>
      </w:r>
      <w:r w:rsidR="000D3D96" w:rsidRPr="006A70F4">
        <w:rPr>
          <w:lang w:val="en-US"/>
        </w:rPr>
        <w:t xml:space="preserve"> is representative for at least three individual experiments with at least n=5 per group. Data in </w:t>
      </w:r>
      <w:r w:rsidR="000D3D96" w:rsidRPr="006A70F4">
        <w:rPr>
          <w:b/>
          <w:lang w:val="en-US"/>
        </w:rPr>
        <w:t>c</w:t>
      </w:r>
      <w:r w:rsidR="000D3D96" w:rsidRPr="006A70F4">
        <w:rPr>
          <w:lang w:val="en-US"/>
        </w:rPr>
        <w:t>-</w:t>
      </w:r>
      <w:r w:rsidR="000D3D96" w:rsidRPr="006A70F4">
        <w:rPr>
          <w:b/>
          <w:lang w:val="en-US"/>
        </w:rPr>
        <w:t>h</w:t>
      </w:r>
      <w:r w:rsidR="000D3D96" w:rsidRPr="006A70F4">
        <w:rPr>
          <w:lang w:val="en-US"/>
        </w:rPr>
        <w:t xml:space="preserve"> is shown as mean ± SEM and analyzed using two-tailed </w:t>
      </w:r>
      <w:r w:rsidR="000D3D96" w:rsidRPr="006A70F4">
        <w:rPr>
          <w:bCs/>
          <w:lang w:val="en-US"/>
        </w:rPr>
        <w:t xml:space="preserve">unpaired student’s t-test. </w:t>
      </w:r>
      <w:r w:rsidR="000F5F35" w:rsidRPr="001C6A76">
        <w:rPr>
          <w:color w:val="000000" w:themeColor="text1"/>
          <w:lang w:val="en-US"/>
        </w:rPr>
        <w:t>*p&lt;0.05, ** p&lt;0.01</w:t>
      </w:r>
    </w:p>
    <w:p w14:paraId="1F50A004" w14:textId="3A88DB35" w:rsidR="000D3D96" w:rsidRDefault="000D3D96" w:rsidP="000D3D96">
      <w:pPr>
        <w:rPr>
          <w:lang w:val="en-US"/>
        </w:rPr>
      </w:pPr>
      <w:r w:rsidRPr="006A70F4">
        <w:rPr>
          <w:lang w:val="en-US"/>
        </w:rPr>
        <w:br w:type="page"/>
      </w:r>
      <w:r w:rsidRPr="007E2558">
        <w:rPr>
          <w:lang w:val="en-US"/>
        </w:rPr>
        <w:lastRenderedPageBreak/>
        <w:t xml:space="preserve">Supplementary Figure </w:t>
      </w:r>
      <w:r w:rsidR="00D31545">
        <w:rPr>
          <w:lang w:val="en-US"/>
        </w:rPr>
        <w:t>5</w:t>
      </w:r>
    </w:p>
    <w:p w14:paraId="2F4E6496" w14:textId="0C56CEF5" w:rsidR="00E34FC4" w:rsidRPr="007E2558" w:rsidRDefault="00E34FC4" w:rsidP="000D3D96">
      <w:pPr>
        <w:rPr>
          <w:lang w:val="en-US"/>
        </w:rPr>
      </w:pPr>
      <w:r>
        <w:rPr>
          <w:noProof/>
          <w:lang w:eastAsia="de-DE"/>
        </w:rPr>
        <w:drawing>
          <wp:inline distT="0" distB="0" distL="0" distR="0" wp14:anchorId="794E48F2" wp14:editId="554DEAB4">
            <wp:extent cx="5756910" cy="3339465"/>
            <wp:effectExtent l="0" t="0" r="0" b="63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xt.Fig5-1-01.jpg"/>
                    <pic:cNvPicPr/>
                  </pic:nvPicPr>
                  <pic:blipFill>
                    <a:blip r:embed="rId13"/>
                    <a:stretch>
                      <a:fillRect/>
                    </a:stretch>
                  </pic:blipFill>
                  <pic:spPr>
                    <a:xfrm>
                      <a:off x="0" y="0"/>
                      <a:ext cx="5756910" cy="3339465"/>
                    </a:xfrm>
                    <a:prstGeom prst="rect">
                      <a:avLst/>
                    </a:prstGeom>
                  </pic:spPr>
                </pic:pic>
              </a:graphicData>
            </a:graphic>
          </wp:inline>
        </w:drawing>
      </w:r>
    </w:p>
    <w:p w14:paraId="731788E0" w14:textId="124AC187" w:rsidR="000D3D96" w:rsidRDefault="000D3D96" w:rsidP="000D3D96">
      <w:pPr>
        <w:rPr>
          <w:lang w:val="en-US"/>
        </w:rPr>
      </w:pPr>
    </w:p>
    <w:p w14:paraId="16CF1309" w14:textId="58348C1D" w:rsidR="000D3D96" w:rsidRPr="00AD0772" w:rsidRDefault="00700260" w:rsidP="00AD0772">
      <w:pPr>
        <w:spacing w:line="480" w:lineRule="auto"/>
        <w:jc w:val="both"/>
        <w:rPr>
          <w:color w:val="000000" w:themeColor="text1"/>
          <w:lang w:val="en-US"/>
        </w:rPr>
      </w:pPr>
      <w:r>
        <w:rPr>
          <w:b/>
          <w:lang w:val="en-US"/>
        </w:rPr>
        <w:t xml:space="preserve">Supplementary </w:t>
      </w:r>
      <w:r w:rsidR="000D3D96" w:rsidRPr="00303590">
        <w:rPr>
          <w:b/>
          <w:lang w:val="en-US"/>
        </w:rPr>
        <w:t>Fig</w:t>
      </w:r>
      <w:r w:rsidR="005C00D5">
        <w:rPr>
          <w:b/>
          <w:lang w:val="en-US"/>
        </w:rPr>
        <w:t>.</w:t>
      </w:r>
      <w:r w:rsidR="000D3D96" w:rsidRPr="00303590">
        <w:rPr>
          <w:b/>
          <w:lang w:val="en-US"/>
        </w:rPr>
        <w:t xml:space="preserve"> 5 </w:t>
      </w:r>
      <w:r w:rsidR="000D3D96" w:rsidRPr="00303590">
        <w:rPr>
          <w:lang w:val="fr-FR"/>
        </w:rPr>
        <w:t xml:space="preserve">BBB-EC IL-1 </w:t>
      </w:r>
      <w:r w:rsidR="000D3D96" w:rsidRPr="00303590">
        <w:rPr>
          <w:lang w:val="en-US"/>
        </w:rPr>
        <w:t xml:space="preserve">signaling promotes </w:t>
      </w:r>
      <w:r w:rsidR="00E34FC4">
        <w:rPr>
          <w:lang w:val="en-US"/>
        </w:rPr>
        <w:t xml:space="preserve">spinal cord and brain </w:t>
      </w:r>
      <w:r w:rsidR="0013595E">
        <w:rPr>
          <w:lang w:val="en-US"/>
        </w:rPr>
        <w:t>CD4</w:t>
      </w:r>
      <w:r w:rsidR="0013595E" w:rsidRPr="0013595E">
        <w:rPr>
          <w:vertAlign w:val="superscript"/>
          <w:lang w:val="en-US"/>
        </w:rPr>
        <w:t>+</w:t>
      </w:r>
      <w:r w:rsidR="0013595E">
        <w:rPr>
          <w:lang w:val="en-US"/>
        </w:rPr>
        <w:t xml:space="preserve"> T cell</w:t>
      </w:r>
      <w:r w:rsidR="001B2D4C">
        <w:rPr>
          <w:lang w:val="en-US"/>
        </w:rPr>
        <w:t xml:space="preserve"> </w:t>
      </w:r>
      <w:r w:rsidR="000D3D96" w:rsidRPr="00303590">
        <w:rPr>
          <w:lang w:val="en-US"/>
        </w:rPr>
        <w:t>migration. Analysis of brain and spinal cord tissue upon active EAE induction by immunization with MOG</w:t>
      </w:r>
      <w:r w:rsidR="000D3D96" w:rsidRPr="00303590">
        <w:rPr>
          <w:vertAlign w:val="subscript"/>
          <w:lang w:val="en-US"/>
        </w:rPr>
        <w:t>35-55</w:t>
      </w:r>
      <w:r w:rsidR="000D3D96" w:rsidRPr="00303590">
        <w:rPr>
          <w:lang w:val="en-US"/>
        </w:rPr>
        <w:t>/CFA</w:t>
      </w:r>
      <w:r w:rsidR="000D3D96" w:rsidRPr="00303590">
        <w:rPr>
          <w:vertAlign w:val="subscript"/>
          <w:lang w:val="en-US"/>
        </w:rPr>
        <w:t xml:space="preserve"> </w:t>
      </w:r>
      <w:r w:rsidR="000D3D96" w:rsidRPr="00303590">
        <w:rPr>
          <w:lang w:val="en-US"/>
        </w:rPr>
        <w:t xml:space="preserve">and PTx injection of mice with the indicated genotypes. </w:t>
      </w:r>
      <w:r w:rsidR="000D3D96" w:rsidRPr="00303590">
        <w:rPr>
          <w:b/>
          <w:lang w:val="en-US"/>
        </w:rPr>
        <w:t xml:space="preserve">a </w:t>
      </w:r>
      <w:r w:rsidR="000D3D96" w:rsidRPr="00303590">
        <w:rPr>
          <w:bCs/>
          <w:lang w:val="en-US"/>
        </w:rPr>
        <w:t xml:space="preserve">Representative gating strategy to identify </w:t>
      </w:r>
      <w:r w:rsidR="000D3D96" w:rsidRPr="00303590">
        <w:rPr>
          <w:lang w:val="en-US"/>
        </w:rPr>
        <w:t xml:space="preserve">living </w:t>
      </w:r>
      <w:r w:rsidR="000D3D96" w:rsidRPr="00303590">
        <w:rPr>
          <w:bCs/>
          <w:lang w:val="en-US"/>
        </w:rPr>
        <w:t>CD90.2</w:t>
      </w:r>
      <w:r w:rsidR="000D3D96" w:rsidRPr="00303590">
        <w:rPr>
          <w:bCs/>
          <w:vertAlign w:val="superscript"/>
          <w:lang w:val="en-US"/>
        </w:rPr>
        <w:t>+</w:t>
      </w:r>
      <w:r w:rsidR="000D3D96" w:rsidRPr="00303590">
        <w:rPr>
          <w:bCs/>
          <w:lang w:val="en-US"/>
        </w:rPr>
        <w:t>CD4</w:t>
      </w:r>
      <w:r w:rsidR="000D3D96" w:rsidRPr="00303590">
        <w:rPr>
          <w:bCs/>
          <w:vertAlign w:val="superscript"/>
          <w:lang w:val="en-US"/>
        </w:rPr>
        <w:t>+</w:t>
      </w:r>
      <w:r w:rsidR="000D3D96" w:rsidRPr="00303590">
        <w:rPr>
          <w:bCs/>
          <w:lang w:val="en-US"/>
        </w:rPr>
        <w:t xml:space="preserve"> T cells</w:t>
      </w:r>
      <w:r w:rsidR="005C00D5">
        <w:rPr>
          <w:bCs/>
          <w:lang w:val="en-US"/>
        </w:rPr>
        <w:t>,</w:t>
      </w:r>
      <w:r w:rsidR="000D3D96" w:rsidRPr="00303590">
        <w:rPr>
          <w:bCs/>
          <w:lang w:val="en-US"/>
        </w:rPr>
        <w:t xml:space="preserve"> which were further analyzed for their </w:t>
      </w:r>
      <w:r w:rsidR="000D3D96" w:rsidRPr="00303590">
        <w:rPr>
          <w:lang w:val="en-US"/>
        </w:rPr>
        <w:t>cytokine secretion at peak of disease</w:t>
      </w:r>
      <w:r w:rsidR="000D3D96" w:rsidRPr="00303590">
        <w:rPr>
          <w:bCs/>
          <w:lang w:val="en-US"/>
        </w:rPr>
        <w:t xml:space="preserve">. </w:t>
      </w:r>
      <w:r w:rsidR="000D3D96" w:rsidRPr="00303590">
        <w:rPr>
          <w:b/>
          <w:lang w:val="en-US"/>
        </w:rPr>
        <w:t>b,</w:t>
      </w:r>
      <w:r w:rsidR="000D3D96">
        <w:rPr>
          <w:b/>
          <w:lang w:val="en-US"/>
        </w:rPr>
        <w:t xml:space="preserve"> </w:t>
      </w:r>
      <w:r w:rsidR="000D3D96" w:rsidRPr="00303590">
        <w:rPr>
          <w:b/>
          <w:lang w:val="en-US"/>
        </w:rPr>
        <w:t xml:space="preserve">c </w:t>
      </w:r>
      <w:r w:rsidR="000D3D96" w:rsidRPr="00303590">
        <w:rPr>
          <w:lang w:val="en-US"/>
        </w:rPr>
        <w:t>Quantification of flow cytometry analysis shows the absolute cell numbers and the frequencies of the indicated T cell subsets from spinal cord (</w:t>
      </w:r>
      <w:r w:rsidR="000D3D96" w:rsidRPr="00766FC4">
        <w:rPr>
          <w:b/>
          <w:lang w:val="en-US"/>
        </w:rPr>
        <w:t>b</w:t>
      </w:r>
      <w:r w:rsidR="000D3D96" w:rsidRPr="00303590">
        <w:rPr>
          <w:lang w:val="en-US"/>
        </w:rPr>
        <w:t>) and brain (</w:t>
      </w:r>
      <w:r w:rsidR="000D3D96" w:rsidRPr="00766FC4">
        <w:rPr>
          <w:b/>
          <w:lang w:val="en-US"/>
        </w:rPr>
        <w:t>c</w:t>
      </w:r>
      <w:r w:rsidR="000D3D96" w:rsidRPr="00303590">
        <w:rPr>
          <w:lang w:val="en-US"/>
        </w:rPr>
        <w:t>) tissue</w:t>
      </w:r>
      <w:r w:rsidR="00873CB4">
        <w:rPr>
          <w:lang w:val="en-US"/>
        </w:rPr>
        <w:t xml:space="preserve">. </w:t>
      </w:r>
      <w:r w:rsidR="00873CB4" w:rsidRPr="006A70F4">
        <w:rPr>
          <w:lang w:val="en-US"/>
        </w:rPr>
        <w:t xml:space="preserve">Data </w:t>
      </w:r>
      <w:r w:rsidR="00873CB4" w:rsidRPr="006A70F4">
        <w:rPr>
          <w:b/>
          <w:lang w:val="en-US"/>
        </w:rPr>
        <w:t>a</w:t>
      </w:r>
      <w:r w:rsidR="00873CB4" w:rsidRPr="006A70F4">
        <w:rPr>
          <w:lang w:val="en-US"/>
        </w:rPr>
        <w:t>-</w:t>
      </w:r>
      <w:r w:rsidR="00873CB4">
        <w:rPr>
          <w:b/>
          <w:lang w:val="en-US"/>
        </w:rPr>
        <w:t>c</w:t>
      </w:r>
      <w:r w:rsidR="00873CB4" w:rsidRPr="006A70F4">
        <w:rPr>
          <w:lang w:val="en-US"/>
        </w:rPr>
        <w:t xml:space="preserve"> is representative for at least three individual experiments with at least n=5 per group. Data in </w:t>
      </w:r>
      <w:r w:rsidR="00873CB4">
        <w:rPr>
          <w:b/>
          <w:lang w:val="en-US"/>
        </w:rPr>
        <w:t>b</w:t>
      </w:r>
      <w:r w:rsidR="00873CB4">
        <w:rPr>
          <w:lang w:val="en-US"/>
        </w:rPr>
        <w:t xml:space="preserve"> and </w:t>
      </w:r>
      <w:r w:rsidR="00873CB4">
        <w:rPr>
          <w:b/>
          <w:lang w:val="en-US"/>
        </w:rPr>
        <w:t>c</w:t>
      </w:r>
      <w:r w:rsidR="00873CB4" w:rsidRPr="006A70F4">
        <w:rPr>
          <w:lang w:val="en-US"/>
        </w:rPr>
        <w:t xml:space="preserve"> is shown as mean ± SEM and analyzed using two-tailed </w:t>
      </w:r>
      <w:r w:rsidR="00873CB4" w:rsidRPr="006A70F4">
        <w:rPr>
          <w:bCs/>
          <w:lang w:val="en-US"/>
        </w:rPr>
        <w:t xml:space="preserve">unpaired student’s t-test. </w:t>
      </w:r>
      <w:r w:rsidR="000F5F35" w:rsidRPr="001C6A76">
        <w:rPr>
          <w:color w:val="000000" w:themeColor="text1"/>
          <w:lang w:val="en-US"/>
        </w:rPr>
        <w:t>*p&lt;0.05, ** p&lt;0.01</w:t>
      </w:r>
    </w:p>
    <w:p w14:paraId="4B3B6480" w14:textId="21727659" w:rsidR="008B7672" w:rsidRDefault="000D3D96" w:rsidP="008B7672">
      <w:pPr>
        <w:rPr>
          <w:lang w:val="en-US"/>
        </w:rPr>
      </w:pPr>
      <w:r>
        <w:rPr>
          <w:lang w:val="en-US"/>
        </w:rPr>
        <w:br w:type="page"/>
      </w:r>
      <w:r w:rsidR="008B7672">
        <w:rPr>
          <w:lang w:val="en-US"/>
        </w:rPr>
        <w:lastRenderedPageBreak/>
        <w:t>Supplementary Figure 6</w:t>
      </w:r>
    </w:p>
    <w:p w14:paraId="408B5991" w14:textId="6C6F6773" w:rsidR="008B7672" w:rsidRDefault="008B7672" w:rsidP="008B7672">
      <w:pPr>
        <w:spacing w:line="480" w:lineRule="auto"/>
        <w:jc w:val="both"/>
        <w:rPr>
          <w:color w:val="000000" w:themeColor="text1"/>
          <w:lang w:val="en-US"/>
        </w:rPr>
      </w:pPr>
      <w:r w:rsidRPr="000539E1">
        <w:rPr>
          <w:b/>
          <w:noProof/>
          <w:color w:val="000000" w:themeColor="text1"/>
          <w:lang w:eastAsia="de-DE"/>
        </w:rPr>
        <w:drawing>
          <wp:inline distT="0" distB="0" distL="0" distR="0" wp14:anchorId="3CF7EC10" wp14:editId="0E27FA3B">
            <wp:extent cx="5756910" cy="7496810"/>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xt.Fig4-0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56910" cy="7496810"/>
                    </a:xfrm>
                    <a:prstGeom prst="rect">
                      <a:avLst/>
                    </a:prstGeom>
                  </pic:spPr>
                </pic:pic>
              </a:graphicData>
            </a:graphic>
          </wp:inline>
        </w:drawing>
      </w:r>
      <w:r w:rsidRPr="000539E1">
        <w:rPr>
          <w:b/>
          <w:color w:val="000000" w:themeColor="text1"/>
          <w:sz w:val="20"/>
          <w:szCs w:val="20"/>
          <w:lang w:val="en-US"/>
        </w:rPr>
        <w:t xml:space="preserve"> </w:t>
      </w:r>
      <w:r w:rsidRPr="000539E1">
        <w:rPr>
          <w:b/>
          <w:color w:val="000000" w:themeColor="text1"/>
          <w:lang w:val="en-US"/>
        </w:rPr>
        <w:t>Supplementary</w:t>
      </w:r>
      <w:r w:rsidRPr="00B3144E">
        <w:rPr>
          <w:color w:val="000000" w:themeColor="text1"/>
          <w:lang w:val="en-US"/>
        </w:rPr>
        <w:t xml:space="preserve"> </w:t>
      </w:r>
      <w:r w:rsidRPr="00700260">
        <w:rPr>
          <w:b/>
          <w:lang w:val="en-US"/>
        </w:rPr>
        <w:t xml:space="preserve">Fig. </w:t>
      </w:r>
      <w:r>
        <w:rPr>
          <w:b/>
          <w:lang w:val="en-US"/>
        </w:rPr>
        <w:t>6</w:t>
      </w:r>
      <w:r w:rsidRPr="00324866">
        <w:rPr>
          <w:lang w:val="en-US"/>
        </w:rPr>
        <w:t xml:space="preserve"> </w:t>
      </w:r>
      <w:r w:rsidRPr="00324866">
        <w:rPr>
          <w:color w:val="000000" w:themeColor="text1"/>
          <w:lang w:val="en-US"/>
        </w:rPr>
        <w:t>EC-IL</w:t>
      </w:r>
      <w:r>
        <w:rPr>
          <w:color w:val="000000" w:themeColor="text1"/>
          <w:lang w:val="en-US"/>
        </w:rPr>
        <w:t>-</w:t>
      </w:r>
      <w:r w:rsidRPr="00324866">
        <w:rPr>
          <w:color w:val="000000" w:themeColor="text1"/>
          <w:lang w:val="en-US"/>
        </w:rPr>
        <w:t xml:space="preserve">1R1 expression does not impact the IL-1ß production by transmigrated myeloid cells </w:t>
      </w:r>
      <w:r w:rsidRPr="00324866">
        <w:rPr>
          <w:b/>
          <w:color w:val="000000" w:themeColor="text1"/>
          <w:lang w:val="en-US"/>
        </w:rPr>
        <w:t>a</w:t>
      </w:r>
      <w:r w:rsidRPr="00324866">
        <w:rPr>
          <w:color w:val="000000" w:themeColor="text1"/>
          <w:lang w:val="en-US"/>
        </w:rPr>
        <w:t xml:space="preserve"> Representative gating strategy to identify living CD45</w:t>
      </w:r>
      <w:r w:rsidRPr="00324866">
        <w:rPr>
          <w:color w:val="000000" w:themeColor="text1"/>
          <w:vertAlign w:val="superscript"/>
          <w:lang w:val="en-US"/>
        </w:rPr>
        <w:t>+</w:t>
      </w:r>
      <w:r w:rsidRPr="00324866">
        <w:rPr>
          <w:color w:val="000000" w:themeColor="text1"/>
          <w:lang w:val="en-US"/>
        </w:rPr>
        <w:t>CD11b</w:t>
      </w:r>
      <w:r w:rsidRPr="00324866">
        <w:rPr>
          <w:color w:val="000000" w:themeColor="text1"/>
          <w:vertAlign w:val="superscript"/>
          <w:lang w:val="en-US"/>
        </w:rPr>
        <w:t>high</w:t>
      </w:r>
      <w:r w:rsidRPr="00324866">
        <w:rPr>
          <w:color w:val="000000" w:themeColor="text1"/>
          <w:lang w:val="en-US"/>
        </w:rPr>
        <w:t xml:space="preserve"> myeloid cells, CD45</w:t>
      </w:r>
      <w:r w:rsidRPr="00324866">
        <w:rPr>
          <w:color w:val="000000" w:themeColor="text1"/>
          <w:vertAlign w:val="superscript"/>
          <w:lang w:val="en-US"/>
        </w:rPr>
        <w:t>+</w:t>
      </w:r>
      <w:r w:rsidRPr="00324866">
        <w:rPr>
          <w:color w:val="000000" w:themeColor="text1"/>
          <w:lang w:val="en-US"/>
        </w:rPr>
        <w:t>CD11b</w:t>
      </w:r>
      <w:r w:rsidRPr="00324866">
        <w:rPr>
          <w:color w:val="000000" w:themeColor="text1"/>
          <w:vertAlign w:val="superscript"/>
          <w:lang w:val="en-US"/>
        </w:rPr>
        <w:t>high</w:t>
      </w:r>
      <w:r w:rsidRPr="00324866">
        <w:rPr>
          <w:color w:val="000000" w:themeColor="text1"/>
          <w:lang w:val="en-US"/>
        </w:rPr>
        <w:t>Ly6c</w:t>
      </w:r>
      <w:r w:rsidRPr="00324866">
        <w:rPr>
          <w:color w:val="000000" w:themeColor="text1"/>
          <w:vertAlign w:val="superscript"/>
          <w:lang w:val="en-US"/>
        </w:rPr>
        <w:t>high</w:t>
      </w:r>
      <w:r w:rsidRPr="00324866">
        <w:rPr>
          <w:color w:val="000000" w:themeColor="text1"/>
          <w:lang w:val="en-US"/>
        </w:rPr>
        <w:t xml:space="preserve"> monocytes and CD45</w:t>
      </w:r>
      <w:r w:rsidRPr="00324866">
        <w:rPr>
          <w:color w:val="000000" w:themeColor="text1"/>
          <w:vertAlign w:val="superscript"/>
          <w:lang w:val="en-US"/>
        </w:rPr>
        <w:t>+</w:t>
      </w:r>
      <w:r w:rsidRPr="00324866">
        <w:rPr>
          <w:color w:val="000000" w:themeColor="text1"/>
          <w:lang w:val="en-US"/>
        </w:rPr>
        <w:t>CD11b</w:t>
      </w:r>
      <w:r w:rsidRPr="00324866">
        <w:rPr>
          <w:color w:val="000000" w:themeColor="text1"/>
          <w:vertAlign w:val="superscript"/>
          <w:lang w:val="en-US"/>
        </w:rPr>
        <w:t>high</w:t>
      </w:r>
      <w:r w:rsidRPr="00324866">
        <w:rPr>
          <w:color w:val="000000" w:themeColor="text1"/>
          <w:lang w:val="en-US"/>
        </w:rPr>
        <w:t>Ly6c</w:t>
      </w:r>
      <w:r w:rsidRPr="00324866">
        <w:rPr>
          <w:color w:val="000000" w:themeColor="text1"/>
          <w:vertAlign w:val="superscript"/>
          <w:lang w:val="en-US"/>
        </w:rPr>
        <w:t>+</w:t>
      </w:r>
      <w:r w:rsidRPr="00324866">
        <w:rPr>
          <w:color w:val="000000" w:themeColor="text1"/>
          <w:lang w:val="en-US"/>
        </w:rPr>
        <w:t>Ly6g</w:t>
      </w:r>
      <w:r w:rsidRPr="00324866">
        <w:rPr>
          <w:color w:val="000000" w:themeColor="text1"/>
          <w:vertAlign w:val="superscript"/>
          <w:lang w:val="en-US"/>
        </w:rPr>
        <w:t>+</w:t>
      </w:r>
      <w:r w:rsidRPr="00324866">
        <w:rPr>
          <w:color w:val="000000" w:themeColor="text1"/>
          <w:lang w:val="en-US"/>
        </w:rPr>
        <w:t xml:space="preserve"> neutrophils, further analyzed for their IL-1</w:t>
      </w:r>
      <w:r w:rsidRPr="00700260">
        <w:rPr>
          <w:color w:val="000000" w:themeColor="text1"/>
        </w:rPr>
        <w:sym w:font="Symbol" w:char="F062"/>
      </w:r>
      <w:r w:rsidRPr="00700260">
        <w:rPr>
          <w:color w:val="000000" w:themeColor="text1"/>
          <w:lang w:val="en-US"/>
        </w:rPr>
        <w:t xml:space="preserve"> secretion.</w:t>
      </w:r>
      <w:r>
        <w:rPr>
          <w:b/>
          <w:color w:val="000000" w:themeColor="text1"/>
          <w:lang w:val="en-US"/>
        </w:rPr>
        <w:t xml:space="preserve"> </w:t>
      </w:r>
      <w:r w:rsidRPr="00B3144E">
        <w:rPr>
          <w:b/>
          <w:color w:val="000000" w:themeColor="text1"/>
          <w:lang w:val="en-US"/>
        </w:rPr>
        <w:t>a</w:t>
      </w:r>
      <w:r w:rsidRPr="00700260">
        <w:rPr>
          <w:color w:val="000000" w:themeColor="text1"/>
          <w:lang w:val="en-US"/>
        </w:rPr>
        <w:t>-</w:t>
      </w:r>
      <w:r w:rsidRPr="00B3144E">
        <w:rPr>
          <w:b/>
          <w:color w:val="000000" w:themeColor="text1"/>
          <w:lang w:val="en-US"/>
        </w:rPr>
        <w:t>d</w:t>
      </w:r>
      <w:r w:rsidRPr="00700260">
        <w:rPr>
          <w:color w:val="000000" w:themeColor="text1"/>
          <w:lang w:val="en-US"/>
        </w:rPr>
        <w:t xml:space="preserve"> For </w:t>
      </w:r>
      <w:r w:rsidRPr="00700260">
        <w:rPr>
          <w:color w:val="000000" w:themeColor="text1"/>
          <w:lang w:val="en-US"/>
        </w:rPr>
        <w:lastRenderedPageBreak/>
        <w:t>IL-1</w:t>
      </w:r>
      <w:r w:rsidRPr="00E34FC4">
        <w:rPr>
          <w:rFonts w:ascii="Symbol" w:hAnsi="Symbol"/>
          <w:color w:val="000000" w:themeColor="text1"/>
          <w:lang w:val="en-US"/>
        </w:rPr>
        <w:t></w:t>
      </w:r>
      <w:r w:rsidRPr="00700260">
        <w:rPr>
          <w:color w:val="000000" w:themeColor="text1"/>
          <w:lang w:val="en-US"/>
        </w:rPr>
        <w:t xml:space="preserve"> detection isolated myeloid cells </w:t>
      </w:r>
      <w:r w:rsidRPr="00324866">
        <w:rPr>
          <w:color w:val="000000" w:themeColor="text1"/>
          <w:lang w:val="en-US"/>
        </w:rPr>
        <w:t xml:space="preserve">from spinal cord of EAE mice were incubated for 4h with </w:t>
      </w:r>
      <w:r w:rsidRPr="00324866">
        <w:rPr>
          <w:rFonts w:eastAsiaTheme="minorHAnsi"/>
          <w:color w:val="000000" w:themeColor="text1"/>
          <w:lang w:val="en-US"/>
        </w:rPr>
        <w:t xml:space="preserve">2 </w:t>
      </w:r>
      <w:r w:rsidRPr="00700260">
        <w:rPr>
          <w:rFonts w:eastAsiaTheme="minorHAnsi"/>
          <w:color w:val="000000" w:themeColor="text1"/>
          <w:lang w:val="en-US"/>
        </w:rPr>
        <w:sym w:font="Symbol" w:char="F06D"/>
      </w:r>
      <w:r w:rsidRPr="00700260">
        <w:rPr>
          <w:rFonts w:eastAsiaTheme="minorHAnsi"/>
          <w:color w:val="000000" w:themeColor="text1"/>
          <w:lang w:val="en-US"/>
        </w:rPr>
        <w:t>M</w:t>
      </w:r>
      <w:r w:rsidRPr="00700260">
        <w:rPr>
          <w:color w:val="000000" w:themeColor="text1"/>
          <w:lang w:val="en-US"/>
        </w:rPr>
        <w:t xml:space="preserve"> monensin and </w:t>
      </w:r>
      <w:r w:rsidRPr="00700260">
        <w:rPr>
          <w:rFonts w:eastAsiaTheme="minorHAnsi"/>
          <w:color w:val="000000" w:themeColor="text1"/>
          <w:lang w:val="en-US"/>
        </w:rPr>
        <w:t>500 ng/ml</w:t>
      </w:r>
      <w:r w:rsidRPr="00700260">
        <w:rPr>
          <w:color w:val="000000" w:themeColor="text1"/>
          <w:lang w:val="en-US"/>
        </w:rPr>
        <w:t xml:space="preserve"> LPS. Flow cytometry showing cell counts (</w:t>
      </w:r>
      <w:r w:rsidRPr="00B3144E">
        <w:rPr>
          <w:b/>
          <w:color w:val="000000" w:themeColor="text1"/>
          <w:lang w:val="en-US"/>
        </w:rPr>
        <w:t>b</w:t>
      </w:r>
      <w:r w:rsidRPr="00700260">
        <w:rPr>
          <w:color w:val="000000" w:themeColor="text1"/>
          <w:lang w:val="en-US"/>
        </w:rPr>
        <w:t>) mean fluorescence intensity</w:t>
      </w:r>
      <w:r>
        <w:rPr>
          <w:color w:val="000000" w:themeColor="text1"/>
          <w:lang w:val="en-US"/>
        </w:rPr>
        <w:t xml:space="preserve"> (MFI)</w:t>
      </w:r>
      <w:r w:rsidRPr="00700260">
        <w:rPr>
          <w:color w:val="000000" w:themeColor="text1"/>
          <w:lang w:val="en-US"/>
        </w:rPr>
        <w:t xml:space="preserve"> (</w:t>
      </w:r>
      <w:r w:rsidRPr="00B3144E">
        <w:rPr>
          <w:b/>
          <w:color w:val="000000" w:themeColor="text1"/>
          <w:lang w:val="en-US"/>
        </w:rPr>
        <w:t>c</w:t>
      </w:r>
      <w:r w:rsidRPr="00700260">
        <w:rPr>
          <w:color w:val="000000" w:themeColor="text1"/>
          <w:lang w:val="en-US"/>
        </w:rPr>
        <w:t xml:space="preserve">) and </w:t>
      </w:r>
      <w:r>
        <w:rPr>
          <w:color w:val="000000" w:themeColor="text1"/>
          <w:lang w:val="en-US"/>
        </w:rPr>
        <w:t>frequency</w:t>
      </w:r>
      <w:r w:rsidRPr="00700260">
        <w:rPr>
          <w:color w:val="000000" w:themeColor="text1"/>
          <w:lang w:val="en-US"/>
        </w:rPr>
        <w:t xml:space="preserve"> of IL-1</w:t>
      </w:r>
      <w:r w:rsidRPr="00700260">
        <w:rPr>
          <w:color w:val="000000" w:themeColor="text1"/>
        </w:rPr>
        <w:sym w:font="Symbol" w:char="F062"/>
      </w:r>
      <w:r w:rsidRPr="00700260">
        <w:rPr>
          <w:color w:val="000000" w:themeColor="text1"/>
          <w:lang w:val="en-US"/>
        </w:rPr>
        <w:t xml:space="preserve"> producing cells (</w:t>
      </w:r>
      <w:r w:rsidRPr="00B3144E">
        <w:rPr>
          <w:b/>
          <w:color w:val="000000" w:themeColor="text1"/>
          <w:lang w:val="en-US"/>
        </w:rPr>
        <w:t>d</w:t>
      </w:r>
      <w:r w:rsidRPr="00700260">
        <w:rPr>
          <w:color w:val="000000" w:themeColor="text1"/>
          <w:lang w:val="en-US"/>
        </w:rPr>
        <w:t xml:space="preserve">). Data in b-d is shown as mean ± SEM and analyzed using two-tailed </w:t>
      </w:r>
      <w:r w:rsidRPr="00324866">
        <w:rPr>
          <w:bCs/>
          <w:color w:val="000000" w:themeColor="text1"/>
          <w:lang w:val="en-US"/>
        </w:rPr>
        <w:t>unpaired student’s t-test</w:t>
      </w:r>
      <w:r w:rsidR="00D61C39">
        <w:rPr>
          <w:bCs/>
          <w:color w:val="000000" w:themeColor="text1"/>
          <w:lang w:val="en-US"/>
        </w:rPr>
        <w:t xml:space="preserve"> </w:t>
      </w:r>
      <w:r w:rsidRPr="001C6A76">
        <w:rPr>
          <w:color w:val="000000" w:themeColor="text1"/>
          <w:lang w:val="en-US"/>
        </w:rPr>
        <w:t xml:space="preserve">** p&lt;0.01 </w:t>
      </w:r>
    </w:p>
    <w:p w14:paraId="1E9C5A99" w14:textId="3E1E41BE" w:rsidR="008B7672" w:rsidRPr="00AD0772" w:rsidRDefault="008B7672" w:rsidP="00E579C1">
      <w:pPr>
        <w:rPr>
          <w:color w:val="000000" w:themeColor="text1"/>
          <w:lang w:val="en-US"/>
        </w:rPr>
      </w:pPr>
      <w:r>
        <w:rPr>
          <w:color w:val="000000" w:themeColor="text1"/>
          <w:lang w:val="en-US"/>
        </w:rPr>
        <w:br w:type="page"/>
      </w:r>
    </w:p>
    <w:p w14:paraId="211A07C1" w14:textId="5A1B1288" w:rsidR="000D3D96" w:rsidRPr="007E2558" w:rsidRDefault="000D3D96" w:rsidP="000D3D96">
      <w:pPr>
        <w:rPr>
          <w:lang w:val="en-US"/>
        </w:rPr>
      </w:pPr>
      <w:r w:rsidRPr="007E2558">
        <w:rPr>
          <w:lang w:val="en-US"/>
        </w:rPr>
        <w:lastRenderedPageBreak/>
        <w:t xml:space="preserve">Supplementary Figure </w:t>
      </w:r>
      <w:r w:rsidR="003359F8">
        <w:rPr>
          <w:lang w:val="en-US"/>
        </w:rPr>
        <w:t>7</w:t>
      </w:r>
    </w:p>
    <w:p w14:paraId="7EA83586" w14:textId="77777777" w:rsidR="000D3D96" w:rsidRDefault="000D3D96" w:rsidP="000D3D96">
      <w:pPr>
        <w:rPr>
          <w:lang w:val="en-US"/>
        </w:rPr>
      </w:pPr>
      <w:r>
        <w:rPr>
          <w:noProof/>
          <w:lang w:eastAsia="de-DE"/>
        </w:rPr>
        <w:drawing>
          <wp:inline distT="0" distB="0" distL="0" distR="0" wp14:anchorId="2FEE661B" wp14:editId="67CFE363">
            <wp:extent cx="5613739" cy="889200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xt.Fig5-0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3739" cy="8892000"/>
                    </a:xfrm>
                    <a:prstGeom prst="rect">
                      <a:avLst/>
                    </a:prstGeom>
                  </pic:spPr>
                </pic:pic>
              </a:graphicData>
            </a:graphic>
          </wp:inline>
        </w:drawing>
      </w:r>
    </w:p>
    <w:p w14:paraId="0D20DC79" w14:textId="72BC28D9" w:rsidR="000D3D96" w:rsidRDefault="00700260" w:rsidP="003E2F2A">
      <w:pPr>
        <w:spacing w:line="480" w:lineRule="auto"/>
        <w:jc w:val="both"/>
        <w:rPr>
          <w:lang w:val="en-US"/>
        </w:rPr>
      </w:pPr>
      <w:r>
        <w:rPr>
          <w:b/>
          <w:lang w:val="en-US"/>
        </w:rPr>
        <w:lastRenderedPageBreak/>
        <w:t xml:space="preserve">Supplementary </w:t>
      </w:r>
      <w:r w:rsidR="000D3D96" w:rsidRPr="00303590">
        <w:rPr>
          <w:b/>
          <w:lang w:val="en-US"/>
        </w:rPr>
        <w:t xml:space="preserve">Fig. </w:t>
      </w:r>
      <w:r w:rsidR="008B7672">
        <w:rPr>
          <w:b/>
          <w:lang w:val="en-US"/>
        </w:rPr>
        <w:t>7</w:t>
      </w:r>
      <w:r w:rsidR="000D3D96" w:rsidRPr="00303590">
        <w:rPr>
          <w:lang w:val="en-US"/>
        </w:rPr>
        <w:t xml:space="preserve"> BBB-EC IL-1 signaling promotes myelin damage and microglia activation. Immunofluorescence analysis of spinal cord tissue at EAE onset showing </w:t>
      </w:r>
      <w:r w:rsidR="000D3D96">
        <w:rPr>
          <w:lang w:val="en-US"/>
        </w:rPr>
        <w:t>F</w:t>
      </w:r>
      <w:r w:rsidR="000D3D96" w:rsidRPr="00303590">
        <w:rPr>
          <w:lang w:val="en-US"/>
        </w:rPr>
        <w:t>luoro</w:t>
      </w:r>
      <w:r w:rsidR="000D3D96">
        <w:rPr>
          <w:lang w:val="en-US"/>
        </w:rPr>
        <w:t>M</w:t>
      </w:r>
      <w:r w:rsidR="000D3D96" w:rsidRPr="00303590">
        <w:rPr>
          <w:lang w:val="en-US"/>
        </w:rPr>
        <w:t>yelin (red), Iba-1(green) and DAPI (blue) staining</w:t>
      </w:r>
      <w:r w:rsidR="000D3D96">
        <w:rPr>
          <w:lang w:val="en-US"/>
        </w:rPr>
        <w:t xml:space="preserve"> (scale bar = 100</w:t>
      </w:r>
      <w:r w:rsidR="000D3D96">
        <w:rPr>
          <w:lang w:val="en-US"/>
        </w:rPr>
        <w:sym w:font="Symbol" w:char="F06D"/>
      </w:r>
      <w:r w:rsidR="000D3D96">
        <w:rPr>
          <w:lang w:val="en-US"/>
        </w:rPr>
        <w:t>m)</w:t>
      </w:r>
      <w:r w:rsidR="002476FA">
        <w:rPr>
          <w:lang w:val="en-US"/>
        </w:rPr>
        <w:t xml:space="preserve">. </w:t>
      </w:r>
      <w:r w:rsidR="00C05A79">
        <w:rPr>
          <w:lang w:val="en-US"/>
        </w:rPr>
        <w:t>White dots indicate the posterior horn of the spinal cord with cell infiltrates. Arrowheads show the area of demyelination</w:t>
      </w:r>
      <w:r w:rsidR="00AD0772">
        <w:rPr>
          <w:lang w:val="en-US"/>
        </w:rPr>
        <w:t>.</w:t>
      </w:r>
      <w:r>
        <w:rPr>
          <w:lang w:val="en-US"/>
        </w:rPr>
        <w:t xml:space="preserve"> </w:t>
      </w:r>
      <w:r w:rsidR="000D3D96">
        <w:rPr>
          <w:lang w:val="en-US"/>
        </w:rPr>
        <w:br w:type="page"/>
      </w:r>
    </w:p>
    <w:p w14:paraId="6C50E390" w14:textId="058C2047" w:rsidR="000D3D96" w:rsidRPr="007E2558" w:rsidRDefault="000D3D96" w:rsidP="000D3D96">
      <w:pPr>
        <w:rPr>
          <w:lang w:val="en-US"/>
        </w:rPr>
      </w:pPr>
      <w:r w:rsidRPr="007E2558">
        <w:rPr>
          <w:lang w:val="en-US"/>
        </w:rPr>
        <w:lastRenderedPageBreak/>
        <w:t xml:space="preserve">Supplementary Figure </w:t>
      </w:r>
      <w:r w:rsidR="00570AC8">
        <w:rPr>
          <w:lang w:val="en-US"/>
        </w:rPr>
        <w:t>8</w:t>
      </w:r>
    </w:p>
    <w:p w14:paraId="763703DF" w14:textId="77777777" w:rsidR="000D3D96" w:rsidRPr="00597C4D" w:rsidRDefault="000D3D96" w:rsidP="000D3D96">
      <w:pPr>
        <w:rPr>
          <w:lang w:val="en-US"/>
        </w:rPr>
      </w:pPr>
      <w:r>
        <w:rPr>
          <w:noProof/>
          <w:lang w:eastAsia="de-DE"/>
        </w:rPr>
        <w:drawing>
          <wp:inline distT="0" distB="0" distL="0" distR="0" wp14:anchorId="21B8B1D8" wp14:editId="458B7439">
            <wp:extent cx="3619500" cy="306070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xt.Fig6-0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19500" cy="3060700"/>
                    </a:xfrm>
                    <a:prstGeom prst="rect">
                      <a:avLst/>
                    </a:prstGeom>
                  </pic:spPr>
                </pic:pic>
              </a:graphicData>
            </a:graphic>
          </wp:inline>
        </w:drawing>
      </w:r>
    </w:p>
    <w:p w14:paraId="32CA42FB" w14:textId="3CE744FE" w:rsidR="005829B4" w:rsidRDefault="00700260" w:rsidP="005829B4">
      <w:pPr>
        <w:autoSpaceDE w:val="0"/>
        <w:autoSpaceDN w:val="0"/>
        <w:adjustRightInd w:val="0"/>
        <w:spacing w:line="480" w:lineRule="auto"/>
        <w:jc w:val="both"/>
        <w:rPr>
          <w:lang w:val="en-US"/>
        </w:rPr>
      </w:pPr>
      <w:r>
        <w:rPr>
          <w:b/>
          <w:lang w:val="en-US"/>
        </w:rPr>
        <w:t xml:space="preserve">Supplementary </w:t>
      </w:r>
      <w:r w:rsidR="000D3D96" w:rsidRPr="00303590">
        <w:rPr>
          <w:b/>
          <w:lang w:val="en-US"/>
        </w:rPr>
        <w:t xml:space="preserve">Fig. </w:t>
      </w:r>
      <w:r w:rsidR="00570AC8">
        <w:rPr>
          <w:b/>
          <w:lang w:val="en-US"/>
        </w:rPr>
        <w:t>8</w:t>
      </w:r>
      <w:r w:rsidR="000D3D96">
        <w:rPr>
          <w:b/>
          <w:lang w:val="en-US"/>
        </w:rPr>
        <w:t xml:space="preserve"> </w:t>
      </w:r>
      <w:r w:rsidR="000D3D96" w:rsidRPr="00D719B3">
        <w:rPr>
          <w:lang w:val="en-US"/>
        </w:rPr>
        <w:t>HO-1 expression by BBB-ECs</w:t>
      </w:r>
      <w:r w:rsidR="000D3D96">
        <w:rPr>
          <w:b/>
          <w:lang w:val="en-US"/>
        </w:rPr>
        <w:t xml:space="preserve"> </w:t>
      </w:r>
      <w:r w:rsidR="000D3D96">
        <w:rPr>
          <w:lang w:val="en-US"/>
        </w:rPr>
        <w:t xml:space="preserve">is </w:t>
      </w:r>
      <w:r w:rsidR="000D3D96" w:rsidRPr="00303590">
        <w:rPr>
          <w:lang w:val="en-US"/>
        </w:rPr>
        <w:t xml:space="preserve">increased in spinal cord </w:t>
      </w:r>
      <w:r w:rsidR="000D3D96">
        <w:rPr>
          <w:lang w:val="en-US"/>
        </w:rPr>
        <w:t>of IL-1R1</w:t>
      </w:r>
      <w:r w:rsidR="000D3D96" w:rsidRPr="00D719B3">
        <w:rPr>
          <w:vertAlign w:val="superscript"/>
          <w:lang w:val="en-US"/>
        </w:rPr>
        <w:t>SLC</w:t>
      </w:r>
      <w:r w:rsidR="000D3D96">
        <w:rPr>
          <w:lang w:val="en-US"/>
        </w:rPr>
        <w:t xml:space="preserve"> mice </w:t>
      </w:r>
      <w:r w:rsidR="000D3D96" w:rsidRPr="00303590">
        <w:rPr>
          <w:lang w:val="en-US"/>
        </w:rPr>
        <w:t>before onset of EAE</w:t>
      </w:r>
      <w:r w:rsidR="000D3D96">
        <w:rPr>
          <w:lang w:val="en-US"/>
        </w:rPr>
        <w:t xml:space="preserve">. </w:t>
      </w:r>
      <w:r w:rsidR="000D3D96" w:rsidRPr="00303590">
        <w:rPr>
          <w:lang w:val="en-US"/>
        </w:rPr>
        <w:t>Flow cytometry analysis of BBB-ECs isolated from spinal cord and brain tissue, showing mean fluorescence intensity (MFI) of HO-1. Data is shown as mean ± SEM and analyzed using two-tailed unpaired student’s t-test *p&lt;0.05</w:t>
      </w:r>
      <w:r w:rsidR="005829B4">
        <w:rPr>
          <w:lang w:val="en-US"/>
        </w:rPr>
        <w:br w:type="page"/>
      </w:r>
    </w:p>
    <w:p w14:paraId="337576A0" w14:textId="7989B3F9" w:rsidR="000D3D96" w:rsidRPr="007E2558" w:rsidRDefault="000D3D96" w:rsidP="000D3D96">
      <w:pPr>
        <w:rPr>
          <w:lang w:val="en-US"/>
        </w:rPr>
      </w:pPr>
      <w:r w:rsidRPr="007E2558">
        <w:rPr>
          <w:lang w:val="en-US"/>
        </w:rPr>
        <w:lastRenderedPageBreak/>
        <w:t xml:space="preserve">Supplementary Figure </w:t>
      </w:r>
      <w:r w:rsidR="00570AC8">
        <w:rPr>
          <w:lang w:val="en-US"/>
        </w:rPr>
        <w:t>9</w:t>
      </w:r>
    </w:p>
    <w:p w14:paraId="3C54B9FB" w14:textId="23297398" w:rsidR="000D3D96" w:rsidRPr="00303590" w:rsidRDefault="00980B16" w:rsidP="000D3D96">
      <w:pPr>
        <w:rPr>
          <w:bCs/>
          <w:color w:val="FF0000"/>
          <w:lang w:val="en-US"/>
        </w:rPr>
      </w:pPr>
      <w:r>
        <w:rPr>
          <w:bCs/>
          <w:noProof/>
          <w:color w:val="FF0000"/>
          <w:lang w:eastAsia="de-DE"/>
        </w:rPr>
        <w:drawing>
          <wp:inline distT="0" distB="0" distL="0" distR="0" wp14:anchorId="0475A9A9" wp14:editId="567E7ECF">
            <wp:extent cx="5756910" cy="4629150"/>
            <wp:effectExtent l="0" t="0" r="0" b="635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HO-1_EAEonset-01.jpg"/>
                    <pic:cNvPicPr/>
                  </pic:nvPicPr>
                  <pic:blipFill>
                    <a:blip r:embed="rId17"/>
                    <a:stretch>
                      <a:fillRect/>
                    </a:stretch>
                  </pic:blipFill>
                  <pic:spPr>
                    <a:xfrm>
                      <a:off x="0" y="0"/>
                      <a:ext cx="5756910" cy="4629150"/>
                    </a:xfrm>
                    <a:prstGeom prst="rect">
                      <a:avLst/>
                    </a:prstGeom>
                  </pic:spPr>
                </pic:pic>
              </a:graphicData>
            </a:graphic>
          </wp:inline>
        </w:drawing>
      </w:r>
    </w:p>
    <w:p w14:paraId="196FB491" w14:textId="329AE86C" w:rsidR="000D3D96" w:rsidRPr="00303590" w:rsidRDefault="00700260" w:rsidP="000D3D96">
      <w:pPr>
        <w:autoSpaceDE w:val="0"/>
        <w:autoSpaceDN w:val="0"/>
        <w:adjustRightInd w:val="0"/>
        <w:spacing w:line="480" w:lineRule="auto"/>
        <w:jc w:val="both"/>
        <w:rPr>
          <w:lang w:val="en-US"/>
        </w:rPr>
      </w:pPr>
      <w:r>
        <w:rPr>
          <w:b/>
          <w:lang w:val="en-US"/>
        </w:rPr>
        <w:t xml:space="preserve">Supplementary </w:t>
      </w:r>
      <w:r w:rsidR="000D3D96" w:rsidRPr="00303590">
        <w:rPr>
          <w:b/>
          <w:lang w:val="en-US"/>
        </w:rPr>
        <w:t xml:space="preserve">Fig. </w:t>
      </w:r>
      <w:r w:rsidR="00570AC8">
        <w:rPr>
          <w:b/>
          <w:lang w:val="en-US"/>
        </w:rPr>
        <w:t>9</w:t>
      </w:r>
      <w:r w:rsidR="000D3D96" w:rsidRPr="00303590">
        <w:rPr>
          <w:b/>
          <w:lang w:val="en-US"/>
        </w:rPr>
        <w:t xml:space="preserve"> </w:t>
      </w:r>
      <w:r w:rsidR="000D3D96" w:rsidRPr="00303590">
        <w:rPr>
          <w:lang w:val="en-US"/>
        </w:rPr>
        <w:t>HO-1 overexpression by BBB-ECs reduces leukocyte migration</w:t>
      </w:r>
      <w:r w:rsidR="00EB7493">
        <w:rPr>
          <w:lang w:val="en-US"/>
        </w:rPr>
        <w:t>.</w:t>
      </w:r>
    </w:p>
    <w:p w14:paraId="6D6EE51B" w14:textId="666CB957" w:rsidR="000D3D96" w:rsidRPr="00303590" w:rsidRDefault="000D3D96" w:rsidP="000D3D96">
      <w:pPr>
        <w:spacing w:line="480" w:lineRule="auto"/>
        <w:jc w:val="both"/>
        <w:rPr>
          <w:bCs/>
          <w:lang w:val="en-US"/>
        </w:rPr>
      </w:pPr>
      <w:r w:rsidRPr="00303590">
        <w:rPr>
          <w:lang w:val="en-US"/>
        </w:rPr>
        <w:t>Single cell suspension isolated from CNS tissue</w:t>
      </w:r>
      <w:r w:rsidR="00EB7493">
        <w:rPr>
          <w:lang w:val="en-US"/>
        </w:rPr>
        <w:t xml:space="preserve"> of mice</w:t>
      </w:r>
      <w:r w:rsidRPr="00303590">
        <w:rPr>
          <w:lang w:val="en-US"/>
        </w:rPr>
        <w:t xml:space="preserve"> at day 10 post immunization were analyzed by flow cytometry for CNS-infiltrating leukocytes. Flow cytometry analysis was quantified and shows the absolute cell number</w:t>
      </w:r>
      <w:r w:rsidR="00EB7493">
        <w:rPr>
          <w:lang w:val="en-US"/>
        </w:rPr>
        <w:t xml:space="preserve"> (</w:t>
      </w:r>
      <w:r w:rsidR="00EB7493" w:rsidRPr="00E34FC4">
        <w:rPr>
          <w:b/>
          <w:lang w:val="en-US"/>
        </w:rPr>
        <w:t>a, b</w:t>
      </w:r>
      <w:r w:rsidR="00EB7493">
        <w:rPr>
          <w:lang w:val="en-US"/>
        </w:rPr>
        <w:t>) and frequency (</w:t>
      </w:r>
      <w:r w:rsidR="00EB7493" w:rsidRPr="00E34FC4">
        <w:rPr>
          <w:b/>
          <w:lang w:val="en-US"/>
        </w:rPr>
        <w:t>c, d</w:t>
      </w:r>
      <w:r w:rsidR="00EB7493">
        <w:rPr>
          <w:lang w:val="en-US"/>
        </w:rPr>
        <w:t>)</w:t>
      </w:r>
      <w:r w:rsidRPr="00303590">
        <w:rPr>
          <w:lang w:val="en-US"/>
        </w:rPr>
        <w:t xml:space="preserve"> of living CD45</w:t>
      </w:r>
      <w:r w:rsidRPr="00303590">
        <w:rPr>
          <w:vertAlign w:val="superscript"/>
          <w:lang w:val="en-US"/>
        </w:rPr>
        <w:t>+</w:t>
      </w:r>
      <w:r w:rsidRPr="00303590">
        <w:rPr>
          <w:lang w:val="en-US"/>
        </w:rPr>
        <w:t>CD90</w:t>
      </w:r>
      <w:r w:rsidRPr="00303590">
        <w:rPr>
          <w:vertAlign w:val="superscript"/>
          <w:lang w:val="en-US"/>
        </w:rPr>
        <w:t>+</w:t>
      </w:r>
      <w:r w:rsidRPr="00303590">
        <w:rPr>
          <w:lang w:val="en-US"/>
        </w:rPr>
        <w:t xml:space="preserve"> T cells (</w:t>
      </w:r>
      <w:r w:rsidRPr="00766FC4">
        <w:rPr>
          <w:b/>
          <w:lang w:val="en-US"/>
        </w:rPr>
        <w:t>a</w:t>
      </w:r>
      <w:r w:rsidR="00EB7493">
        <w:rPr>
          <w:b/>
          <w:lang w:val="en-US"/>
        </w:rPr>
        <w:t>, c</w:t>
      </w:r>
      <w:r w:rsidRPr="00303590">
        <w:rPr>
          <w:lang w:val="en-US"/>
        </w:rPr>
        <w:t xml:space="preserve">) </w:t>
      </w:r>
      <w:r w:rsidR="00EB7493">
        <w:rPr>
          <w:lang w:val="en-US"/>
        </w:rPr>
        <w:t xml:space="preserve">and </w:t>
      </w:r>
      <w:r w:rsidRPr="00303590">
        <w:rPr>
          <w:lang w:val="en-US"/>
        </w:rPr>
        <w:t>of living CD45</w:t>
      </w:r>
      <w:r w:rsidRPr="00303590">
        <w:rPr>
          <w:vertAlign w:val="superscript"/>
          <w:lang w:val="en-US"/>
        </w:rPr>
        <w:t>+</w:t>
      </w:r>
      <w:r w:rsidRPr="00303590">
        <w:rPr>
          <w:lang w:val="en-US"/>
        </w:rPr>
        <w:t>CD11b</w:t>
      </w:r>
      <w:r w:rsidRPr="00303590">
        <w:rPr>
          <w:vertAlign w:val="superscript"/>
          <w:lang w:val="en-US"/>
        </w:rPr>
        <w:t>high</w:t>
      </w:r>
      <w:r w:rsidRPr="00303590">
        <w:rPr>
          <w:lang w:val="en-US"/>
        </w:rPr>
        <w:t xml:space="preserve"> myeloid cells, further gated on Ly6c</w:t>
      </w:r>
      <w:r w:rsidRPr="00303590">
        <w:rPr>
          <w:vertAlign w:val="superscript"/>
          <w:lang w:val="en-US"/>
        </w:rPr>
        <w:t xml:space="preserve">high </w:t>
      </w:r>
      <w:r w:rsidRPr="00303590">
        <w:rPr>
          <w:lang w:val="en-US"/>
        </w:rPr>
        <w:t>monocytes and Ly6c</w:t>
      </w:r>
      <w:r w:rsidRPr="00303590">
        <w:rPr>
          <w:vertAlign w:val="superscript"/>
          <w:lang w:val="en-US"/>
        </w:rPr>
        <w:t>+</w:t>
      </w:r>
      <w:r w:rsidR="00EB7493" w:rsidRPr="00303590">
        <w:rPr>
          <w:lang w:val="en-US"/>
        </w:rPr>
        <w:t>Ly6</w:t>
      </w:r>
      <w:r w:rsidR="00EB7493">
        <w:rPr>
          <w:lang w:val="en-US"/>
        </w:rPr>
        <w:t>g</w:t>
      </w:r>
      <w:r w:rsidRPr="00303590">
        <w:rPr>
          <w:vertAlign w:val="superscript"/>
          <w:lang w:val="en-US"/>
        </w:rPr>
        <w:t>+</w:t>
      </w:r>
      <w:r w:rsidRPr="00303590">
        <w:rPr>
          <w:lang w:val="en-US"/>
        </w:rPr>
        <w:t xml:space="preserve"> neutrophils</w:t>
      </w:r>
      <w:r w:rsidR="00EB7493">
        <w:rPr>
          <w:lang w:val="en-US"/>
        </w:rPr>
        <w:t xml:space="preserve"> (</w:t>
      </w:r>
      <w:r w:rsidR="00EB7493" w:rsidRPr="00E34FC4">
        <w:rPr>
          <w:b/>
          <w:lang w:val="en-US"/>
        </w:rPr>
        <w:t>b, d</w:t>
      </w:r>
      <w:r w:rsidR="00EB7493">
        <w:rPr>
          <w:lang w:val="en-US"/>
        </w:rPr>
        <w:t>)</w:t>
      </w:r>
      <w:r w:rsidRPr="00303590">
        <w:rPr>
          <w:lang w:val="en-US"/>
        </w:rPr>
        <w:t>. Data</w:t>
      </w:r>
      <w:r w:rsidR="00457353">
        <w:rPr>
          <w:lang w:val="en-US"/>
        </w:rPr>
        <w:t xml:space="preserve"> </w:t>
      </w:r>
      <w:r w:rsidRPr="00303590">
        <w:rPr>
          <w:lang w:val="en-US"/>
        </w:rPr>
        <w:t>is representative for at least two individual experiments with a</w:t>
      </w:r>
      <w:r w:rsidR="00457353">
        <w:rPr>
          <w:lang w:val="en-US"/>
        </w:rPr>
        <w:t>t least</w:t>
      </w:r>
      <w:r w:rsidRPr="00303590">
        <w:rPr>
          <w:lang w:val="en-US"/>
        </w:rPr>
        <w:t xml:space="preserve"> n=4 per group. Data is shown as mean ± SEM and analyzed using two-tailed unpaired student’s t-test. *p&lt;0.05</w:t>
      </w:r>
    </w:p>
    <w:p w14:paraId="5F19C17A" w14:textId="77777777" w:rsidR="005829B4" w:rsidRDefault="005829B4">
      <w:pPr>
        <w:rPr>
          <w:bCs/>
          <w:color w:val="FF0000"/>
          <w:sz w:val="20"/>
          <w:szCs w:val="20"/>
          <w:lang w:val="en-US"/>
        </w:rPr>
      </w:pPr>
      <w:r>
        <w:rPr>
          <w:bCs/>
          <w:color w:val="FF0000"/>
          <w:sz w:val="20"/>
          <w:szCs w:val="20"/>
          <w:lang w:val="en-US"/>
        </w:rPr>
        <w:br w:type="page"/>
      </w:r>
    </w:p>
    <w:p w14:paraId="52CAFC80" w14:textId="75CC5D2F" w:rsidR="000D3D96" w:rsidRPr="005829B4" w:rsidRDefault="000D3D96" w:rsidP="000D3D96">
      <w:pPr>
        <w:rPr>
          <w:lang w:val="en-US"/>
        </w:rPr>
      </w:pPr>
      <w:r w:rsidRPr="007E2558">
        <w:rPr>
          <w:lang w:val="en-US"/>
        </w:rPr>
        <w:lastRenderedPageBreak/>
        <w:t xml:space="preserve">Supplementary Figure </w:t>
      </w:r>
      <w:r w:rsidR="00570AC8">
        <w:rPr>
          <w:lang w:val="en-US"/>
        </w:rPr>
        <w:t>10</w:t>
      </w:r>
    </w:p>
    <w:p w14:paraId="50459C0E" w14:textId="3B718DBA" w:rsidR="000D3D96" w:rsidRPr="008D2E57" w:rsidRDefault="00356BE2" w:rsidP="000D3D96">
      <w:pPr>
        <w:rPr>
          <w:lang w:val="en-US"/>
        </w:rPr>
      </w:pPr>
      <w:r>
        <w:rPr>
          <w:noProof/>
          <w:lang w:eastAsia="de-DE"/>
        </w:rPr>
        <w:drawing>
          <wp:inline distT="0" distB="0" distL="0" distR="0" wp14:anchorId="0E56E97F" wp14:editId="3B53B786">
            <wp:extent cx="5756910" cy="4763135"/>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Ext.Fig3-01.jpg"/>
                    <pic:cNvPicPr/>
                  </pic:nvPicPr>
                  <pic:blipFill>
                    <a:blip r:embed="rId18"/>
                    <a:stretch>
                      <a:fillRect/>
                    </a:stretch>
                  </pic:blipFill>
                  <pic:spPr>
                    <a:xfrm>
                      <a:off x="0" y="0"/>
                      <a:ext cx="5756910" cy="4763135"/>
                    </a:xfrm>
                    <a:prstGeom prst="rect">
                      <a:avLst/>
                    </a:prstGeom>
                  </pic:spPr>
                </pic:pic>
              </a:graphicData>
            </a:graphic>
          </wp:inline>
        </w:drawing>
      </w:r>
    </w:p>
    <w:p w14:paraId="48BE8961" w14:textId="7EC364CC" w:rsidR="00A25A83" w:rsidRDefault="00700260" w:rsidP="00805316">
      <w:pPr>
        <w:spacing w:line="480" w:lineRule="auto"/>
        <w:jc w:val="both"/>
        <w:rPr>
          <w:color w:val="000000" w:themeColor="text1"/>
          <w:lang w:val="en-US"/>
        </w:rPr>
      </w:pPr>
      <w:r>
        <w:rPr>
          <w:b/>
          <w:lang w:val="en-US"/>
        </w:rPr>
        <w:t xml:space="preserve">Supplementary </w:t>
      </w:r>
      <w:r w:rsidR="000D3D96" w:rsidRPr="006A70F4">
        <w:rPr>
          <w:b/>
          <w:lang w:val="en-US"/>
        </w:rPr>
        <w:t xml:space="preserve">Fig. </w:t>
      </w:r>
      <w:r w:rsidR="00570AC8">
        <w:rPr>
          <w:b/>
          <w:lang w:val="en-US"/>
        </w:rPr>
        <w:t>10</w:t>
      </w:r>
      <w:r w:rsidR="000D3D96" w:rsidRPr="006A70F4">
        <w:rPr>
          <w:b/>
          <w:lang w:val="en-US"/>
        </w:rPr>
        <w:t xml:space="preserve"> </w:t>
      </w:r>
      <w:r w:rsidR="000D3D96" w:rsidRPr="006A70F4">
        <w:rPr>
          <w:lang w:val="en-US"/>
        </w:rPr>
        <w:t>EC</w:t>
      </w:r>
      <w:r w:rsidR="000D3D96">
        <w:rPr>
          <w:lang w:val="en-US"/>
        </w:rPr>
        <w:t>-</w:t>
      </w:r>
      <w:r w:rsidR="000D3D96" w:rsidRPr="006A70F4">
        <w:rPr>
          <w:lang w:val="en-US"/>
        </w:rPr>
        <w:t>HO-1 and IL-1</w:t>
      </w:r>
      <w:r w:rsidR="000D3D96" w:rsidRPr="006A70F4">
        <w:sym w:font="Symbol" w:char="F062"/>
      </w:r>
      <w:r w:rsidR="000D3D96" w:rsidRPr="006A70F4">
        <w:rPr>
          <w:lang w:val="en-US"/>
        </w:rPr>
        <w:t xml:space="preserve"> signaling suppress each other and share a molecular crosstalk.</w:t>
      </w:r>
      <w:r w:rsidR="000D3D96" w:rsidRPr="006A70F4">
        <w:rPr>
          <w:b/>
          <w:lang w:val="en-US"/>
        </w:rPr>
        <w:t xml:space="preserve"> </w:t>
      </w:r>
      <w:r w:rsidR="00CF21FD">
        <w:rPr>
          <w:b/>
          <w:lang w:val="en-US"/>
        </w:rPr>
        <w:t>a-c</w:t>
      </w:r>
      <w:r w:rsidR="000D3D96" w:rsidRPr="00CA04E6">
        <w:rPr>
          <w:lang w:val="en-US"/>
        </w:rPr>
        <w:t xml:space="preserve"> Primary mouse brain microvasculature endothelial cells (pMBMECs) were exposed to hemin, IL-1</w:t>
      </w:r>
      <w:r w:rsidR="000D3D96" w:rsidRPr="00CA04E6">
        <w:rPr>
          <w:lang w:val="en-US"/>
        </w:rPr>
        <w:sym w:font="Symbol" w:char="F062"/>
      </w:r>
      <w:r w:rsidR="000D3D96" w:rsidRPr="00CA04E6">
        <w:rPr>
          <w:lang w:val="en-US"/>
        </w:rPr>
        <w:t xml:space="preserve"> or their combination at the indicated concentrations for 16 hr. </w:t>
      </w:r>
      <w:r w:rsidR="000D3D96" w:rsidRPr="00CA04E6">
        <w:rPr>
          <w:b/>
          <w:lang w:val="en-US"/>
        </w:rPr>
        <w:t>a</w:t>
      </w:r>
      <w:r w:rsidR="000D3D96" w:rsidRPr="00CA04E6">
        <w:rPr>
          <w:lang w:val="en-US"/>
        </w:rPr>
        <w:t xml:space="preserve"> </w:t>
      </w:r>
      <w:r w:rsidR="000D3D96" w:rsidRPr="00CA04E6">
        <w:rPr>
          <w:bCs/>
          <w:lang w:val="en-US"/>
        </w:rPr>
        <w:t xml:space="preserve">qRT-PCR analysis of </w:t>
      </w:r>
      <w:r w:rsidR="000D3D96" w:rsidRPr="00CA04E6">
        <w:rPr>
          <w:i/>
          <w:lang w:val="en-US"/>
        </w:rPr>
        <w:t>Hmox1</w:t>
      </w:r>
      <w:r w:rsidR="000D3D96" w:rsidRPr="00CA04E6">
        <w:rPr>
          <w:lang w:val="en-US"/>
        </w:rPr>
        <w:t xml:space="preserve"> (HO-1) expression after the indicated treatment. </w:t>
      </w:r>
      <w:r w:rsidR="000D3D96" w:rsidRPr="00CA04E6">
        <w:rPr>
          <w:b/>
          <w:lang w:val="en-US"/>
        </w:rPr>
        <w:t>b</w:t>
      </w:r>
      <w:r w:rsidR="000D3D96" w:rsidRPr="00CA04E6">
        <w:rPr>
          <w:lang w:val="en-US"/>
        </w:rPr>
        <w:t xml:space="preserve"> Schematic presentation of </w:t>
      </w:r>
      <w:r w:rsidR="000D3D96" w:rsidRPr="00CA04E6">
        <w:rPr>
          <w:i/>
          <w:lang w:val="en-US"/>
        </w:rPr>
        <w:t>Hmox1</w:t>
      </w:r>
      <w:r w:rsidR="000D3D96" w:rsidRPr="00CA04E6">
        <w:rPr>
          <w:lang w:val="en-US"/>
        </w:rPr>
        <w:t xml:space="preserve"> (HO-1) expression upon different treatments. </w:t>
      </w:r>
      <w:r w:rsidR="000D3D96" w:rsidRPr="00CA04E6">
        <w:rPr>
          <w:b/>
          <w:lang w:val="en-US"/>
        </w:rPr>
        <w:t>c</w:t>
      </w:r>
      <w:r w:rsidR="000D3D96" w:rsidRPr="00CA04E6">
        <w:rPr>
          <w:lang w:val="en-US"/>
        </w:rPr>
        <w:t xml:space="preserve"> </w:t>
      </w:r>
      <w:r w:rsidR="000D3D96" w:rsidRPr="00CA04E6">
        <w:rPr>
          <w:bCs/>
          <w:lang w:val="en-US"/>
        </w:rPr>
        <w:t xml:space="preserve">qRT-PCR analysis of </w:t>
      </w:r>
      <w:r w:rsidR="000D3D96" w:rsidRPr="00CA04E6">
        <w:rPr>
          <w:i/>
          <w:lang w:val="en-US"/>
        </w:rPr>
        <w:t xml:space="preserve">Vcam1, Icam1 and Ackr1 </w:t>
      </w:r>
      <w:r w:rsidR="000D3D96" w:rsidRPr="00CA04E6">
        <w:rPr>
          <w:lang w:val="en-US"/>
        </w:rPr>
        <w:t>(Darc) expression after the indicated treatments. Data in</w:t>
      </w:r>
      <w:r w:rsidR="000D3D96" w:rsidRPr="00CA04E6">
        <w:rPr>
          <w:b/>
          <w:lang w:val="en-US"/>
        </w:rPr>
        <w:t xml:space="preserve"> a</w:t>
      </w:r>
      <w:r w:rsidR="000D3D96" w:rsidRPr="00CA04E6">
        <w:rPr>
          <w:lang w:val="en-US"/>
        </w:rPr>
        <w:t xml:space="preserve"> and </w:t>
      </w:r>
      <w:r w:rsidR="00457353">
        <w:rPr>
          <w:b/>
          <w:lang w:val="en-US"/>
        </w:rPr>
        <w:t>c</w:t>
      </w:r>
      <w:r w:rsidR="00457353" w:rsidRPr="00CA04E6">
        <w:rPr>
          <w:lang w:val="en-US"/>
        </w:rPr>
        <w:t xml:space="preserve"> </w:t>
      </w:r>
      <w:r w:rsidR="000D3D96" w:rsidRPr="00CA04E6">
        <w:rPr>
          <w:lang w:val="en-US"/>
        </w:rPr>
        <w:t xml:space="preserve">is representative for three individual experiments with at least n=3 per group, and is shown as mean ± SEM and analyzed by using </w:t>
      </w:r>
      <w:r w:rsidR="00C80CF4">
        <w:rPr>
          <w:lang w:val="en-US"/>
        </w:rPr>
        <w:t>one</w:t>
      </w:r>
      <w:r w:rsidR="000D3D96" w:rsidRPr="00CA04E6">
        <w:rPr>
          <w:lang w:val="en-US"/>
        </w:rPr>
        <w:t xml:space="preserve">-way ANOVA with Bonferroni’s post hoc test. </w:t>
      </w:r>
      <w:r w:rsidR="000F5F35" w:rsidRPr="001C6A76">
        <w:rPr>
          <w:color w:val="000000" w:themeColor="text1"/>
          <w:lang w:val="en-US"/>
        </w:rPr>
        <w:t>*p&lt;0.05, ** p&lt;0.01, *** p&lt;0.001</w:t>
      </w:r>
    </w:p>
    <w:p w14:paraId="490C7A7A" w14:textId="5BDC0C02" w:rsidR="006D1274" w:rsidRPr="005829B4" w:rsidRDefault="006D1274" w:rsidP="00122869">
      <w:pPr>
        <w:rPr>
          <w:color w:val="000000" w:themeColor="text1"/>
          <w:lang w:val="en-US"/>
        </w:rPr>
      </w:pPr>
    </w:p>
    <w:sectPr w:rsidR="006D1274" w:rsidRPr="005829B4" w:rsidSect="00A03130">
      <w:footerReference w:type="even" r:id="rId19"/>
      <w:footerReference w:type="default" r:id="rId20"/>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CC2964" w14:textId="77777777" w:rsidR="0059380D" w:rsidRDefault="0059380D" w:rsidP="00C305BD">
      <w:r>
        <w:separator/>
      </w:r>
    </w:p>
  </w:endnote>
  <w:endnote w:type="continuationSeparator" w:id="0">
    <w:p w14:paraId="6F3D8109" w14:textId="77777777" w:rsidR="0059380D" w:rsidRDefault="0059380D" w:rsidP="00C30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engXian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DengXian">
    <w:altName w:val="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Seitenzahl"/>
      </w:rPr>
      <w:id w:val="998768604"/>
      <w:docPartObj>
        <w:docPartGallery w:val="Page Numbers (Bottom of Page)"/>
        <w:docPartUnique/>
      </w:docPartObj>
    </w:sdtPr>
    <w:sdtEndPr>
      <w:rPr>
        <w:rStyle w:val="Seitenzahl"/>
      </w:rPr>
    </w:sdtEndPr>
    <w:sdtContent>
      <w:p w14:paraId="6827E140" w14:textId="642C97AE" w:rsidR="009B40C2" w:rsidRDefault="009B40C2" w:rsidP="003E0F80">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1E742122" w14:textId="77777777" w:rsidR="009B40C2" w:rsidRDefault="009B40C2" w:rsidP="00E579C1">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Seitenzahl"/>
        <w:rFonts w:ascii="Times New Roman" w:hAnsi="Times New Roman" w:cs="Times New Roman"/>
        <w:sz w:val="22"/>
        <w:szCs w:val="22"/>
      </w:rPr>
      <w:id w:val="464700488"/>
      <w:docPartObj>
        <w:docPartGallery w:val="Page Numbers (Bottom of Page)"/>
        <w:docPartUnique/>
      </w:docPartObj>
    </w:sdtPr>
    <w:sdtEndPr>
      <w:rPr>
        <w:rStyle w:val="Seitenzahl"/>
      </w:rPr>
    </w:sdtEndPr>
    <w:sdtContent>
      <w:p w14:paraId="202347BB" w14:textId="0B027CF1" w:rsidR="009B40C2" w:rsidRPr="003E0F80" w:rsidRDefault="009B40C2" w:rsidP="003E0F80">
        <w:pPr>
          <w:pStyle w:val="Fuzeile"/>
          <w:framePr w:wrap="none" w:vAnchor="text" w:hAnchor="margin" w:xAlign="right" w:y="1"/>
          <w:rPr>
            <w:rStyle w:val="Seitenzahl"/>
            <w:rFonts w:ascii="Times New Roman" w:hAnsi="Times New Roman" w:cs="Times New Roman"/>
            <w:sz w:val="22"/>
            <w:szCs w:val="22"/>
          </w:rPr>
        </w:pPr>
        <w:r w:rsidRPr="00741547">
          <w:rPr>
            <w:rStyle w:val="Seitenzahl"/>
            <w:rFonts w:ascii="Times New Roman" w:hAnsi="Times New Roman" w:cs="Times New Roman"/>
          </w:rPr>
          <w:fldChar w:fldCharType="begin"/>
        </w:r>
        <w:r w:rsidRPr="00741547">
          <w:rPr>
            <w:rStyle w:val="Seitenzahl"/>
            <w:rFonts w:ascii="Times New Roman" w:hAnsi="Times New Roman" w:cs="Times New Roman"/>
          </w:rPr>
          <w:instrText xml:space="preserve"> PAGE </w:instrText>
        </w:r>
        <w:r w:rsidRPr="00741547">
          <w:rPr>
            <w:rStyle w:val="Seitenzahl"/>
            <w:rFonts w:ascii="Times New Roman" w:hAnsi="Times New Roman" w:cs="Times New Roman"/>
          </w:rPr>
          <w:fldChar w:fldCharType="separate"/>
        </w:r>
        <w:r w:rsidR="00E971B4">
          <w:rPr>
            <w:rStyle w:val="Seitenzahl"/>
            <w:rFonts w:ascii="Times New Roman" w:hAnsi="Times New Roman" w:cs="Times New Roman"/>
            <w:noProof/>
          </w:rPr>
          <w:t>14</w:t>
        </w:r>
        <w:r w:rsidRPr="00741547">
          <w:rPr>
            <w:rStyle w:val="Seitenzahl"/>
            <w:rFonts w:ascii="Times New Roman" w:hAnsi="Times New Roman" w:cs="Times New Roman"/>
          </w:rPr>
          <w:fldChar w:fldCharType="end"/>
        </w:r>
      </w:p>
    </w:sdtContent>
  </w:sdt>
  <w:p w14:paraId="2D72974E" w14:textId="77777777" w:rsidR="009B40C2" w:rsidRDefault="009B40C2" w:rsidP="003E0F80">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2F600B" w14:textId="77777777" w:rsidR="0059380D" w:rsidRDefault="0059380D" w:rsidP="00C305BD">
      <w:r>
        <w:separator/>
      </w:r>
    </w:p>
  </w:footnote>
  <w:footnote w:type="continuationSeparator" w:id="0">
    <w:p w14:paraId="7D48C4DC" w14:textId="77777777" w:rsidR="0059380D" w:rsidRDefault="0059380D" w:rsidP="00C305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45D60"/>
    <w:multiLevelType w:val="multilevel"/>
    <w:tmpl w:val="DBF602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asic_numbered_alphabetic-2&lt;/Style&gt;&lt;LeftDelim&gt;{&lt;/LeftDelim&gt;&lt;RightDelim&gt;}&lt;/RightDelim&gt;&lt;FontName&gt;Times New Roman&lt;/FontName&gt;&lt;FontSize&gt;12&lt;/FontSize&gt;&lt;ReflistTitle&gt;&lt;/ReflistTitle&gt;&lt;StartingRefnum&gt;1&lt;/StartingRefnum&gt;&lt;FirstLineIndent&gt;0&lt;/FirstLineIndent&gt;&lt;HangingIndent&gt;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093E08"/>
    <w:rsid w:val="00004D38"/>
    <w:rsid w:val="00006D22"/>
    <w:rsid w:val="00007F7F"/>
    <w:rsid w:val="00011B6A"/>
    <w:rsid w:val="00011D8A"/>
    <w:rsid w:val="00013723"/>
    <w:rsid w:val="00014838"/>
    <w:rsid w:val="00014DEC"/>
    <w:rsid w:val="00015E8C"/>
    <w:rsid w:val="00016096"/>
    <w:rsid w:val="00016623"/>
    <w:rsid w:val="0002119C"/>
    <w:rsid w:val="0002162B"/>
    <w:rsid w:val="00023251"/>
    <w:rsid w:val="000273FF"/>
    <w:rsid w:val="000279DD"/>
    <w:rsid w:val="00030D29"/>
    <w:rsid w:val="000316D9"/>
    <w:rsid w:val="00032216"/>
    <w:rsid w:val="00032CB3"/>
    <w:rsid w:val="00033AE3"/>
    <w:rsid w:val="00037C84"/>
    <w:rsid w:val="00037EEC"/>
    <w:rsid w:val="000425F1"/>
    <w:rsid w:val="00045B75"/>
    <w:rsid w:val="000465F2"/>
    <w:rsid w:val="00046E4D"/>
    <w:rsid w:val="000473E3"/>
    <w:rsid w:val="00050979"/>
    <w:rsid w:val="00051CD0"/>
    <w:rsid w:val="000528B8"/>
    <w:rsid w:val="000529DD"/>
    <w:rsid w:val="000539E1"/>
    <w:rsid w:val="00054683"/>
    <w:rsid w:val="000554E1"/>
    <w:rsid w:val="0005693D"/>
    <w:rsid w:val="00057540"/>
    <w:rsid w:val="00057ADF"/>
    <w:rsid w:val="00057B57"/>
    <w:rsid w:val="00060EE4"/>
    <w:rsid w:val="00061590"/>
    <w:rsid w:val="000618B3"/>
    <w:rsid w:val="0006212C"/>
    <w:rsid w:val="00064EF1"/>
    <w:rsid w:val="000657A6"/>
    <w:rsid w:val="00065C05"/>
    <w:rsid w:val="00066505"/>
    <w:rsid w:val="000669C9"/>
    <w:rsid w:val="000672FD"/>
    <w:rsid w:val="00071516"/>
    <w:rsid w:val="00071AD0"/>
    <w:rsid w:val="00074160"/>
    <w:rsid w:val="00075358"/>
    <w:rsid w:val="000766A9"/>
    <w:rsid w:val="00077D98"/>
    <w:rsid w:val="00083475"/>
    <w:rsid w:val="0008470A"/>
    <w:rsid w:val="00084CDC"/>
    <w:rsid w:val="0008643D"/>
    <w:rsid w:val="0008712D"/>
    <w:rsid w:val="000908E1"/>
    <w:rsid w:val="00092D3F"/>
    <w:rsid w:val="00093E08"/>
    <w:rsid w:val="00095A18"/>
    <w:rsid w:val="00097244"/>
    <w:rsid w:val="000977C8"/>
    <w:rsid w:val="000A19FF"/>
    <w:rsid w:val="000A48DD"/>
    <w:rsid w:val="000A603B"/>
    <w:rsid w:val="000A6A79"/>
    <w:rsid w:val="000A7E3E"/>
    <w:rsid w:val="000B0FC8"/>
    <w:rsid w:val="000B57A3"/>
    <w:rsid w:val="000C1D1F"/>
    <w:rsid w:val="000C37B0"/>
    <w:rsid w:val="000C41D3"/>
    <w:rsid w:val="000C42F5"/>
    <w:rsid w:val="000C44BE"/>
    <w:rsid w:val="000C618F"/>
    <w:rsid w:val="000C656E"/>
    <w:rsid w:val="000D046D"/>
    <w:rsid w:val="000D3D96"/>
    <w:rsid w:val="000D431E"/>
    <w:rsid w:val="000D460B"/>
    <w:rsid w:val="000D4E67"/>
    <w:rsid w:val="000D5E70"/>
    <w:rsid w:val="000D632A"/>
    <w:rsid w:val="000E08E5"/>
    <w:rsid w:val="000E0B7F"/>
    <w:rsid w:val="000E2A1B"/>
    <w:rsid w:val="000E33CA"/>
    <w:rsid w:val="000E3E17"/>
    <w:rsid w:val="000E3F97"/>
    <w:rsid w:val="000E5E98"/>
    <w:rsid w:val="000E6508"/>
    <w:rsid w:val="000E6B35"/>
    <w:rsid w:val="000E76E3"/>
    <w:rsid w:val="000E7F80"/>
    <w:rsid w:val="000F04D8"/>
    <w:rsid w:val="000F22DA"/>
    <w:rsid w:val="000F4AE8"/>
    <w:rsid w:val="000F5F35"/>
    <w:rsid w:val="000F6B97"/>
    <w:rsid w:val="000F7F63"/>
    <w:rsid w:val="00103350"/>
    <w:rsid w:val="00105843"/>
    <w:rsid w:val="00106660"/>
    <w:rsid w:val="00106D83"/>
    <w:rsid w:val="00110DD1"/>
    <w:rsid w:val="00112464"/>
    <w:rsid w:val="00114189"/>
    <w:rsid w:val="001147DA"/>
    <w:rsid w:val="00117025"/>
    <w:rsid w:val="00120640"/>
    <w:rsid w:val="00121F97"/>
    <w:rsid w:val="00122869"/>
    <w:rsid w:val="00122D9E"/>
    <w:rsid w:val="00124E84"/>
    <w:rsid w:val="00126B80"/>
    <w:rsid w:val="00127739"/>
    <w:rsid w:val="00127F60"/>
    <w:rsid w:val="001300BF"/>
    <w:rsid w:val="0013137D"/>
    <w:rsid w:val="00131D21"/>
    <w:rsid w:val="0013228E"/>
    <w:rsid w:val="00132AA3"/>
    <w:rsid w:val="001341F4"/>
    <w:rsid w:val="0013461C"/>
    <w:rsid w:val="0013595E"/>
    <w:rsid w:val="00135FCA"/>
    <w:rsid w:val="00136D41"/>
    <w:rsid w:val="001374FC"/>
    <w:rsid w:val="0013774F"/>
    <w:rsid w:val="00141EBD"/>
    <w:rsid w:val="001440D2"/>
    <w:rsid w:val="001444F3"/>
    <w:rsid w:val="00146E17"/>
    <w:rsid w:val="00146FA9"/>
    <w:rsid w:val="00147DD8"/>
    <w:rsid w:val="00147E29"/>
    <w:rsid w:val="00150B5B"/>
    <w:rsid w:val="0015156E"/>
    <w:rsid w:val="00151AD8"/>
    <w:rsid w:val="00151E1A"/>
    <w:rsid w:val="00153EFF"/>
    <w:rsid w:val="001550D1"/>
    <w:rsid w:val="001551AD"/>
    <w:rsid w:val="001557ED"/>
    <w:rsid w:val="00156971"/>
    <w:rsid w:val="00156D39"/>
    <w:rsid w:val="00156F88"/>
    <w:rsid w:val="00160A78"/>
    <w:rsid w:val="001635D8"/>
    <w:rsid w:val="00163ADA"/>
    <w:rsid w:val="00164C17"/>
    <w:rsid w:val="00165BF1"/>
    <w:rsid w:val="00167DF3"/>
    <w:rsid w:val="00170E2C"/>
    <w:rsid w:val="00171101"/>
    <w:rsid w:val="00171AFF"/>
    <w:rsid w:val="0017206F"/>
    <w:rsid w:val="001753C4"/>
    <w:rsid w:val="00175B81"/>
    <w:rsid w:val="00177A61"/>
    <w:rsid w:val="00177F3D"/>
    <w:rsid w:val="001837CC"/>
    <w:rsid w:val="0018471B"/>
    <w:rsid w:val="00185014"/>
    <w:rsid w:val="00185EA3"/>
    <w:rsid w:val="00185F0F"/>
    <w:rsid w:val="0018618F"/>
    <w:rsid w:val="001862EE"/>
    <w:rsid w:val="0018649A"/>
    <w:rsid w:val="00186B87"/>
    <w:rsid w:val="0019087F"/>
    <w:rsid w:val="00191EF4"/>
    <w:rsid w:val="00194B81"/>
    <w:rsid w:val="00195792"/>
    <w:rsid w:val="001970F8"/>
    <w:rsid w:val="0019797F"/>
    <w:rsid w:val="001A050D"/>
    <w:rsid w:val="001A18A8"/>
    <w:rsid w:val="001A1CB6"/>
    <w:rsid w:val="001A3C53"/>
    <w:rsid w:val="001A46BB"/>
    <w:rsid w:val="001A7522"/>
    <w:rsid w:val="001B04AB"/>
    <w:rsid w:val="001B2D4C"/>
    <w:rsid w:val="001B2EC6"/>
    <w:rsid w:val="001B3AFC"/>
    <w:rsid w:val="001B64D6"/>
    <w:rsid w:val="001C0CE6"/>
    <w:rsid w:val="001C22D7"/>
    <w:rsid w:val="001C364F"/>
    <w:rsid w:val="001C5066"/>
    <w:rsid w:val="001C6112"/>
    <w:rsid w:val="001C6345"/>
    <w:rsid w:val="001C6A76"/>
    <w:rsid w:val="001C6BE6"/>
    <w:rsid w:val="001C7011"/>
    <w:rsid w:val="001D0A59"/>
    <w:rsid w:val="001D0B64"/>
    <w:rsid w:val="001D35DB"/>
    <w:rsid w:val="001D5483"/>
    <w:rsid w:val="001D7A80"/>
    <w:rsid w:val="001E03F1"/>
    <w:rsid w:val="001E35C3"/>
    <w:rsid w:val="001E6FB3"/>
    <w:rsid w:val="001F199D"/>
    <w:rsid w:val="001F2E6F"/>
    <w:rsid w:val="001F2ED8"/>
    <w:rsid w:val="001F4B46"/>
    <w:rsid w:val="001F4EAB"/>
    <w:rsid w:val="001F5966"/>
    <w:rsid w:val="001F719D"/>
    <w:rsid w:val="002046C8"/>
    <w:rsid w:val="002054EC"/>
    <w:rsid w:val="00206733"/>
    <w:rsid w:val="00206B66"/>
    <w:rsid w:val="00207607"/>
    <w:rsid w:val="00211317"/>
    <w:rsid w:val="00212EE9"/>
    <w:rsid w:val="002210BE"/>
    <w:rsid w:val="00222A31"/>
    <w:rsid w:val="0022403C"/>
    <w:rsid w:val="00224152"/>
    <w:rsid w:val="00224575"/>
    <w:rsid w:val="002309D2"/>
    <w:rsid w:val="002335AC"/>
    <w:rsid w:val="002336CA"/>
    <w:rsid w:val="0023624D"/>
    <w:rsid w:val="002373FA"/>
    <w:rsid w:val="00241A57"/>
    <w:rsid w:val="002423CC"/>
    <w:rsid w:val="002426E1"/>
    <w:rsid w:val="00242A89"/>
    <w:rsid w:val="00246E3D"/>
    <w:rsid w:val="002476FA"/>
    <w:rsid w:val="00247FB2"/>
    <w:rsid w:val="00251467"/>
    <w:rsid w:val="00251E5E"/>
    <w:rsid w:val="00251F83"/>
    <w:rsid w:val="002527A8"/>
    <w:rsid w:val="002531A2"/>
    <w:rsid w:val="00255682"/>
    <w:rsid w:val="00257F66"/>
    <w:rsid w:val="002606A6"/>
    <w:rsid w:val="00265D3A"/>
    <w:rsid w:val="002670F2"/>
    <w:rsid w:val="0026796C"/>
    <w:rsid w:val="00267F5C"/>
    <w:rsid w:val="0027061C"/>
    <w:rsid w:val="00270ECD"/>
    <w:rsid w:val="00271854"/>
    <w:rsid w:val="00271C0F"/>
    <w:rsid w:val="00271E96"/>
    <w:rsid w:val="002739A5"/>
    <w:rsid w:val="00275D4E"/>
    <w:rsid w:val="00281C68"/>
    <w:rsid w:val="00282F6F"/>
    <w:rsid w:val="00283665"/>
    <w:rsid w:val="00283CD9"/>
    <w:rsid w:val="00287A55"/>
    <w:rsid w:val="00291093"/>
    <w:rsid w:val="002946BD"/>
    <w:rsid w:val="002951F8"/>
    <w:rsid w:val="00296B50"/>
    <w:rsid w:val="002A13AF"/>
    <w:rsid w:val="002A184A"/>
    <w:rsid w:val="002A3EEE"/>
    <w:rsid w:val="002B0D9D"/>
    <w:rsid w:val="002B1179"/>
    <w:rsid w:val="002B15FE"/>
    <w:rsid w:val="002B4CAE"/>
    <w:rsid w:val="002B5B7B"/>
    <w:rsid w:val="002B6587"/>
    <w:rsid w:val="002B671D"/>
    <w:rsid w:val="002B7C72"/>
    <w:rsid w:val="002C233D"/>
    <w:rsid w:val="002C2CDB"/>
    <w:rsid w:val="002C4002"/>
    <w:rsid w:val="002C60D9"/>
    <w:rsid w:val="002D0E9B"/>
    <w:rsid w:val="002D49C6"/>
    <w:rsid w:val="002D503B"/>
    <w:rsid w:val="002D6EA3"/>
    <w:rsid w:val="002D70D0"/>
    <w:rsid w:val="002D792B"/>
    <w:rsid w:val="002E23AA"/>
    <w:rsid w:val="002E399A"/>
    <w:rsid w:val="002E4BA1"/>
    <w:rsid w:val="002E709B"/>
    <w:rsid w:val="002F0E07"/>
    <w:rsid w:val="002F1351"/>
    <w:rsid w:val="002F1941"/>
    <w:rsid w:val="002F27D3"/>
    <w:rsid w:val="002F48E3"/>
    <w:rsid w:val="002F7FA3"/>
    <w:rsid w:val="0030272F"/>
    <w:rsid w:val="00304714"/>
    <w:rsid w:val="00305823"/>
    <w:rsid w:val="003068BD"/>
    <w:rsid w:val="00313E65"/>
    <w:rsid w:val="00313E87"/>
    <w:rsid w:val="00316DE6"/>
    <w:rsid w:val="003178CC"/>
    <w:rsid w:val="00320B34"/>
    <w:rsid w:val="00321069"/>
    <w:rsid w:val="0032128C"/>
    <w:rsid w:val="003228C7"/>
    <w:rsid w:val="00323379"/>
    <w:rsid w:val="00324866"/>
    <w:rsid w:val="00325E8C"/>
    <w:rsid w:val="003276CD"/>
    <w:rsid w:val="00327DD8"/>
    <w:rsid w:val="00327E89"/>
    <w:rsid w:val="00333D55"/>
    <w:rsid w:val="00335103"/>
    <w:rsid w:val="00335763"/>
    <w:rsid w:val="00335900"/>
    <w:rsid w:val="003359F8"/>
    <w:rsid w:val="00336851"/>
    <w:rsid w:val="00336EDA"/>
    <w:rsid w:val="00341605"/>
    <w:rsid w:val="003416C1"/>
    <w:rsid w:val="00342407"/>
    <w:rsid w:val="003445D0"/>
    <w:rsid w:val="003447DF"/>
    <w:rsid w:val="00344BF0"/>
    <w:rsid w:val="0034584E"/>
    <w:rsid w:val="00346508"/>
    <w:rsid w:val="00346731"/>
    <w:rsid w:val="00347239"/>
    <w:rsid w:val="00352A10"/>
    <w:rsid w:val="00352DE1"/>
    <w:rsid w:val="00352FDD"/>
    <w:rsid w:val="00354C06"/>
    <w:rsid w:val="00356BE2"/>
    <w:rsid w:val="003573FA"/>
    <w:rsid w:val="00361275"/>
    <w:rsid w:val="00362064"/>
    <w:rsid w:val="003621F8"/>
    <w:rsid w:val="00362644"/>
    <w:rsid w:val="003634D8"/>
    <w:rsid w:val="0036757F"/>
    <w:rsid w:val="0037025A"/>
    <w:rsid w:val="003712DC"/>
    <w:rsid w:val="00371337"/>
    <w:rsid w:val="00371685"/>
    <w:rsid w:val="0038013E"/>
    <w:rsid w:val="0038260A"/>
    <w:rsid w:val="00382C0A"/>
    <w:rsid w:val="00385ABC"/>
    <w:rsid w:val="00385D03"/>
    <w:rsid w:val="003865AC"/>
    <w:rsid w:val="003902B9"/>
    <w:rsid w:val="00390860"/>
    <w:rsid w:val="0039181B"/>
    <w:rsid w:val="00391DD6"/>
    <w:rsid w:val="003923E1"/>
    <w:rsid w:val="00392619"/>
    <w:rsid w:val="003930B9"/>
    <w:rsid w:val="00393546"/>
    <w:rsid w:val="0039536B"/>
    <w:rsid w:val="003959B5"/>
    <w:rsid w:val="00395A25"/>
    <w:rsid w:val="00395F91"/>
    <w:rsid w:val="003963B0"/>
    <w:rsid w:val="003A006F"/>
    <w:rsid w:val="003A177E"/>
    <w:rsid w:val="003A423D"/>
    <w:rsid w:val="003A49FD"/>
    <w:rsid w:val="003A5090"/>
    <w:rsid w:val="003A53EE"/>
    <w:rsid w:val="003A695B"/>
    <w:rsid w:val="003A7D5E"/>
    <w:rsid w:val="003A7F66"/>
    <w:rsid w:val="003B25C6"/>
    <w:rsid w:val="003B3CC3"/>
    <w:rsid w:val="003B3FF0"/>
    <w:rsid w:val="003B485C"/>
    <w:rsid w:val="003B53E2"/>
    <w:rsid w:val="003B5A4C"/>
    <w:rsid w:val="003B72C8"/>
    <w:rsid w:val="003B7589"/>
    <w:rsid w:val="003C0D11"/>
    <w:rsid w:val="003C1DB6"/>
    <w:rsid w:val="003C4A86"/>
    <w:rsid w:val="003C57DD"/>
    <w:rsid w:val="003C6E24"/>
    <w:rsid w:val="003C7720"/>
    <w:rsid w:val="003C7873"/>
    <w:rsid w:val="003C7E1C"/>
    <w:rsid w:val="003D57F2"/>
    <w:rsid w:val="003D7D79"/>
    <w:rsid w:val="003E0749"/>
    <w:rsid w:val="003E0F80"/>
    <w:rsid w:val="003E21AA"/>
    <w:rsid w:val="003E2F2A"/>
    <w:rsid w:val="003E5113"/>
    <w:rsid w:val="003E639E"/>
    <w:rsid w:val="003F2091"/>
    <w:rsid w:val="003F3830"/>
    <w:rsid w:val="003F3892"/>
    <w:rsid w:val="003F62C8"/>
    <w:rsid w:val="00400592"/>
    <w:rsid w:val="0040099E"/>
    <w:rsid w:val="00400C8A"/>
    <w:rsid w:val="00400E6D"/>
    <w:rsid w:val="004027E9"/>
    <w:rsid w:val="0040332F"/>
    <w:rsid w:val="00406661"/>
    <w:rsid w:val="00406FCD"/>
    <w:rsid w:val="00411F28"/>
    <w:rsid w:val="00413134"/>
    <w:rsid w:val="00413357"/>
    <w:rsid w:val="004159AC"/>
    <w:rsid w:val="004173F3"/>
    <w:rsid w:val="00417B5D"/>
    <w:rsid w:val="00420AAC"/>
    <w:rsid w:val="004248FC"/>
    <w:rsid w:val="004308C1"/>
    <w:rsid w:val="0043234F"/>
    <w:rsid w:val="00432BF4"/>
    <w:rsid w:val="00437F00"/>
    <w:rsid w:val="00440827"/>
    <w:rsid w:val="00442C26"/>
    <w:rsid w:val="00443C97"/>
    <w:rsid w:val="00445CFE"/>
    <w:rsid w:val="004466F9"/>
    <w:rsid w:val="00447783"/>
    <w:rsid w:val="00452958"/>
    <w:rsid w:val="00452ABD"/>
    <w:rsid w:val="004533A9"/>
    <w:rsid w:val="0045566B"/>
    <w:rsid w:val="0045583B"/>
    <w:rsid w:val="00456E9E"/>
    <w:rsid w:val="00457353"/>
    <w:rsid w:val="00457B7E"/>
    <w:rsid w:val="00460545"/>
    <w:rsid w:val="004630B3"/>
    <w:rsid w:val="0046363B"/>
    <w:rsid w:val="00463AAB"/>
    <w:rsid w:val="00464569"/>
    <w:rsid w:val="00466969"/>
    <w:rsid w:val="00467D70"/>
    <w:rsid w:val="004739D1"/>
    <w:rsid w:val="00473E69"/>
    <w:rsid w:val="00476D97"/>
    <w:rsid w:val="00480DF0"/>
    <w:rsid w:val="00481DA8"/>
    <w:rsid w:val="004866E8"/>
    <w:rsid w:val="00486736"/>
    <w:rsid w:val="00487205"/>
    <w:rsid w:val="00492E8C"/>
    <w:rsid w:val="00493515"/>
    <w:rsid w:val="004936F4"/>
    <w:rsid w:val="0049634B"/>
    <w:rsid w:val="004972EF"/>
    <w:rsid w:val="004977B4"/>
    <w:rsid w:val="004A268E"/>
    <w:rsid w:val="004A2869"/>
    <w:rsid w:val="004A45A0"/>
    <w:rsid w:val="004A4FF1"/>
    <w:rsid w:val="004A51AF"/>
    <w:rsid w:val="004B2B08"/>
    <w:rsid w:val="004B2CD0"/>
    <w:rsid w:val="004B46CE"/>
    <w:rsid w:val="004B49D9"/>
    <w:rsid w:val="004B50C3"/>
    <w:rsid w:val="004B5E56"/>
    <w:rsid w:val="004B64C8"/>
    <w:rsid w:val="004B6DEB"/>
    <w:rsid w:val="004B75A3"/>
    <w:rsid w:val="004C34AA"/>
    <w:rsid w:val="004C3A64"/>
    <w:rsid w:val="004C418A"/>
    <w:rsid w:val="004C47C7"/>
    <w:rsid w:val="004C4E68"/>
    <w:rsid w:val="004C4F8B"/>
    <w:rsid w:val="004C57CB"/>
    <w:rsid w:val="004C5903"/>
    <w:rsid w:val="004C789F"/>
    <w:rsid w:val="004D0FF8"/>
    <w:rsid w:val="004D1EC3"/>
    <w:rsid w:val="004D23BA"/>
    <w:rsid w:val="004D79B3"/>
    <w:rsid w:val="004E3E8A"/>
    <w:rsid w:val="004E401F"/>
    <w:rsid w:val="004F1FC1"/>
    <w:rsid w:val="004F43AF"/>
    <w:rsid w:val="004F4B3C"/>
    <w:rsid w:val="004F4BA5"/>
    <w:rsid w:val="00503D91"/>
    <w:rsid w:val="0050471A"/>
    <w:rsid w:val="005066E0"/>
    <w:rsid w:val="0051587A"/>
    <w:rsid w:val="00515C4A"/>
    <w:rsid w:val="00515D19"/>
    <w:rsid w:val="0051603A"/>
    <w:rsid w:val="005161ED"/>
    <w:rsid w:val="00517C3F"/>
    <w:rsid w:val="00517D6A"/>
    <w:rsid w:val="00523908"/>
    <w:rsid w:val="005241B2"/>
    <w:rsid w:val="005243DC"/>
    <w:rsid w:val="00527590"/>
    <w:rsid w:val="00530190"/>
    <w:rsid w:val="005303FC"/>
    <w:rsid w:val="00530EB9"/>
    <w:rsid w:val="00531CC4"/>
    <w:rsid w:val="00532E1C"/>
    <w:rsid w:val="00535DE7"/>
    <w:rsid w:val="00535FA0"/>
    <w:rsid w:val="00536912"/>
    <w:rsid w:val="00540AC3"/>
    <w:rsid w:val="00542159"/>
    <w:rsid w:val="005471D6"/>
    <w:rsid w:val="005478C4"/>
    <w:rsid w:val="00550C4B"/>
    <w:rsid w:val="00552B75"/>
    <w:rsid w:val="005536B0"/>
    <w:rsid w:val="00555035"/>
    <w:rsid w:val="00555E87"/>
    <w:rsid w:val="0055725E"/>
    <w:rsid w:val="00560078"/>
    <w:rsid w:val="005606D2"/>
    <w:rsid w:val="0056150E"/>
    <w:rsid w:val="0056378D"/>
    <w:rsid w:val="0056689B"/>
    <w:rsid w:val="00567C81"/>
    <w:rsid w:val="00570957"/>
    <w:rsid w:val="00570AC8"/>
    <w:rsid w:val="005717F5"/>
    <w:rsid w:val="0057377E"/>
    <w:rsid w:val="0057783E"/>
    <w:rsid w:val="0058150A"/>
    <w:rsid w:val="005829B4"/>
    <w:rsid w:val="00585A95"/>
    <w:rsid w:val="00590BF0"/>
    <w:rsid w:val="00592A7B"/>
    <w:rsid w:val="0059380D"/>
    <w:rsid w:val="00593945"/>
    <w:rsid w:val="00595E32"/>
    <w:rsid w:val="00597E91"/>
    <w:rsid w:val="005A0E03"/>
    <w:rsid w:val="005A1B7B"/>
    <w:rsid w:val="005A45C3"/>
    <w:rsid w:val="005A5F99"/>
    <w:rsid w:val="005A65A9"/>
    <w:rsid w:val="005A6F00"/>
    <w:rsid w:val="005B0014"/>
    <w:rsid w:val="005B3BC4"/>
    <w:rsid w:val="005B3E12"/>
    <w:rsid w:val="005B3F37"/>
    <w:rsid w:val="005B652D"/>
    <w:rsid w:val="005B6937"/>
    <w:rsid w:val="005C00D5"/>
    <w:rsid w:val="005C29CD"/>
    <w:rsid w:val="005C3AA5"/>
    <w:rsid w:val="005C4061"/>
    <w:rsid w:val="005C430D"/>
    <w:rsid w:val="005C5B04"/>
    <w:rsid w:val="005C684F"/>
    <w:rsid w:val="005C7E2E"/>
    <w:rsid w:val="005D0F46"/>
    <w:rsid w:val="005D1175"/>
    <w:rsid w:val="005D1294"/>
    <w:rsid w:val="005D1A70"/>
    <w:rsid w:val="005D1F33"/>
    <w:rsid w:val="005D2540"/>
    <w:rsid w:val="005D2DF4"/>
    <w:rsid w:val="005D6B6C"/>
    <w:rsid w:val="005D7932"/>
    <w:rsid w:val="005E04C4"/>
    <w:rsid w:val="005E2832"/>
    <w:rsid w:val="005E7353"/>
    <w:rsid w:val="005F1F37"/>
    <w:rsid w:val="005F2EC9"/>
    <w:rsid w:val="005F3BF0"/>
    <w:rsid w:val="005F632A"/>
    <w:rsid w:val="005F6D56"/>
    <w:rsid w:val="005F7931"/>
    <w:rsid w:val="00601518"/>
    <w:rsid w:val="00602DCB"/>
    <w:rsid w:val="0060392B"/>
    <w:rsid w:val="006052C4"/>
    <w:rsid w:val="00605BDA"/>
    <w:rsid w:val="00605DF1"/>
    <w:rsid w:val="006069B3"/>
    <w:rsid w:val="00606C8F"/>
    <w:rsid w:val="00613E80"/>
    <w:rsid w:val="006153E0"/>
    <w:rsid w:val="00620FAC"/>
    <w:rsid w:val="006222CC"/>
    <w:rsid w:val="00623030"/>
    <w:rsid w:val="00626F0F"/>
    <w:rsid w:val="00630316"/>
    <w:rsid w:val="0063309C"/>
    <w:rsid w:val="00635C8E"/>
    <w:rsid w:val="00635D8C"/>
    <w:rsid w:val="0063624F"/>
    <w:rsid w:val="0063720F"/>
    <w:rsid w:val="00637262"/>
    <w:rsid w:val="00641A59"/>
    <w:rsid w:val="00641E7C"/>
    <w:rsid w:val="00645E30"/>
    <w:rsid w:val="00646D58"/>
    <w:rsid w:val="00647502"/>
    <w:rsid w:val="00647C8B"/>
    <w:rsid w:val="006515F9"/>
    <w:rsid w:val="006526E8"/>
    <w:rsid w:val="00653351"/>
    <w:rsid w:val="0065364C"/>
    <w:rsid w:val="006548BA"/>
    <w:rsid w:val="00654EF1"/>
    <w:rsid w:val="006560A9"/>
    <w:rsid w:val="0065784F"/>
    <w:rsid w:val="00660101"/>
    <w:rsid w:val="006606E5"/>
    <w:rsid w:val="006616FF"/>
    <w:rsid w:val="00661E19"/>
    <w:rsid w:val="00663410"/>
    <w:rsid w:val="00664668"/>
    <w:rsid w:val="00665FC6"/>
    <w:rsid w:val="0066608F"/>
    <w:rsid w:val="006674CE"/>
    <w:rsid w:val="00671496"/>
    <w:rsid w:val="00672670"/>
    <w:rsid w:val="00672E47"/>
    <w:rsid w:val="006738F3"/>
    <w:rsid w:val="0067554C"/>
    <w:rsid w:val="0067794D"/>
    <w:rsid w:val="0068352C"/>
    <w:rsid w:val="00683622"/>
    <w:rsid w:val="006846F9"/>
    <w:rsid w:val="00684973"/>
    <w:rsid w:val="00684CF2"/>
    <w:rsid w:val="006869AA"/>
    <w:rsid w:val="00690A92"/>
    <w:rsid w:val="00693271"/>
    <w:rsid w:val="00696BB2"/>
    <w:rsid w:val="006A04DA"/>
    <w:rsid w:val="006A10E5"/>
    <w:rsid w:val="006A437B"/>
    <w:rsid w:val="006A4F74"/>
    <w:rsid w:val="006A6041"/>
    <w:rsid w:val="006A6A4A"/>
    <w:rsid w:val="006A6F8B"/>
    <w:rsid w:val="006B0D29"/>
    <w:rsid w:val="006B16E0"/>
    <w:rsid w:val="006B193D"/>
    <w:rsid w:val="006B1BEE"/>
    <w:rsid w:val="006B2A50"/>
    <w:rsid w:val="006B2F2E"/>
    <w:rsid w:val="006B3338"/>
    <w:rsid w:val="006B4A2B"/>
    <w:rsid w:val="006B6EA9"/>
    <w:rsid w:val="006C365B"/>
    <w:rsid w:val="006C3A85"/>
    <w:rsid w:val="006C4053"/>
    <w:rsid w:val="006C4AD1"/>
    <w:rsid w:val="006D0E56"/>
    <w:rsid w:val="006D1274"/>
    <w:rsid w:val="006D1E07"/>
    <w:rsid w:val="006D3489"/>
    <w:rsid w:val="006D5A3D"/>
    <w:rsid w:val="006E0C55"/>
    <w:rsid w:val="006E0C61"/>
    <w:rsid w:val="006E0D3B"/>
    <w:rsid w:val="006E1C2D"/>
    <w:rsid w:val="006E1EE4"/>
    <w:rsid w:val="006E4084"/>
    <w:rsid w:val="006E48BC"/>
    <w:rsid w:val="006E6E04"/>
    <w:rsid w:val="006E6EC7"/>
    <w:rsid w:val="006E75B7"/>
    <w:rsid w:val="006E77E3"/>
    <w:rsid w:val="006F19B9"/>
    <w:rsid w:val="006F33BE"/>
    <w:rsid w:val="006F3555"/>
    <w:rsid w:val="006F5CEF"/>
    <w:rsid w:val="006F7710"/>
    <w:rsid w:val="00700260"/>
    <w:rsid w:val="007019AB"/>
    <w:rsid w:val="00702586"/>
    <w:rsid w:val="0070418D"/>
    <w:rsid w:val="00706899"/>
    <w:rsid w:val="00706942"/>
    <w:rsid w:val="00706BF2"/>
    <w:rsid w:val="007131AE"/>
    <w:rsid w:val="00713388"/>
    <w:rsid w:val="00713FB4"/>
    <w:rsid w:val="00716218"/>
    <w:rsid w:val="007179D4"/>
    <w:rsid w:val="00717CFB"/>
    <w:rsid w:val="0072008B"/>
    <w:rsid w:val="00720441"/>
    <w:rsid w:val="00720595"/>
    <w:rsid w:val="00721D5F"/>
    <w:rsid w:val="00722BE9"/>
    <w:rsid w:val="00723C98"/>
    <w:rsid w:val="00725045"/>
    <w:rsid w:val="0072653B"/>
    <w:rsid w:val="00726E0B"/>
    <w:rsid w:val="00727D2F"/>
    <w:rsid w:val="00731200"/>
    <w:rsid w:val="00731385"/>
    <w:rsid w:val="0073189C"/>
    <w:rsid w:val="00733124"/>
    <w:rsid w:val="007343A4"/>
    <w:rsid w:val="00735A32"/>
    <w:rsid w:val="0073781D"/>
    <w:rsid w:val="00741547"/>
    <w:rsid w:val="00742378"/>
    <w:rsid w:val="007441E0"/>
    <w:rsid w:val="00745365"/>
    <w:rsid w:val="00746155"/>
    <w:rsid w:val="007479BA"/>
    <w:rsid w:val="00750D60"/>
    <w:rsid w:val="0075108E"/>
    <w:rsid w:val="00752DA4"/>
    <w:rsid w:val="00756B17"/>
    <w:rsid w:val="0075712D"/>
    <w:rsid w:val="00760062"/>
    <w:rsid w:val="00760512"/>
    <w:rsid w:val="007633DE"/>
    <w:rsid w:val="00766F05"/>
    <w:rsid w:val="0077269D"/>
    <w:rsid w:val="007733F2"/>
    <w:rsid w:val="00774243"/>
    <w:rsid w:val="007766B3"/>
    <w:rsid w:val="00781F86"/>
    <w:rsid w:val="00782EC1"/>
    <w:rsid w:val="007861DD"/>
    <w:rsid w:val="0079109B"/>
    <w:rsid w:val="0079219D"/>
    <w:rsid w:val="00794A68"/>
    <w:rsid w:val="00794B21"/>
    <w:rsid w:val="007961DF"/>
    <w:rsid w:val="00796531"/>
    <w:rsid w:val="00797CF0"/>
    <w:rsid w:val="007A1513"/>
    <w:rsid w:val="007A290C"/>
    <w:rsid w:val="007A7C39"/>
    <w:rsid w:val="007B07F6"/>
    <w:rsid w:val="007B11D0"/>
    <w:rsid w:val="007B1DF8"/>
    <w:rsid w:val="007B30F0"/>
    <w:rsid w:val="007B3E15"/>
    <w:rsid w:val="007B3EF9"/>
    <w:rsid w:val="007B4D01"/>
    <w:rsid w:val="007B78A6"/>
    <w:rsid w:val="007C0C58"/>
    <w:rsid w:val="007C1D4C"/>
    <w:rsid w:val="007C203B"/>
    <w:rsid w:val="007C2742"/>
    <w:rsid w:val="007C3EB7"/>
    <w:rsid w:val="007C469C"/>
    <w:rsid w:val="007C4CF5"/>
    <w:rsid w:val="007C6CB0"/>
    <w:rsid w:val="007C730E"/>
    <w:rsid w:val="007D053F"/>
    <w:rsid w:val="007D3E36"/>
    <w:rsid w:val="007D4269"/>
    <w:rsid w:val="007D4A3B"/>
    <w:rsid w:val="007D4C3B"/>
    <w:rsid w:val="007D5C49"/>
    <w:rsid w:val="007D664B"/>
    <w:rsid w:val="007D6B42"/>
    <w:rsid w:val="007E1213"/>
    <w:rsid w:val="007E1932"/>
    <w:rsid w:val="007E30DC"/>
    <w:rsid w:val="007E3744"/>
    <w:rsid w:val="007E5B36"/>
    <w:rsid w:val="007E5CC0"/>
    <w:rsid w:val="007E7E1B"/>
    <w:rsid w:val="007F003E"/>
    <w:rsid w:val="007F07F0"/>
    <w:rsid w:val="007F0F59"/>
    <w:rsid w:val="007F44D5"/>
    <w:rsid w:val="007F51E3"/>
    <w:rsid w:val="007F6686"/>
    <w:rsid w:val="007F7460"/>
    <w:rsid w:val="007F74CD"/>
    <w:rsid w:val="007F775B"/>
    <w:rsid w:val="00800235"/>
    <w:rsid w:val="00801466"/>
    <w:rsid w:val="00804B5C"/>
    <w:rsid w:val="00805316"/>
    <w:rsid w:val="0080685A"/>
    <w:rsid w:val="00806EC1"/>
    <w:rsid w:val="00813541"/>
    <w:rsid w:val="008147BE"/>
    <w:rsid w:val="00816EBC"/>
    <w:rsid w:val="00817920"/>
    <w:rsid w:val="00821C96"/>
    <w:rsid w:val="008228B5"/>
    <w:rsid w:val="008231BC"/>
    <w:rsid w:val="00824FAA"/>
    <w:rsid w:val="00831055"/>
    <w:rsid w:val="008320B0"/>
    <w:rsid w:val="0083235D"/>
    <w:rsid w:val="00836BFF"/>
    <w:rsid w:val="00836F8D"/>
    <w:rsid w:val="008373A4"/>
    <w:rsid w:val="00837405"/>
    <w:rsid w:val="00841B18"/>
    <w:rsid w:val="00841FCD"/>
    <w:rsid w:val="008432DE"/>
    <w:rsid w:val="00843310"/>
    <w:rsid w:val="00844B93"/>
    <w:rsid w:val="008459BC"/>
    <w:rsid w:val="008504D6"/>
    <w:rsid w:val="00850F67"/>
    <w:rsid w:val="00852205"/>
    <w:rsid w:val="00852A44"/>
    <w:rsid w:val="00854DBF"/>
    <w:rsid w:val="008554F7"/>
    <w:rsid w:val="00856229"/>
    <w:rsid w:val="00857437"/>
    <w:rsid w:val="0086057F"/>
    <w:rsid w:val="008617BA"/>
    <w:rsid w:val="00861E4D"/>
    <w:rsid w:val="00862587"/>
    <w:rsid w:val="0086577B"/>
    <w:rsid w:val="00865DFC"/>
    <w:rsid w:val="00866642"/>
    <w:rsid w:val="00867F7B"/>
    <w:rsid w:val="00873CB4"/>
    <w:rsid w:val="00873EEE"/>
    <w:rsid w:val="0087657D"/>
    <w:rsid w:val="00880C6C"/>
    <w:rsid w:val="008833AC"/>
    <w:rsid w:val="00883C53"/>
    <w:rsid w:val="00885190"/>
    <w:rsid w:val="00887E1E"/>
    <w:rsid w:val="00891925"/>
    <w:rsid w:val="0089205C"/>
    <w:rsid w:val="008923FD"/>
    <w:rsid w:val="00893E63"/>
    <w:rsid w:val="00893FDF"/>
    <w:rsid w:val="0089577D"/>
    <w:rsid w:val="008959D4"/>
    <w:rsid w:val="00896E0A"/>
    <w:rsid w:val="00896E15"/>
    <w:rsid w:val="008970D1"/>
    <w:rsid w:val="00897D0E"/>
    <w:rsid w:val="008A0509"/>
    <w:rsid w:val="008A2147"/>
    <w:rsid w:val="008A65B0"/>
    <w:rsid w:val="008A7AE7"/>
    <w:rsid w:val="008A7CA5"/>
    <w:rsid w:val="008A7F35"/>
    <w:rsid w:val="008B06D4"/>
    <w:rsid w:val="008B0792"/>
    <w:rsid w:val="008B0B2E"/>
    <w:rsid w:val="008B1EC4"/>
    <w:rsid w:val="008B476A"/>
    <w:rsid w:val="008B6138"/>
    <w:rsid w:val="008B7672"/>
    <w:rsid w:val="008C0254"/>
    <w:rsid w:val="008C163F"/>
    <w:rsid w:val="008C2D5A"/>
    <w:rsid w:val="008C3399"/>
    <w:rsid w:val="008C478E"/>
    <w:rsid w:val="008C64A7"/>
    <w:rsid w:val="008C6715"/>
    <w:rsid w:val="008D05E3"/>
    <w:rsid w:val="008D0DB3"/>
    <w:rsid w:val="008D475D"/>
    <w:rsid w:val="008D52E5"/>
    <w:rsid w:val="008E04A5"/>
    <w:rsid w:val="008E20B1"/>
    <w:rsid w:val="008E24B5"/>
    <w:rsid w:val="008E2CC8"/>
    <w:rsid w:val="008E411A"/>
    <w:rsid w:val="008E4B72"/>
    <w:rsid w:val="008E5C09"/>
    <w:rsid w:val="008E6502"/>
    <w:rsid w:val="008E6E1F"/>
    <w:rsid w:val="008E76FC"/>
    <w:rsid w:val="008E78D8"/>
    <w:rsid w:val="008F1570"/>
    <w:rsid w:val="008F1A8D"/>
    <w:rsid w:val="008F258B"/>
    <w:rsid w:val="008F38B4"/>
    <w:rsid w:val="008F3A28"/>
    <w:rsid w:val="008F59E9"/>
    <w:rsid w:val="00901A58"/>
    <w:rsid w:val="00902B43"/>
    <w:rsid w:val="00903C70"/>
    <w:rsid w:val="009047B6"/>
    <w:rsid w:val="009076EF"/>
    <w:rsid w:val="00907741"/>
    <w:rsid w:val="00910525"/>
    <w:rsid w:val="00910DAA"/>
    <w:rsid w:val="0091204B"/>
    <w:rsid w:val="009120DE"/>
    <w:rsid w:val="0091346C"/>
    <w:rsid w:val="00914949"/>
    <w:rsid w:val="00914E2E"/>
    <w:rsid w:val="00916EBA"/>
    <w:rsid w:val="00917B89"/>
    <w:rsid w:val="009213AB"/>
    <w:rsid w:val="00921D3D"/>
    <w:rsid w:val="00925F09"/>
    <w:rsid w:val="00933059"/>
    <w:rsid w:val="00934A48"/>
    <w:rsid w:val="009353EB"/>
    <w:rsid w:val="00937E69"/>
    <w:rsid w:val="00940301"/>
    <w:rsid w:val="00941EBF"/>
    <w:rsid w:val="00942BED"/>
    <w:rsid w:val="00943E0B"/>
    <w:rsid w:val="00944A21"/>
    <w:rsid w:val="00945B29"/>
    <w:rsid w:val="00945FED"/>
    <w:rsid w:val="009461B9"/>
    <w:rsid w:val="009562AC"/>
    <w:rsid w:val="0095709E"/>
    <w:rsid w:val="009600E8"/>
    <w:rsid w:val="00963C59"/>
    <w:rsid w:val="009646CD"/>
    <w:rsid w:val="0097029F"/>
    <w:rsid w:val="009725FE"/>
    <w:rsid w:val="00972C96"/>
    <w:rsid w:val="00972E2F"/>
    <w:rsid w:val="009739F0"/>
    <w:rsid w:val="00974BD6"/>
    <w:rsid w:val="00975E98"/>
    <w:rsid w:val="00977F74"/>
    <w:rsid w:val="00980B16"/>
    <w:rsid w:val="00980B77"/>
    <w:rsid w:val="009822B8"/>
    <w:rsid w:val="009823EF"/>
    <w:rsid w:val="0098523C"/>
    <w:rsid w:val="009860E1"/>
    <w:rsid w:val="009869D0"/>
    <w:rsid w:val="0099091C"/>
    <w:rsid w:val="009922B0"/>
    <w:rsid w:val="00995EA1"/>
    <w:rsid w:val="00997A2B"/>
    <w:rsid w:val="00997D5B"/>
    <w:rsid w:val="009A163B"/>
    <w:rsid w:val="009A1E6A"/>
    <w:rsid w:val="009A3ED0"/>
    <w:rsid w:val="009A4BC3"/>
    <w:rsid w:val="009A5431"/>
    <w:rsid w:val="009A63C8"/>
    <w:rsid w:val="009B22D4"/>
    <w:rsid w:val="009B2A98"/>
    <w:rsid w:val="009B40C2"/>
    <w:rsid w:val="009B4697"/>
    <w:rsid w:val="009B4B69"/>
    <w:rsid w:val="009B70DB"/>
    <w:rsid w:val="009C188A"/>
    <w:rsid w:val="009C1D35"/>
    <w:rsid w:val="009C2BAF"/>
    <w:rsid w:val="009C4976"/>
    <w:rsid w:val="009C69F6"/>
    <w:rsid w:val="009C7082"/>
    <w:rsid w:val="009D25AB"/>
    <w:rsid w:val="009D30E3"/>
    <w:rsid w:val="009D4B26"/>
    <w:rsid w:val="009D544B"/>
    <w:rsid w:val="009D545D"/>
    <w:rsid w:val="009D55FF"/>
    <w:rsid w:val="009D581B"/>
    <w:rsid w:val="009D64F8"/>
    <w:rsid w:val="009D714D"/>
    <w:rsid w:val="009E23BE"/>
    <w:rsid w:val="009E340C"/>
    <w:rsid w:val="009E3B19"/>
    <w:rsid w:val="009E464B"/>
    <w:rsid w:val="009E56DF"/>
    <w:rsid w:val="009F112A"/>
    <w:rsid w:val="009F1798"/>
    <w:rsid w:val="009F1A34"/>
    <w:rsid w:val="009F1BEC"/>
    <w:rsid w:val="009F621A"/>
    <w:rsid w:val="00A006F5"/>
    <w:rsid w:val="00A02A10"/>
    <w:rsid w:val="00A03130"/>
    <w:rsid w:val="00A041E6"/>
    <w:rsid w:val="00A05627"/>
    <w:rsid w:val="00A06916"/>
    <w:rsid w:val="00A07E42"/>
    <w:rsid w:val="00A1019E"/>
    <w:rsid w:val="00A1378C"/>
    <w:rsid w:val="00A14519"/>
    <w:rsid w:val="00A14611"/>
    <w:rsid w:val="00A157BD"/>
    <w:rsid w:val="00A17127"/>
    <w:rsid w:val="00A1757F"/>
    <w:rsid w:val="00A17720"/>
    <w:rsid w:val="00A17E56"/>
    <w:rsid w:val="00A2340A"/>
    <w:rsid w:val="00A24C8A"/>
    <w:rsid w:val="00A25054"/>
    <w:rsid w:val="00A25A83"/>
    <w:rsid w:val="00A26290"/>
    <w:rsid w:val="00A2667C"/>
    <w:rsid w:val="00A271AB"/>
    <w:rsid w:val="00A278D2"/>
    <w:rsid w:val="00A278E4"/>
    <w:rsid w:val="00A31263"/>
    <w:rsid w:val="00A34024"/>
    <w:rsid w:val="00A3699B"/>
    <w:rsid w:val="00A36EC7"/>
    <w:rsid w:val="00A407B9"/>
    <w:rsid w:val="00A424D8"/>
    <w:rsid w:val="00A43284"/>
    <w:rsid w:val="00A45890"/>
    <w:rsid w:val="00A5097D"/>
    <w:rsid w:val="00A51E92"/>
    <w:rsid w:val="00A539B4"/>
    <w:rsid w:val="00A54942"/>
    <w:rsid w:val="00A55433"/>
    <w:rsid w:val="00A62172"/>
    <w:rsid w:val="00A662F3"/>
    <w:rsid w:val="00A665A2"/>
    <w:rsid w:val="00A717A5"/>
    <w:rsid w:val="00A72B0B"/>
    <w:rsid w:val="00A73723"/>
    <w:rsid w:val="00A73841"/>
    <w:rsid w:val="00A744AB"/>
    <w:rsid w:val="00A75732"/>
    <w:rsid w:val="00A80C6A"/>
    <w:rsid w:val="00A80CA9"/>
    <w:rsid w:val="00A81713"/>
    <w:rsid w:val="00A82046"/>
    <w:rsid w:val="00A82403"/>
    <w:rsid w:val="00A8240D"/>
    <w:rsid w:val="00A860A9"/>
    <w:rsid w:val="00A911B6"/>
    <w:rsid w:val="00A914C9"/>
    <w:rsid w:val="00A91F15"/>
    <w:rsid w:val="00A93EA9"/>
    <w:rsid w:val="00A9450D"/>
    <w:rsid w:val="00A94C0D"/>
    <w:rsid w:val="00A9505B"/>
    <w:rsid w:val="00A9571B"/>
    <w:rsid w:val="00A95CA6"/>
    <w:rsid w:val="00A97C5B"/>
    <w:rsid w:val="00AA06A6"/>
    <w:rsid w:val="00AA0E46"/>
    <w:rsid w:val="00AA51A5"/>
    <w:rsid w:val="00AA6067"/>
    <w:rsid w:val="00AB0864"/>
    <w:rsid w:val="00AB1036"/>
    <w:rsid w:val="00AB18C7"/>
    <w:rsid w:val="00AB305D"/>
    <w:rsid w:val="00AB51D3"/>
    <w:rsid w:val="00AB7428"/>
    <w:rsid w:val="00AB7A58"/>
    <w:rsid w:val="00AC130C"/>
    <w:rsid w:val="00AC14EE"/>
    <w:rsid w:val="00AC1923"/>
    <w:rsid w:val="00AC2C19"/>
    <w:rsid w:val="00AC36C5"/>
    <w:rsid w:val="00AC3813"/>
    <w:rsid w:val="00AC39BC"/>
    <w:rsid w:val="00AC4CCB"/>
    <w:rsid w:val="00AC664B"/>
    <w:rsid w:val="00AD0772"/>
    <w:rsid w:val="00AD0BB8"/>
    <w:rsid w:val="00AD2440"/>
    <w:rsid w:val="00AD46DD"/>
    <w:rsid w:val="00AD6C3F"/>
    <w:rsid w:val="00AD7843"/>
    <w:rsid w:val="00AE180D"/>
    <w:rsid w:val="00AE258D"/>
    <w:rsid w:val="00AE3D8B"/>
    <w:rsid w:val="00AE495D"/>
    <w:rsid w:val="00AE4E04"/>
    <w:rsid w:val="00AE6912"/>
    <w:rsid w:val="00AE693E"/>
    <w:rsid w:val="00AE756B"/>
    <w:rsid w:val="00AF1651"/>
    <w:rsid w:val="00AF1F38"/>
    <w:rsid w:val="00AF24FC"/>
    <w:rsid w:val="00AF2D2A"/>
    <w:rsid w:val="00AF498D"/>
    <w:rsid w:val="00AF5192"/>
    <w:rsid w:val="00AF5A91"/>
    <w:rsid w:val="00AF7394"/>
    <w:rsid w:val="00B01D3D"/>
    <w:rsid w:val="00B0556D"/>
    <w:rsid w:val="00B0605A"/>
    <w:rsid w:val="00B06744"/>
    <w:rsid w:val="00B07526"/>
    <w:rsid w:val="00B0786E"/>
    <w:rsid w:val="00B107AC"/>
    <w:rsid w:val="00B128AF"/>
    <w:rsid w:val="00B13EC1"/>
    <w:rsid w:val="00B149C1"/>
    <w:rsid w:val="00B203A0"/>
    <w:rsid w:val="00B20480"/>
    <w:rsid w:val="00B20B0B"/>
    <w:rsid w:val="00B23BE1"/>
    <w:rsid w:val="00B25554"/>
    <w:rsid w:val="00B25AAF"/>
    <w:rsid w:val="00B26014"/>
    <w:rsid w:val="00B27ACD"/>
    <w:rsid w:val="00B3144E"/>
    <w:rsid w:val="00B3491D"/>
    <w:rsid w:val="00B3623B"/>
    <w:rsid w:val="00B36945"/>
    <w:rsid w:val="00B37F8E"/>
    <w:rsid w:val="00B4077B"/>
    <w:rsid w:val="00B41123"/>
    <w:rsid w:val="00B42713"/>
    <w:rsid w:val="00B43D41"/>
    <w:rsid w:val="00B44AE2"/>
    <w:rsid w:val="00B44BC2"/>
    <w:rsid w:val="00B5185E"/>
    <w:rsid w:val="00B526A5"/>
    <w:rsid w:val="00B53A77"/>
    <w:rsid w:val="00B55BC5"/>
    <w:rsid w:val="00B56610"/>
    <w:rsid w:val="00B566D0"/>
    <w:rsid w:val="00B6078B"/>
    <w:rsid w:val="00B6456D"/>
    <w:rsid w:val="00B66C4F"/>
    <w:rsid w:val="00B705B5"/>
    <w:rsid w:val="00B72B6B"/>
    <w:rsid w:val="00B744F1"/>
    <w:rsid w:val="00B76D09"/>
    <w:rsid w:val="00B777C1"/>
    <w:rsid w:val="00B808F0"/>
    <w:rsid w:val="00B80CB3"/>
    <w:rsid w:val="00B81B7B"/>
    <w:rsid w:val="00B82E90"/>
    <w:rsid w:val="00B834FE"/>
    <w:rsid w:val="00B853F7"/>
    <w:rsid w:val="00B866FF"/>
    <w:rsid w:val="00B90516"/>
    <w:rsid w:val="00B90CA7"/>
    <w:rsid w:val="00B92A7C"/>
    <w:rsid w:val="00B92B2A"/>
    <w:rsid w:val="00B932B0"/>
    <w:rsid w:val="00B93F3F"/>
    <w:rsid w:val="00B9413A"/>
    <w:rsid w:val="00B94BEA"/>
    <w:rsid w:val="00B96706"/>
    <w:rsid w:val="00B96B92"/>
    <w:rsid w:val="00B979D8"/>
    <w:rsid w:val="00BA0878"/>
    <w:rsid w:val="00BA08BA"/>
    <w:rsid w:val="00BA0C64"/>
    <w:rsid w:val="00BA2592"/>
    <w:rsid w:val="00BB0077"/>
    <w:rsid w:val="00BB0590"/>
    <w:rsid w:val="00BB5656"/>
    <w:rsid w:val="00BB5727"/>
    <w:rsid w:val="00BB5A93"/>
    <w:rsid w:val="00BB7859"/>
    <w:rsid w:val="00BC2F13"/>
    <w:rsid w:val="00BC3B4E"/>
    <w:rsid w:val="00BC4D17"/>
    <w:rsid w:val="00BC5E92"/>
    <w:rsid w:val="00BD3D1F"/>
    <w:rsid w:val="00BD6658"/>
    <w:rsid w:val="00BD6C79"/>
    <w:rsid w:val="00BE0830"/>
    <w:rsid w:val="00BE2DB6"/>
    <w:rsid w:val="00BE521D"/>
    <w:rsid w:val="00BE56C6"/>
    <w:rsid w:val="00BF2240"/>
    <w:rsid w:val="00BF26FA"/>
    <w:rsid w:val="00BF5408"/>
    <w:rsid w:val="00BF6D6D"/>
    <w:rsid w:val="00C0039B"/>
    <w:rsid w:val="00C0539D"/>
    <w:rsid w:val="00C05422"/>
    <w:rsid w:val="00C05A79"/>
    <w:rsid w:val="00C05C83"/>
    <w:rsid w:val="00C0734B"/>
    <w:rsid w:val="00C107C7"/>
    <w:rsid w:val="00C11706"/>
    <w:rsid w:val="00C1286A"/>
    <w:rsid w:val="00C130B5"/>
    <w:rsid w:val="00C15293"/>
    <w:rsid w:val="00C17AE4"/>
    <w:rsid w:val="00C205C9"/>
    <w:rsid w:val="00C211E3"/>
    <w:rsid w:val="00C23B46"/>
    <w:rsid w:val="00C2403A"/>
    <w:rsid w:val="00C276AA"/>
    <w:rsid w:val="00C305BD"/>
    <w:rsid w:val="00C309FF"/>
    <w:rsid w:val="00C3158D"/>
    <w:rsid w:val="00C327F3"/>
    <w:rsid w:val="00C32BC1"/>
    <w:rsid w:val="00C330CB"/>
    <w:rsid w:val="00C331E1"/>
    <w:rsid w:val="00C34A34"/>
    <w:rsid w:val="00C36A37"/>
    <w:rsid w:val="00C40ACD"/>
    <w:rsid w:val="00C437C9"/>
    <w:rsid w:val="00C464C8"/>
    <w:rsid w:val="00C468C2"/>
    <w:rsid w:val="00C504B4"/>
    <w:rsid w:val="00C5519A"/>
    <w:rsid w:val="00C55D29"/>
    <w:rsid w:val="00C57243"/>
    <w:rsid w:val="00C57281"/>
    <w:rsid w:val="00C57CA0"/>
    <w:rsid w:val="00C61AA1"/>
    <w:rsid w:val="00C61E5B"/>
    <w:rsid w:val="00C62094"/>
    <w:rsid w:val="00C6228F"/>
    <w:rsid w:val="00C63392"/>
    <w:rsid w:val="00C64D25"/>
    <w:rsid w:val="00C663DD"/>
    <w:rsid w:val="00C679DC"/>
    <w:rsid w:val="00C7104F"/>
    <w:rsid w:val="00C717FB"/>
    <w:rsid w:val="00C72A17"/>
    <w:rsid w:val="00C74A7A"/>
    <w:rsid w:val="00C76916"/>
    <w:rsid w:val="00C773C0"/>
    <w:rsid w:val="00C8064E"/>
    <w:rsid w:val="00C80811"/>
    <w:rsid w:val="00C80CF4"/>
    <w:rsid w:val="00C81917"/>
    <w:rsid w:val="00C8247C"/>
    <w:rsid w:val="00C83ECD"/>
    <w:rsid w:val="00C84F6D"/>
    <w:rsid w:val="00C84FB9"/>
    <w:rsid w:val="00C87AA8"/>
    <w:rsid w:val="00C9034E"/>
    <w:rsid w:val="00C9063B"/>
    <w:rsid w:val="00C92772"/>
    <w:rsid w:val="00C9324B"/>
    <w:rsid w:val="00C95AF4"/>
    <w:rsid w:val="00C95DC3"/>
    <w:rsid w:val="00CA2405"/>
    <w:rsid w:val="00CA435F"/>
    <w:rsid w:val="00CA43C6"/>
    <w:rsid w:val="00CA43C8"/>
    <w:rsid w:val="00CA5013"/>
    <w:rsid w:val="00CA5211"/>
    <w:rsid w:val="00CA6FAA"/>
    <w:rsid w:val="00CA740C"/>
    <w:rsid w:val="00CA7A6F"/>
    <w:rsid w:val="00CA7CC0"/>
    <w:rsid w:val="00CB056A"/>
    <w:rsid w:val="00CB47C9"/>
    <w:rsid w:val="00CB5848"/>
    <w:rsid w:val="00CB68B5"/>
    <w:rsid w:val="00CB6FD1"/>
    <w:rsid w:val="00CC5137"/>
    <w:rsid w:val="00CC58F7"/>
    <w:rsid w:val="00CC78D1"/>
    <w:rsid w:val="00CD0028"/>
    <w:rsid w:val="00CD06AB"/>
    <w:rsid w:val="00CD185D"/>
    <w:rsid w:val="00CD1C08"/>
    <w:rsid w:val="00CD3603"/>
    <w:rsid w:val="00CD432B"/>
    <w:rsid w:val="00CD6E09"/>
    <w:rsid w:val="00CE094D"/>
    <w:rsid w:val="00CE4C49"/>
    <w:rsid w:val="00CE638F"/>
    <w:rsid w:val="00CE779C"/>
    <w:rsid w:val="00CE791D"/>
    <w:rsid w:val="00CF0061"/>
    <w:rsid w:val="00CF21C6"/>
    <w:rsid w:val="00CF21FD"/>
    <w:rsid w:val="00CF56DA"/>
    <w:rsid w:val="00CF5AC8"/>
    <w:rsid w:val="00CF5CFD"/>
    <w:rsid w:val="00CF5EB2"/>
    <w:rsid w:val="00CF60D0"/>
    <w:rsid w:val="00CF67A0"/>
    <w:rsid w:val="00CF69EF"/>
    <w:rsid w:val="00D02C7A"/>
    <w:rsid w:val="00D036AE"/>
    <w:rsid w:val="00D038A5"/>
    <w:rsid w:val="00D04C3A"/>
    <w:rsid w:val="00D06118"/>
    <w:rsid w:val="00D06773"/>
    <w:rsid w:val="00D06993"/>
    <w:rsid w:val="00D107A7"/>
    <w:rsid w:val="00D118F1"/>
    <w:rsid w:val="00D12541"/>
    <w:rsid w:val="00D12E23"/>
    <w:rsid w:val="00D13D28"/>
    <w:rsid w:val="00D14113"/>
    <w:rsid w:val="00D141FB"/>
    <w:rsid w:val="00D161D6"/>
    <w:rsid w:val="00D168B7"/>
    <w:rsid w:val="00D204A7"/>
    <w:rsid w:val="00D21EF0"/>
    <w:rsid w:val="00D26286"/>
    <w:rsid w:val="00D279D7"/>
    <w:rsid w:val="00D30D17"/>
    <w:rsid w:val="00D31545"/>
    <w:rsid w:val="00D34222"/>
    <w:rsid w:val="00D342AE"/>
    <w:rsid w:val="00D34E58"/>
    <w:rsid w:val="00D40FE9"/>
    <w:rsid w:val="00D41A58"/>
    <w:rsid w:val="00D42891"/>
    <w:rsid w:val="00D42E91"/>
    <w:rsid w:val="00D43926"/>
    <w:rsid w:val="00D47720"/>
    <w:rsid w:val="00D47B8E"/>
    <w:rsid w:val="00D524EC"/>
    <w:rsid w:val="00D5266A"/>
    <w:rsid w:val="00D549E4"/>
    <w:rsid w:val="00D55098"/>
    <w:rsid w:val="00D60DB9"/>
    <w:rsid w:val="00D61358"/>
    <w:rsid w:val="00D61B5F"/>
    <w:rsid w:val="00D61C39"/>
    <w:rsid w:val="00D61ECB"/>
    <w:rsid w:val="00D659DD"/>
    <w:rsid w:val="00D66C77"/>
    <w:rsid w:val="00D72DD9"/>
    <w:rsid w:val="00D73E2D"/>
    <w:rsid w:val="00D74270"/>
    <w:rsid w:val="00D74D15"/>
    <w:rsid w:val="00D766F2"/>
    <w:rsid w:val="00D77764"/>
    <w:rsid w:val="00D77916"/>
    <w:rsid w:val="00D77C98"/>
    <w:rsid w:val="00D8041E"/>
    <w:rsid w:val="00D81C6E"/>
    <w:rsid w:val="00D84F46"/>
    <w:rsid w:val="00D859E8"/>
    <w:rsid w:val="00D87003"/>
    <w:rsid w:val="00D92117"/>
    <w:rsid w:val="00D93715"/>
    <w:rsid w:val="00D950A8"/>
    <w:rsid w:val="00D9554E"/>
    <w:rsid w:val="00D95EE7"/>
    <w:rsid w:val="00DA35D6"/>
    <w:rsid w:val="00DA3880"/>
    <w:rsid w:val="00DA46AF"/>
    <w:rsid w:val="00DA47ED"/>
    <w:rsid w:val="00DA6A17"/>
    <w:rsid w:val="00DB031B"/>
    <w:rsid w:val="00DB12FE"/>
    <w:rsid w:val="00DB2AA8"/>
    <w:rsid w:val="00DB2B27"/>
    <w:rsid w:val="00DB3D66"/>
    <w:rsid w:val="00DB4A4A"/>
    <w:rsid w:val="00DB601D"/>
    <w:rsid w:val="00DC3080"/>
    <w:rsid w:val="00DC7197"/>
    <w:rsid w:val="00DD026F"/>
    <w:rsid w:val="00DD1930"/>
    <w:rsid w:val="00DD1BC9"/>
    <w:rsid w:val="00DD1C54"/>
    <w:rsid w:val="00DD1DA6"/>
    <w:rsid w:val="00DD34C0"/>
    <w:rsid w:val="00DD4D44"/>
    <w:rsid w:val="00DD5F5C"/>
    <w:rsid w:val="00DD6144"/>
    <w:rsid w:val="00DD7809"/>
    <w:rsid w:val="00DE33C8"/>
    <w:rsid w:val="00DE4C7B"/>
    <w:rsid w:val="00DE54E9"/>
    <w:rsid w:val="00DE6A7B"/>
    <w:rsid w:val="00DE6FC4"/>
    <w:rsid w:val="00DE72D0"/>
    <w:rsid w:val="00DF06BF"/>
    <w:rsid w:val="00DF3666"/>
    <w:rsid w:val="00DF4079"/>
    <w:rsid w:val="00DF4D4D"/>
    <w:rsid w:val="00DF5192"/>
    <w:rsid w:val="00E01321"/>
    <w:rsid w:val="00E01627"/>
    <w:rsid w:val="00E01DF9"/>
    <w:rsid w:val="00E02E44"/>
    <w:rsid w:val="00E036CB"/>
    <w:rsid w:val="00E04EF0"/>
    <w:rsid w:val="00E06E59"/>
    <w:rsid w:val="00E10026"/>
    <w:rsid w:val="00E11126"/>
    <w:rsid w:val="00E11173"/>
    <w:rsid w:val="00E1203F"/>
    <w:rsid w:val="00E13109"/>
    <w:rsid w:val="00E132F8"/>
    <w:rsid w:val="00E13EE4"/>
    <w:rsid w:val="00E14A0F"/>
    <w:rsid w:val="00E1562A"/>
    <w:rsid w:val="00E17344"/>
    <w:rsid w:val="00E212F9"/>
    <w:rsid w:val="00E22EEA"/>
    <w:rsid w:val="00E24FE9"/>
    <w:rsid w:val="00E25008"/>
    <w:rsid w:val="00E25CC5"/>
    <w:rsid w:val="00E27EB3"/>
    <w:rsid w:val="00E34FC4"/>
    <w:rsid w:val="00E35FE9"/>
    <w:rsid w:val="00E36C22"/>
    <w:rsid w:val="00E409BC"/>
    <w:rsid w:val="00E41362"/>
    <w:rsid w:val="00E42007"/>
    <w:rsid w:val="00E44267"/>
    <w:rsid w:val="00E462FB"/>
    <w:rsid w:val="00E46F15"/>
    <w:rsid w:val="00E47955"/>
    <w:rsid w:val="00E50720"/>
    <w:rsid w:val="00E53601"/>
    <w:rsid w:val="00E5575B"/>
    <w:rsid w:val="00E56C86"/>
    <w:rsid w:val="00E572B8"/>
    <w:rsid w:val="00E579C1"/>
    <w:rsid w:val="00E57E55"/>
    <w:rsid w:val="00E6103C"/>
    <w:rsid w:val="00E625CE"/>
    <w:rsid w:val="00E62B77"/>
    <w:rsid w:val="00E62D1F"/>
    <w:rsid w:val="00E64BEC"/>
    <w:rsid w:val="00E67825"/>
    <w:rsid w:val="00E7099C"/>
    <w:rsid w:val="00E716EE"/>
    <w:rsid w:val="00E735CB"/>
    <w:rsid w:val="00E74AEE"/>
    <w:rsid w:val="00E758E8"/>
    <w:rsid w:val="00E80328"/>
    <w:rsid w:val="00E83B43"/>
    <w:rsid w:val="00E86D86"/>
    <w:rsid w:val="00E905B1"/>
    <w:rsid w:val="00E91336"/>
    <w:rsid w:val="00E91E14"/>
    <w:rsid w:val="00E96A5C"/>
    <w:rsid w:val="00E96B46"/>
    <w:rsid w:val="00E971B4"/>
    <w:rsid w:val="00E9787D"/>
    <w:rsid w:val="00EA01AB"/>
    <w:rsid w:val="00EA0A44"/>
    <w:rsid w:val="00EA1546"/>
    <w:rsid w:val="00EA3126"/>
    <w:rsid w:val="00EA365B"/>
    <w:rsid w:val="00EB37E7"/>
    <w:rsid w:val="00EB4E31"/>
    <w:rsid w:val="00EB5214"/>
    <w:rsid w:val="00EB5777"/>
    <w:rsid w:val="00EB6037"/>
    <w:rsid w:val="00EB6894"/>
    <w:rsid w:val="00EB68C0"/>
    <w:rsid w:val="00EB69F7"/>
    <w:rsid w:val="00EB7493"/>
    <w:rsid w:val="00EC10D6"/>
    <w:rsid w:val="00EC134E"/>
    <w:rsid w:val="00EC4935"/>
    <w:rsid w:val="00EC66F9"/>
    <w:rsid w:val="00EC773A"/>
    <w:rsid w:val="00ED3C61"/>
    <w:rsid w:val="00ED5D26"/>
    <w:rsid w:val="00ED5EDC"/>
    <w:rsid w:val="00ED6E4A"/>
    <w:rsid w:val="00EE1E65"/>
    <w:rsid w:val="00EE4065"/>
    <w:rsid w:val="00EE4A49"/>
    <w:rsid w:val="00EE690F"/>
    <w:rsid w:val="00EE7859"/>
    <w:rsid w:val="00EF0337"/>
    <w:rsid w:val="00EF0482"/>
    <w:rsid w:val="00EF2D92"/>
    <w:rsid w:val="00EF35C8"/>
    <w:rsid w:val="00EF5CDF"/>
    <w:rsid w:val="00F002AA"/>
    <w:rsid w:val="00F01BFB"/>
    <w:rsid w:val="00F03B2C"/>
    <w:rsid w:val="00F046C6"/>
    <w:rsid w:val="00F07772"/>
    <w:rsid w:val="00F106B9"/>
    <w:rsid w:val="00F11073"/>
    <w:rsid w:val="00F12145"/>
    <w:rsid w:val="00F122A3"/>
    <w:rsid w:val="00F13EE3"/>
    <w:rsid w:val="00F13F8B"/>
    <w:rsid w:val="00F148F9"/>
    <w:rsid w:val="00F14B4E"/>
    <w:rsid w:val="00F15CB3"/>
    <w:rsid w:val="00F16146"/>
    <w:rsid w:val="00F226AB"/>
    <w:rsid w:val="00F244BB"/>
    <w:rsid w:val="00F24562"/>
    <w:rsid w:val="00F249DE"/>
    <w:rsid w:val="00F24A92"/>
    <w:rsid w:val="00F26186"/>
    <w:rsid w:val="00F3210F"/>
    <w:rsid w:val="00F34A0F"/>
    <w:rsid w:val="00F366F2"/>
    <w:rsid w:val="00F36BEC"/>
    <w:rsid w:val="00F3763D"/>
    <w:rsid w:val="00F4026B"/>
    <w:rsid w:val="00F44B27"/>
    <w:rsid w:val="00F45B31"/>
    <w:rsid w:val="00F5070E"/>
    <w:rsid w:val="00F56E49"/>
    <w:rsid w:val="00F576CD"/>
    <w:rsid w:val="00F57D0C"/>
    <w:rsid w:val="00F622CF"/>
    <w:rsid w:val="00F65243"/>
    <w:rsid w:val="00F65F97"/>
    <w:rsid w:val="00F671A0"/>
    <w:rsid w:val="00F6783E"/>
    <w:rsid w:val="00F70654"/>
    <w:rsid w:val="00F70FF8"/>
    <w:rsid w:val="00F71392"/>
    <w:rsid w:val="00F71554"/>
    <w:rsid w:val="00F740A6"/>
    <w:rsid w:val="00F74CEA"/>
    <w:rsid w:val="00F76649"/>
    <w:rsid w:val="00F8189F"/>
    <w:rsid w:val="00F81F1D"/>
    <w:rsid w:val="00F82961"/>
    <w:rsid w:val="00F848B5"/>
    <w:rsid w:val="00F848FA"/>
    <w:rsid w:val="00F85014"/>
    <w:rsid w:val="00F8788C"/>
    <w:rsid w:val="00F87C43"/>
    <w:rsid w:val="00F90422"/>
    <w:rsid w:val="00F909ED"/>
    <w:rsid w:val="00F92B03"/>
    <w:rsid w:val="00F92CD2"/>
    <w:rsid w:val="00F9342B"/>
    <w:rsid w:val="00F934E4"/>
    <w:rsid w:val="00F95E96"/>
    <w:rsid w:val="00F970E0"/>
    <w:rsid w:val="00F97A3F"/>
    <w:rsid w:val="00FA1C46"/>
    <w:rsid w:val="00FA238C"/>
    <w:rsid w:val="00FA5946"/>
    <w:rsid w:val="00FA788C"/>
    <w:rsid w:val="00FA7F19"/>
    <w:rsid w:val="00FB0299"/>
    <w:rsid w:val="00FB1A5B"/>
    <w:rsid w:val="00FB1B68"/>
    <w:rsid w:val="00FB3B7D"/>
    <w:rsid w:val="00FB5948"/>
    <w:rsid w:val="00FB5A28"/>
    <w:rsid w:val="00FB76E2"/>
    <w:rsid w:val="00FC274A"/>
    <w:rsid w:val="00FC2D73"/>
    <w:rsid w:val="00FC2F64"/>
    <w:rsid w:val="00FC36D3"/>
    <w:rsid w:val="00FC7618"/>
    <w:rsid w:val="00FC7A11"/>
    <w:rsid w:val="00FD0810"/>
    <w:rsid w:val="00FD2B53"/>
    <w:rsid w:val="00FD3802"/>
    <w:rsid w:val="00FD4051"/>
    <w:rsid w:val="00FD4140"/>
    <w:rsid w:val="00FD4491"/>
    <w:rsid w:val="00FD4AA6"/>
    <w:rsid w:val="00FE0851"/>
    <w:rsid w:val="00FE221C"/>
    <w:rsid w:val="00FE2FE7"/>
    <w:rsid w:val="00FE32DD"/>
    <w:rsid w:val="00FE36B5"/>
    <w:rsid w:val="00FE5AD4"/>
    <w:rsid w:val="00FE7B7E"/>
    <w:rsid w:val="00FF0A5B"/>
    <w:rsid w:val="00FF13C8"/>
    <w:rsid w:val="00FF1954"/>
    <w:rsid w:val="00FF1DF4"/>
    <w:rsid w:val="00FF5C0B"/>
    <w:rsid w:val="00FF6254"/>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3EA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153E0"/>
    <w:rPr>
      <w:rFonts w:ascii="Times New Roman" w:eastAsia="Times New Roman" w:hAnsi="Times New Roman" w:cs="Times New Roman"/>
    </w:rPr>
  </w:style>
  <w:style w:type="paragraph" w:styleId="berschrift2">
    <w:name w:val="heading 2"/>
    <w:basedOn w:val="Standard"/>
    <w:next w:val="Standard"/>
    <w:link w:val="berschrift2Zchn"/>
    <w:uiPriority w:val="9"/>
    <w:unhideWhenUsed/>
    <w:qFormat/>
    <w:rsid w:val="00B203A0"/>
    <w:pPr>
      <w:keepNext/>
      <w:keepLines/>
      <w:spacing w:before="200"/>
      <w:outlineLvl w:val="1"/>
    </w:pPr>
    <w:rPr>
      <w:rFonts w:asciiTheme="minorHAnsi" w:eastAsiaTheme="majorEastAsia" w:hAnsiTheme="minorHAnsi" w:cstheme="majorBidi"/>
      <w:b/>
      <w:bCs/>
      <w:color w:val="000000" w:themeColor="text1"/>
      <w:sz w:val="28"/>
      <w:szCs w:val="26"/>
      <w:lang w:val="en-US" w:eastAsia="ja-JP"/>
    </w:rPr>
  </w:style>
  <w:style w:type="paragraph" w:styleId="berschrift3">
    <w:name w:val="heading 3"/>
    <w:basedOn w:val="Standard"/>
    <w:next w:val="Standard"/>
    <w:link w:val="berschrift3Zchn"/>
    <w:uiPriority w:val="9"/>
    <w:semiHidden/>
    <w:unhideWhenUsed/>
    <w:qFormat/>
    <w:rsid w:val="000C1D1F"/>
    <w:pPr>
      <w:keepNext/>
      <w:keepLines/>
      <w:spacing w:before="40"/>
      <w:outlineLvl w:val="2"/>
    </w:pPr>
    <w:rPr>
      <w:rFonts w:asciiTheme="majorHAnsi" w:eastAsiaTheme="majorEastAsia" w:hAnsiTheme="majorHAnsi" w:cstheme="majorBidi"/>
      <w:color w:val="1F3763" w:themeColor="accent1" w:themeShade="7F"/>
    </w:rPr>
  </w:style>
  <w:style w:type="paragraph" w:styleId="berschrift4">
    <w:name w:val="heading 4"/>
    <w:basedOn w:val="Standard"/>
    <w:next w:val="Standard"/>
    <w:link w:val="berschrift4Zchn"/>
    <w:uiPriority w:val="9"/>
    <w:semiHidden/>
    <w:unhideWhenUsed/>
    <w:qFormat/>
    <w:rsid w:val="009D30E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ndNoteBibliographyTitle">
    <w:name w:val="EndNote Bibliography Title"/>
    <w:basedOn w:val="Standard"/>
    <w:link w:val="EndNoteBibliographyTitleZchn"/>
    <w:rsid w:val="00E25008"/>
    <w:pPr>
      <w:jc w:val="center"/>
    </w:pPr>
    <w:rPr>
      <w:rFonts w:eastAsiaTheme="minorHAnsi"/>
      <w:lang w:val="en-US"/>
    </w:rPr>
  </w:style>
  <w:style w:type="character" w:customStyle="1" w:styleId="EndNoteBibliographyTitleZchn">
    <w:name w:val="EndNote Bibliography Title Zchn"/>
    <w:basedOn w:val="Absatz-Standardschriftart"/>
    <w:link w:val="EndNoteBibliographyTitle"/>
    <w:rsid w:val="00E25008"/>
    <w:rPr>
      <w:rFonts w:ascii="Times New Roman" w:hAnsi="Times New Roman" w:cs="Times New Roman"/>
      <w:lang w:val="en-US"/>
    </w:rPr>
  </w:style>
  <w:style w:type="paragraph" w:customStyle="1" w:styleId="EndNoteBibliography">
    <w:name w:val="EndNote Bibliography"/>
    <w:basedOn w:val="Standard"/>
    <w:link w:val="EndNoteBibliographyZchn"/>
    <w:rsid w:val="00E25008"/>
    <w:pPr>
      <w:spacing w:line="480" w:lineRule="auto"/>
    </w:pPr>
    <w:rPr>
      <w:rFonts w:eastAsiaTheme="minorHAnsi"/>
      <w:lang w:val="en-US"/>
    </w:rPr>
  </w:style>
  <w:style w:type="character" w:customStyle="1" w:styleId="EndNoteBibliographyZchn">
    <w:name w:val="EndNote Bibliography Zchn"/>
    <w:basedOn w:val="Absatz-Standardschriftart"/>
    <w:link w:val="EndNoteBibliography"/>
    <w:rsid w:val="00E25008"/>
    <w:rPr>
      <w:rFonts w:ascii="Times New Roman" w:hAnsi="Times New Roman" w:cs="Times New Roman"/>
      <w:lang w:val="en-US"/>
    </w:rPr>
  </w:style>
  <w:style w:type="paragraph" w:styleId="StandardWeb">
    <w:name w:val="Normal (Web)"/>
    <w:basedOn w:val="Standard"/>
    <w:link w:val="StandardWebZchn"/>
    <w:uiPriority w:val="99"/>
    <w:unhideWhenUsed/>
    <w:rsid w:val="00F4026B"/>
    <w:pPr>
      <w:spacing w:before="100" w:beforeAutospacing="1" w:after="100" w:afterAutospacing="1"/>
    </w:pPr>
    <w:rPr>
      <w:lang w:eastAsia="de-DE"/>
    </w:rPr>
  </w:style>
  <w:style w:type="character" w:styleId="Hyperlink">
    <w:name w:val="Hyperlink"/>
    <w:basedOn w:val="Absatz-Standardschriftart"/>
    <w:uiPriority w:val="99"/>
    <w:unhideWhenUsed/>
    <w:rsid w:val="00F4026B"/>
    <w:rPr>
      <w:color w:val="0000FF"/>
      <w:u w:val="single"/>
    </w:rPr>
  </w:style>
  <w:style w:type="character" w:customStyle="1" w:styleId="UnresolvedMention1">
    <w:name w:val="Unresolved Mention1"/>
    <w:basedOn w:val="Absatz-Standardschriftart"/>
    <w:uiPriority w:val="99"/>
    <w:semiHidden/>
    <w:unhideWhenUsed/>
    <w:rsid w:val="00661E19"/>
    <w:rPr>
      <w:color w:val="605E5C"/>
      <w:shd w:val="clear" w:color="auto" w:fill="E1DFDD"/>
    </w:rPr>
  </w:style>
  <w:style w:type="paragraph" w:styleId="Kommentartext">
    <w:name w:val="annotation text"/>
    <w:basedOn w:val="Standard"/>
    <w:link w:val="KommentartextZchn"/>
    <w:uiPriority w:val="99"/>
    <w:semiHidden/>
    <w:unhideWhenUsed/>
    <w:rsid w:val="009F1A34"/>
    <w:rPr>
      <w:rFonts w:asciiTheme="minorHAnsi" w:eastAsiaTheme="minorHAnsi" w:hAnsiTheme="minorHAnsi" w:cstheme="minorBidi"/>
    </w:rPr>
  </w:style>
  <w:style w:type="character" w:customStyle="1" w:styleId="KommentartextZchn">
    <w:name w:val="Kommentartext Zchn"/>
    <w:basedOn w:val="Absatz-Standardschriftart"/>
    <w:link w:val="Kommentartext"/>
    <w:uiPriority w:val="99"/>
    <w:semiHidden/>
    <w:rsid w:val="009F1A34"/>
  </w:style>
  <w:style w:type="character" w:customStyle="1" w:styleId="berschrift2Zchn">
    <w:name w:val="Überschrift 2 Zchn"/>
    <w:basedOn w:val="Absatz-Standardschriftart"/>
    <w:link w:val="berschrift2"/>
    <w:uiPriority w:val="9"/>
    <w:rsid w:val="00B203A0"/>
    <w:rPr>
      <w:rFonts w:eastAsiaTheme="majorEastAsia" w:cstheme="majorBidi"/>
      <w:b/>
      <w:bCs/>
      <w:color w:val="000000" w:themeColor="text1"/>
      <w:sz w:val="28"/>
      <w:szCs w:val="26"/>
      <w:lang w:val="en-US" w:eastAsia="ja-JP"/>
    </w:rPr>
  </w:style>
  <w:style w:type="character" w:styleId="Platzhaltertext">
    <w:name w:val="Placeholder Text"/>
    <w:basedOn w:val="Absatz-Standardschriftart"/>
    <w:uiPriority w:val="99"/>
    <w:semiHidden/>
    <w:rsid w:val="00DA6A17"/>
    <w:rPr>
      <w:color w:val="808080"/>
    </w:rPr>
  </w:style>
  <w:style w:type="character" w:customStyle="1" w:styleId="berschrift3Zchn">
    <w:name w:val="Überschrift 3 Zchn"/>
    <w:basedOn w:val="Absatz-Standardschriftart"/>
    <w:link w:val="berschrift3"/>
    <w:uiPriority w:val="9"/>
    <w:semiHidden/>
    <w:rsid w:val="000C1D1F"/>
    <w:rPr>
      <w:rFonts w:asciiTheme="majorHAnsi" w:eastAsiaTheme="majorEastAsia" w:hAnsiTheme="majorHAnsi" w:cstheme="majorBidi"/>
      <w:color w:val="1F3763" w:themeColor="accent1" w:themeShade="7F"/>
    </w:rPr>
  </w:style>
  <w:style w:type="paragraph" w:styleId="Listenabsatz">
    <w:name w:val="List Paragraph"/>
    <w:basedOn w:val="Standard"/>
    <w:uiPriority w:val="34"/>
    <w:qFormat/>
    <w:rsid w:val="009C188A"/>
    <w:pPr>
      <w:ind w:left="720"/>
      <w:contextualSpacing/>
    </w:pPr>
    <w:rPr>
      <w:rFonts w:asciiTheme="minorHAnsi" w:eastAsiaTheme="minorHAnsi" w:hAnsiTheme="minorHAnsi" w:cstheme="minorBidi"/>
    </w:rPr>
  </w:style>
  <w:style w:type="character" w:styleId="Kommentarzeichen">
    <w:name w:val="annotation reference"/>
    <w:basedOn w:val="Absatz-Standardschriftart"/>
    <w:uiPriority w:val="99"/>
    <w:semiHidden/>
    <w:unhideWhenUsed/>
    <w:rsid w:val="00E11126"/>
    <w:rPr>
      <w:sz w:val="18"/>
      <w:szCs w:val="18"/>
    </w:rPr>
  </w:style>
  <w:style w:type="paragraph" w:styleId="Kommentarthema">
    <w:name w:val="annotation subject"/>
    <w:basedOn w:val="Kommentartext"/>
    <w:next w:val="Kommentartext"/>
    <w:link w:val="KommentarthemaZchn"/>
    <w:uiPriority w:val="99"/>
    <w:semiHidden/>
    <w:unhideWhenUsed/>
    <w:rsid w:val="00B81B7B"/>
    <w:rPr>
      <w:b/>
      <w:bCs/>
      <w:sz w:val="20"/>
      <w:szCs w:val="20"/>
    </w:rPr>
  </w:style>
  <w:style w:type="character" w:customStyle="1" w:styleId="KommentarthemaZchn">
    <w:name w:val="Kommentarthema Zchn"/>
    <w:basedOn w:val="KommentartextZchn"/>
    <w:link w:val="Kommentarthema"/>
    <w:uiPriority w:val="99"/>
    <w:semiHidden/>
    <w:rsid w:val="00B81B7B"/>
    <w:rPr>
      <w:b/>
      <w:bCs/>
      <w:sz w:val="20"/>
      <w:szCs w:val="20"/>
    </w:rPr>
  </w:style>
  <w:style w:type="paragraph" w:styleId="Sprechblasentext">
    <w:name w:val="Balloon Text"/>
    <w:basedOn w:val="Standard"/>
    <w:link w:val="SprechblasentextZchn"/>
    <w:uiPriority w:val="99"/>
    <w:semiHidden/>
    <w:unhideWhenUsed/>
    <w:rsid w:val="00B81B7B"/>
    <w:rPr>
      <w:sz w:val="18"/>
      <w:szCs w:val="18"/>
    </w:rPr>
  </w:style>
  <w:style w:type="character" w:customStyle="1" w:styleId="SprechblasentextZchn">
    <w:name w:val="Sprechblasentext Zchn"/>
    <w:basedOn w:val="Absatz-Standardschriftart"/>
    <w:link w:val="Sprechblasentext"/>
    <w:uiPriority w:val="99"/>
    <w:semiHidden/>
    <w:rsid w:val="00B81B7B"/>
    <w:rPr>
      <w:rFonts w:ascii="Times New Roman" w:hAnsi="Times New Roman" w:cs="Times New Roman"/>
      <w:sz w:val="18"/>
      <w:szCs w:val="18"/>
    </w:rPr>
  </w:style>
  <w:style w:type="paragraph" w:styleId="berarbeitung">
    <w:name w:val="Revision"/>
    <w:hidden/>
    <w:uiPriority w:val="99"/>
    <w:semiHidden/>
    <w:rsid w:val="00D859E8"/>
  </w:style>
  <w:style w:type="character" w:customStyle="1" w:styleId="apple-converted-space">
    <w:name w:val="apple-converted-space"/>
    <w:basedOn w:val="Absatz-Standardschriftart"/>
    <w:rsid w:val="00C327F3"/>
  </w:style>
  <w:style w:type="character" w:customStyle="1" w:styleId="StandardWebZchn">
    <w:name w:val="Standard (Web) Zchn"/>
    <w:basedOn w:val="Absatz-Standardschriftart"/>
    <w:link w:val="StandardWeb"/>
    <w:uiPriority w:val="99"/>
    <w:rsid w:val="004B75A3"/>
    <w:rPr>
      <w:rFonts w:ascii="Times New Roman" w:eastAsia="Times New Roman" w:hAnsi="Times New Roman" w:cs="Times New Roman"/>
      <w:lang w:eastAsia="de-DE"/>
    </w:rPr>
  </w:style>
  <w:style w:type="character" w:customStyle="1" w:styleId="berschrift4Zchn">
    <w:name w:val="Überschrift 4 Zchn"/>
    <w:basedOn w:val="Absatz-Standardschriftart"/>
    <w:link w:val="berschrift4"/>
    <w:uiPriority w:val="9"/>
    <w:semiHidden/>
    <w:rsid w:val="009D30E3"/>
    <w:rPr>
      <w:rFonts w:asciiTheme="majorHAnsi" w:eastAsiaTheme="majorEastAsia" w:hAnsiTheme="majorHAnsi" w:cstheme="majorBidi"/>
      <w:i/>
      <w:iCs/>
      <w:color w:val="2F5496" w:themeColor="accent1" w:themeShade="BF"/>
    </w:rPr>
  </w:style>
  <w:style w:type="paragraph" w:styleId="Kopfzeile">
    <w:name w:val="header"/>
    <w:basedOn w:val="Standard"/>
    <w:link w:val="KopfzeileZchn"/>
    <w:uiPriority w:val="99"/>
    <w:unhideWhenUsed/>
    <w:rsid w:val="00C305BD"/>
    <w:pPr>
      <w:tabs>
        <w:tab w:val="center" w:pos="4703"/>
        <w:tab w:val="right" w:pos="9406"/>
      </w:tabs>
    </w:pPr>
    <w:rPr>
      <w:rFonts w:asciiTheme="minorHAnsi" w:eastAsiaTheme="minorHAnsi" w:hAnsiTheme="minorHAnsi" w:cstheme="minorBidi"/>
    </w:rPr>
  </w:style>
  <w:style w:type="character" w:customStyle="1" w:styleId="KopfzeileZchn">
    <w:name w:val="Kopfzeile Zchn"/>
    <w:basedOn w:val="Absatz-Standardschriftart"/>
    <w:link w:val="Kopfzeile"/>
    <w:uiPriority w:val="99"/>
    <w:rsid w:val="00C305BD"/>
  </w:style>
  <w:style w:type="paragraph" w:styleId="Fuzeile">
    <w:name w:val="footer"/>
    <w:basedOn w:val="Standard"/>
    <w:link w:val="FuzeileZchn"/>
    <w:uiPriority w:val="99"/>
    <w:unhideWhenUsed/>
    <w:rsid w:val="00C305BD"/>
    <w:pPr>
      <w:tabs>
        <w:tab w:val="center" w:pos="4703"/>
        <w:tab w:val="right" w:pos="9406"/>
      </w:tabs>
    </w:pPr>
    <w:rPr>
      <w:rFonts w:asciiTheme="minorHAnsi" w:eastAsiaTheme="minorHAnsi" w:hAnsiTheme="minorHAnsi" w:cstheme="minorBidi"/>
    </w:rPr>
  </w:style>
  <w:style w:type="character" w:customStyle="1" w:styleId="FuzeileZchn">
    <w:name w:val="Fußzeile Zchn"/>
    <w:basedOn w:val="Absatz-Standardschriftart"/>
    <w:link w:val="Fuzeile"/>
    <w:uiPriority w:val="99"/>
    <w:rsid w:val="00C305BD"/>
  </w:style>
  <w:style w:type="character" w:customStyle="1" w:styleId="NichtaufgelsteErwhnung1">
    <w:name w:val="Nicht aufgelöste Erwähnung1"/>
    <w:basedOn w:val="Absatz-Standardschriftart"/>
    <w:uiPriority w:val="99"/>
    <w:semiHidden/>
    <w:unhideWhenUsed/>
    <w:rsid w:val="00FE32DD"/>
    <w:rPr>
      <w:color w:val="605E5C"/>
      <w:shd w:val="clear" w:color="auto" w:fill="E1DFDD"/>
    </w:rPr>
  </w:style>
  <w:style w:type="character" w:styleId="Seitenzahl">
    <w:name w:val="page number"/>
    <w:basedOn w:val="Absatz-Standardschriftart"/>
    <w:uiPriority w:val="99"/>
    <w:semiHidden/>
    <w:unhideWhenUsed/>
    <w:rsid w:val="003E0F80"/>
  </w:style>
  <w:style w:type="character" w:styleId="BesuchterHyperlink">
    <w:name w:val="FollowedHyperlink"/>
    <w:basedOn w:val="Absatz-Standardschriftart"/>
    <w:uiPriority w:val="99"/>
    <w:semiHidden/>
    <w:unhideWhenUsed/>
    <w:rsid w:val="006A04DA"/>
    <w:rPr>
      <w:color w:val="954F72" w:themeColor="followedHyperlink"/>
      <w:u w:val="single"/>
    </w:rPr>
  </w:style>
  <w:style w:type="character" w:styleId="Zeilennummer">
    <w:name w:val="line number"/>
    <w:basedOn w:val="Absatz-Standardschriftart"/>
    <w:uiPriority w:val="99"/>
    <w:semiHidden/>
    <w:unhideWhenUsed/>
    <w:rsid w:val="001E35C3"/>
  </w:style>
  <w:style w:type="character" w:customStyle="1" w:styleId="NichtaufgelsteErwhnung2">
    <w:name w:val="Nicht aufgelöste Erwähnung2"/>
    <w:basedOn w:val="Absatz-Standardschriftart"/>
    <w:uiPriority w:val="99"/>
    <w:semiHidden/>
    <w:unhideWhenUsed/>
    <w:rsid w:val="002F27D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153E0"/>
    <w:rPr>
      <w:rFonts w:ascii="Times New Roman" w:eastAsia="Times New Roman" w:hAnsi="Times New Roman" w:cs="Times New Roman"/>
    </w:rPr>
  </w:style>
  <w:style w:type="paragraph" w:styleId="berschrift2">
    <w:name w:val="heading 2"/>
    <w:basedOn w:val="Standard"/>
    <w:next w:val="Standard"/>
    <w:link w:val="berschrift2Zchn"/>
    <w:uiPriority w:val="9"/>
    <w:unhideWhenUsed/>
    <w:qFormat/>
    <w:rsid w:val="00B203A0"/>
    <w:pPr>
      <w:keepNext/>
      <w:keepLines/>
      <w:spacing w:before="200"/>
      <w:outlineLvl w:val="1"/>
    </w:pPr>
    <w:rPr>
      <w:rFonts w:asciiTheme="minorHAnsi" w:eastAsiaTheme="majorEastAsia" w:hAnsiTheme="minorHAnsi" w:cstheme="majorBidi"/>
      <w:b/>
      <w:bCs/>
      <w:color w:val="000000" w:themeColor="text1"/>
      <w:sz w:val="28"/>
      <w:szCs w:val="26"/>
      <w:lang w:val="en-US" w:eastAsia="ja-JP"/>
    </w:rPr>
  </w:style>
  <w:style w:type="paragraph" w:styleId="berschrift3">
    <w:name w:val="heading 3"/>
    <w:basedOn w:val="Standard"/>
    <w:next w:val="Standard"/>
    <w:link w:val="berschrift3Zchn"/>
    <w:uiPriority w:val="9"/>
    <w:semiHidden/>
    <w:unhideWhenUsed/>
    <w:qFormat/>
    <w:rsid w:val="000C1D1F"/>
    <w:pPr>
      <w:keepNext/>
      <w:keepLines/>
      <w:spacing w:before="40"/>
      <w:outlineLvl w:val="2"/>
    </w:pPr>
    <w:rPr>
      <w:rFonts w:asciiTheme="majorHAnsi" w:eastAsiaTheme="majorEastAsia" w:hAnsiTheme="majorHAnsi" w:cstheme="majorBidi"/>
      <w:color w:val="1F3763" w:themeColor="accent1" w:themeShade="7F"/>
    </w:rPr>
  </w:style>
  <w:style w:type="paragraph" w:styleId="berschrift4">
    <w:name w:val="heading 4"/>
    <w:basedOn w:val="Standard"/>
    <w:next w:val="Standard"/>
    <w:link w:val="berschrift4Zchn"/>
    <w:uiPriority w:val="9"/>
    <w:semiHidden/>
    <w:unhideWhenUsed/>
    <w:qFormat/>
    <w:rsid w:val="009D30E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ndNoteBibliographyTitle">
    <w:name w:val="EndNote Bibliography Title"/>
    <w:basedOn w:val="Standard"/>
    <w:link w:val="EndNoteBibliographyTitleZchn"/>
    <w:rsid w:val="00E25008"/>
    <w:pPr>
      <w:jc w:val="center"/>
    </w:pPr>
    <w:rPr>
      <w:rFonts w:eastAsiaTheme="minorHAnsi"/>
      <w:lang w:val="en-US"/>
    </w:rPr>
  </w:style>
  <w:style w:type="character" w:customStyle="1" w:styleId="EndNoteBibliographyTitleZchn">
    <w:name w:val="EndNote Bibliography Title Zchn"/>
    <w:basedOn w:val="Absatz-Standardschriftart"/>
    <w:link w:val="EndNoteBibliographyTitle"/>
    <w:rsid w:val="00E25008"/>
    <w:rPr>
      <w:rFonts w:ascii="Times New Roman" w:hAnsi="Times New Roman" w:cs="Times New Roman"/>
      <w:lang w:val="en-US"/>
    </w:rPr>
  </w:style>
  <w:style w:type="paragraph" w:customStyle="1" w:styleId="EndNoteBibliography">
    <w:name w:val="EndNote Bibliography"/>
    <w:basedOn w:val="Standard"/>
    <w:link w:val="EndNoteBibliographyZchn"/>
    <w:rsid w:val="00E25008"/>
    <w:pPr>
      <w:spacing w:line="480" w:lineRule="auto"/>
    </w:pPr>
    <w:rPr>
      <w:rFonts w:eastAsiaTheme="minorHAnsi"/>
      <w:lang w:val="en-US"/>
    </w:rPr>
  </w:style>
  <w:style w:type="character" w:customStyle="1" w:styleId="EndNoteBibliographyZchn">
    <w:name w:val="EndNote Bibliography Zchn"/>
    <w:basedOn w:val="Absatz-Standardschriftart"/>
    <w:link w:val="EndNoteBibliography"/>
    <w:rsid w:val="00E25008"/>
    <w:rPr>
      <w:rFonts w:ascii="Times New Roman" w:hAnsi="Times New Roman" w:cs="Times New Roman"/>
      <w:lang w:val="en-US"/>
    </w:rPr>
  </w:style>
  <w:style w:type="paragraph" w:styleId="StandardWeb">
    <w:name w:val="Normal (Web)"/>
    <w:basedOn w:val="Standard"/>
    <w:link w:val="StandardWebZchn"/>
    <w:uiPriority w:val="99"/>
    <w:unhideWhenUsed/>
    <w:rsid w:val="00F4026B"/>
    <w:pPr>
      <w:spacing w:before="100" w:beforeAutospacing="1" w:after="100" w:afterAutospacing="1"/>
    </w:pPr>
    <w:rPr>
      <w:lang w:eastAsia="de-DE"/>
    </w:rPr>
  </w:style>
  <w:style w:type="character" w:styleId="Hyperlink">
    <w:name w:val="Hyperlink"/>
    <w:basedOn w:val="Absatz-Standardschriftart"/>
    <w:uiPriority w:val="99"/>
    <w:unhideWhenUsed/>
    <w:rsid w:val="00F4026B"/>
    <w:rPr>
      <w:color w:val="0000FF"/>
      <w:u w:val="single"/>
    </w:rPr>
  </w:style>
  <w:style w:type="character" w:customStyle="1" w:styleId="UnresolvedMention1">
    <w:name w:val="Unresolved Mention1"/>
    <w:basedOn w:val="Absatz-Standardschriftart"/>
    <w:uiPriority w:val="99"/>
    <w:semiHidden/>
    <w:unhideWhenUsed/>
    <w:rsid w:val="00661E19"/>
    <w:rPr>
      <w:color w:val="605E5C"/>
      <w:shd w:val="clear" w:color="auto" w:fill="E1DFDD"/>
    </w:rPr>
  </w:style>
  <w:style w:type="paragraph" w:styleId="Kommentartext">
    <w:name w:val="annotation text"/>
    <w:basedOn w:val="Standard"/>
    <w:link w:val="KommentartextZchn"/>
    <w:uiPriority w:val="99"/>
    <w:semiHidden/>
    <w:unhideWhenUsed/>
    <w:rsid w:val="009F1A34"/>
    <w:rPr>
      <w:rFonts w:asciiTheme="minorHAnsi" w:eastAsiaTheme="minorHAnsi" w:hAnsiTheme="minorHAnsi" w:cstheme="minorBidi"/>
    </w:rPr>
  </w:style>
  <w:style w:type="character" w:customStyle="1" w:styleId="KommentartextZchn">
    <w:name w:val="Kommentartext Zchn"/>
    <w:basedOn w:val="Absatz-Standardschriftart"/>
    <w:link w:val="Kommentartext"/>
    <w:uiPriority w:val="99"/>
    <w:semiHidden/>
    <w:rsid w:val="009F1A34"/>
  </w:style>
  <w:style w:type="character" w:customStyle="1" w:styleId="berschrift2Zchn">
    <w:name w:val="Überschrift 2 Zchn"/>
    <w:basedOn w:val="Absatz-Standardschriftart"/>
    <w:link w:val="berschrift2"/>
    <w:uiPriority w:val="9"/>
    <w:rsid w:val="00B203A0"/>
    <w:rPr>
      <w:rFonts w:eastAsiaTheme="majorEastAsia" w:cstheme="majorBidi"/>
      <w:b/>
      <w:bCs/>
      <w:color w:val="000000" w:themeColor="text1"/>
      <w:sz w:val="28"/>
      <w:szCs w:val="26"/>
      <w:lang w:val="en-US" w:eastAsia="ja-JP"/>
    </w:rPr>
  </w:style>
  <w:style w:type="character" w:styleId="Platzhaltertext">
    <w:name w:val="Placeholder Text"/>
    <w:basedOn w:val="Absatz-Standardschriftart"/>
    <w:uiPriority w:val="99"/>
    <w:semiHidden/>
    <w:rsid w:val="00DA6A17"/>
    <w:rPr>
      <w:color w:val="808080"/>
    </w:rPr>
  </w:style>
  <w:style w:type="character" w:customStyle="1" w:styleId="berschrift3Zchn">
    <w:name w:val="Überschrift 3 Zchn"/>
    <w:basedOn w:val="Absatz-Standardschriftart"/>
    <w:link w:val="berschrift3"/>
    <w:uiPriority w:val="9"/>
    <w:semiHidden/>
    <w:rsid w:val="000C1D1F"/>
    <w:rPr>
      <w:rFonts w:asciiTheme="majorHAnsi" w:eastAsiaTheme="majorEastAsia" w:hAnsiTheme="majorHAnsi" w:cstheme="majorBidi"/>
      <w:color w:val="1F3763" w:themeColor="accent1" w:themeShade="7F"/>
    </w:rPr>
  </w:style>
  <w:style w:type="paragraph" w:styleId="Listenabsatz">
    <w:name w:val="List Paragraph"/>
    <w:basedOn w:val="Standard"/>
    <w:uiPriority w:val="34"/>
    <w:qFormat/>
    <w:rsid w:val="009C188A"/>
    <w:pPr>
      <w:ind w:left="720"/>
      <w:contextualSpacing/>
    </w:pPr>
    <w:rPr>
      <w:rFonts w:asciiTheme="minorHAnsi" w:eastAsiaTheme="minorHAnsi" w:hAnsiTheme="minorHAnsi" w:cstheme="minorBidi"/>
    </w:rPr>
  </w:style>
  <w:style w:type="character" w:styleId="Kommentarzeichen">
    <w:name w:val="annotation reference"/>
    <w:basedOn w:val="Absatz-Standardschriftart"/>
    <w:uiPriority w:val="99"/>
    <w:semiHidden/>
    <w:unhideWhenUsed/>
    <w:rsid w:val="00E11126"/>
    <w:rPr>
      <w:sz w:val="18"/>
      <w:szCs w:val="18"/>
    </w:rPr>
  </w:style>
  <w:style w:type="paragraph" w:styleId="Kommentarthema">
    <w:name w:val="annotation subject"/>
    <w:basedOn w:val="Kommentartext"/>
    <w:next w:val="Kommentartext"/>
    <w:link w:val="KommentarthemaZchn"/>
    <w:uiPriority w:val="99"/>
    <w:semiHidden/>
    <w:unhideWhenUsed/>
    <w:rsid w:val="00B81B7B"/>
    <w:rPr>
      <w:b/>
      <w:bCs/>
      <w:sz w:val="20"/>
      <w:szCs w:val="20"/>
    </w:rPr>
  </w:style>
  <w:style w:type="character" w:customStyle="1" w:styleId="KommentarthemaZchn">
    <w:name w:val="Kommentarthema Zchn"/>
    <w:basedOn w:val="KommentartextZchn"/>
    <w:link w:val="Kommentarthema"/>
    <w:uiPriority w:val="99"/>
    <w:semiHidden/>
    <w:rsid w:val="00B81B7B"/>
    <w:rPr>
      <w:b/>
      <w:bCs/>
      <w:sz w:val="20"/>
      <w:szCs w:val="20"/>
    </w:rPr>
  </w:style>
  <w:style w:type="paragraph" w:styleId="Sprechblasentext">
    <w:name w:val="Balloon Text"/>
    <w:basedOn w:val="Standard"/>
    <w:link w:val="SprechblasentextZchn"/>
    <w:uiPriority w:val="99"/>
    <w:semiHidden/>
    <w:unhideWhenUsed/>
    <w:rsid w:val="00B81B7B"/>
    <w:rPr>
      <w:sz w:val="18"/>
      <w:szCs w:val="18"/>
    </w:rPr>
  </w:style>
  <w:style w:type="character" w:customStyle="1" w:styleId="SprechblasentextZchn">
    <w:name w:val="Sprechblasentext Zchn"/>
    <w:basedOn w:val="Absatz-Standardschriftart"/>
    <w:link w:val="Sprechblasentext"/>
    <w:uiPriority w:val="99"/>
    <w:semiHidden/>
    <w:rsid w:val="00B81B7B"/>
    <w:rPr>
      <w:rFonts w:ascii="Times New Roman" w:hAnsi="Times New Roman" w:cs="Times New Roman"/>
      <w:sz w:val="18"/>
      <w:szCs w:val="18"/>
    </w:rPr>
  </w:style>
  <w:style w:type="paragraph" w:styleId="berarbeitung">
    <w:name w:val="Revision"/>
    <w:hidden/>
    <w:uiPriority w:val="99"/>
    <w:semiHidden/>
    <w:rsid w:val="00D859E8"/>
  </w:style>
  <w:style w:type="character" w:customStyle="1" w:styleId="apple-converted-space">
    <w:name w:val="apple-converted-space"/>
    <w:basedOn w:val="Absatz-Standardschriftart"/>
    <w:rsid w:val="00C327F3"/>
  </w:style>
  <w:style w:type="character" w:customStyle="1" w:styleId="StandardWebZchn">
    <w:name w:val="Standard (Web) Zchn"/>
    <w:basedOn w:val="Absatz-Standardschriftart"/>
    <w:link w:val="StandardWeb"/>
    <w:uiPriority w:val="99"/>
    <w:rsid w:val="004B75A3"/>
    <w:rPr>
      <w:rFonts w:ascii="Times New Roman" w:eastAsia="Times New Roman" w:hAnsi="Times New Roman" w:cs="Times New Roman"/>
      <w:lang w:eastAsia="de-DE"/>
    </w:rPr>
  </w:style>
  <w:style w:type="character" w:customStyle="1" w:styleId="berschrift4Zchn">
    <w:name w:val="Überschrift 4 Zchn"/>
    <w:basedOn w:val="Absatz-Standardschriftart"/>
    <w:link w:val="berschrift4"/>
    <w:uiPriority w:val="9"/>
    <w:semiHidden/>
    <w:rsid w:val="009D30E3"/>
    <w:rPr>
      <w:rFonts w:asciiTheme="majorHAnsi" w:eastAsiaTheme="majorEastAsia" w:hAnsiTheme="majorHAnsi" w:cstheme="majorBidi"/>
      <w:i/>
      <w:iCs/>
      <w:color w:val="2F5496" w:themeColor="accent1" w:themeShade="BF"/>
    </w:rPr>
  </w:style>
  <w:style w:type="paragraph" w:styleId="Kopfzeile">
    <w:name w:val="header"/>
    <w:basedOn w:val="Standard"/>
    <w:link w:val="KopfzeileZchn"/>
    <w:uiPriority w:val="99"/>
    <w:unhideWhenUsed/>
    <w:rsid w:val="00C305BD"/>
    <w:pPr>
      <w:tabs>
        <w:tab w:val="center" w:pos="4703"/>
        <w:tab w:val="right" w:pos="9406"/>
      </w:tabs>
    </w:pPr>
    <w:rPr>
      <w:rFonts w:asciiTheme="minorHAnsi" w:eastAsiaTheme="minorHAnsi" w:hAnsiTheme="minorHAnsi" w:cstheme="minorBidi"/>
    </w:rPr>
  </w:style>
  <w:style w:type="character" w:customStyle="1" w:styleId="KopfzeileZchn">
    <w:name w:val="Kopfzeile Zchn"/>
    <w:basedOn w:val="Absatz-Standardschriftart"/>
    <w:link w:val="Kopfzeile"/>
    <w:uiPriority w:val="99"/>
    <w:rsid w:val="00C305BD"/>
  </w:style>
  <w:style w:type="paragraph" w:styleId="Fuzeile">
    <w:name w:val="footer"/>
    <w:basedOn w:val="Standard"/>
    <w:link w:val="FuzeileZchn"/>
    <w:uiPriority w:val="99"/>
    <w:unhideWhenUsed/>
    <w:rsid w:val="00C305BD"/>
    <w:pPr>
      <w:tabs>
        <w:tab w:val="center" w:pos="4703"/>
        <w:tab w:val="right" w:pos="9406"/>
      </w:tabs>
    </w:pPr>
    <w:rPr>
      <w:rFonts w:asciiTheme="minorHAnsi" w:eastAsiaTheme="minorHAnsi" w:hAnsiTheme="minorHAnsi" w:cstheme="minorBidi"/>
    </w:rPr>
  </w:style>
  <w:style w:type="character" w:customStyle="1" w:styleId="FuzeileZchn">
    <w:name w:val="Fußzeile Zchn"/>
    <w:basedOn w:val="Absatz-Standardschriftart"/>
    <w:link w:val="Fuzeile"/>
    <w:uiPriority w:val="99"/>
    <w:rsid w:val="00C305BD"/>
  </w:style>
  <w:style w:type="character" w:customStyle="1" w:styleId="NichtaufgelsteErwhnung1">
    <w:name w:val="Nicht aufgelöste Erwähnung1"/>
    <w:basedOn w:val="Absatz-Standardschriftart"/>
    <w:uiPriority w:val="99"/>
    <w:semiHidden/>
    <w:unhideWhenUsed/>
    <w:rsid w:val="00FE32DD"/>
    <w:rPr>
      <w:color w:val="605E5C"/>
      <w:shd w:val="clear" w:color="auto" w:fill="E1DFDD"/>
    </w:rPr>
  </w:style>
  <w:style w:type="character" w:styleId="Seitenzahl">
    <w:name w:val="page number"/>
    <w:basedOn w:val="Absatz-Standardschriftart"/>
    <w:uiPriority w:val="99"/>
    <w:semiHidden/>
    <w:unhideWhenUsed/>
    <w:rsid w:val="003E0F80"/>
  </w:style>
  <w:style w:type="character" w:styleId="BesuchterHyperlink">
    <w:name w:val="FollowedHyperlink"/>
    <w:basedOn w:val="Absatz-Standardschriftart"/>
    <w:uiPriority w:val="99"/>
    <w:semiHidden/>
    <w:unhideWhenUsed/>
    <w:rsid w:val="006A04DA"/>
    <w:rPr>
      <w:color w:val="954F72" w:themeColor="followedHyperlink"/>
      <w:u w:val="single"/>
    </w:rPr>
  </w:style>
  <w:style w:type="character" w:styleId="Zeilennummer">
    <w:name w:val="line number"/>
    <w:basedOn w:val="Absatz-Standardschriftart"/>
    <w:uiPriority w:val="99"/>
    <w:semiHidden/>
    <w:unhideWhenUsed/>
    <w:rsid w:val="001E35C3"/>
  </w:style>
  <w:style w:type="character" w:customStyle="1" w:styleId="NichtaufgelsteErwhnung2">
    <w:name w:val="Nicht aufgelöste Erwähnung2"/>
    <w:basedOn w:val="Absatz-Standardschriftart"/>
    <w:uiPriority w:val="99"/>
    <w:semiHidden/>
    <w:unhideWhenUsed/>
    <w:rsid w:val="002F27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04288">
      <w:bodyDiv w:val="1"/>
      <w:marLeft w:val="0"/>
      <w:marRight w:val="0"/>
      <w:marTop w:val="0"/>
      <w:marBottom w:val="0"/>
      <w:divBdr>
        <w:top w:val="none" w:sz="0" w:space="0" w:color="auto"/>
        <w:left w:val="none" w:sz="0" w:space="0" w:color="auto"/>
        <w:bottom w:val="none" w:sz="0" w:space="0" w:color="auto"/>
        <w:right w:val="none" w:sz="0" w:space="0" w:color="auto"/>
      </w:divBdr>
      <w:divsChild>
        <w:div w:id="834567710">
          <w:marLeft w:val="0"/>
          <w:marRight w:val="0"/>
          <w:marTop w:val="0"/>
          <w:marBottom w:val="0"/>
          <w:divBdr>
            <w:top w:val="none" w:sz="0" w:space="0" w:color="auto"/>
            <w:left w:val="none" w:sz="0" w:space="0" w:color="auto"/>
            <w:bottom w:val="none" w:sz="0" w:space="0" w:color="auto"/>
            <w:right w:val="none" w:sz="0" w:space="0" w:color="auto"/>
          </w:divBdr>
          <w:divsChild>
            <w:div w:id="298386367">
              <w:marLeft w:val="0"/>
              <w:marRight w:val="0"/>
              <w:marTop w:val="0"/>
              <w:marBottom w:val="0"/>
              <w:divBdr>
                <w:top w:val="none" w:sz="0" w:space="0" w:color="auto"/>
                <w:left w:val="none" w:sz="0" w:space="0" w:color="auto"/>
                <w:bottom w:val="none" w:sz="0" w:space="0" w:color="auto"/>
                <w:right w:val="none" w:sz="0" w:space="0" w:color="auto"/>
              </w:divBdr>
              <w:divsChild>
                <w:div w:id="1345936531">
                  <w:marLeft w:val="0"/>
                  <w:marRight w:val="0"/>
                  <w:marTop w:val="0"/>
                  <w:marBottom w:val="0"/>
                  <w:divBdr>
                    <w:top w:val="none" w:sz="0" w:space="0" w:color="auto"/>
                    <w:left w:val="none" w:sz="0" w:space="0" w:color="auto"/>
                    <w:bottom w:val="none" w:sz="0" w:space="0" w:color="auto"/>
                    <w:right w:val="none" w:sz="0" w:space="0" w:color="auto"/>
                  </w:divBdr>
                  <w:divsChild>
                    <w:div w:id="42311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06185">
      <w:bodyDiv w:val="1"/>
      <w:marLeft w:val="0"/>
      <w:marRight w:val="0"/>
      <w:marTop w:val="0"/>
      <w:marBottom w:val="0"/>
      <w:divBdr>
        <w:top w:val="none" w:sz="0" w:space="0" w:color="auto"/>
        <w:left w:val="none" w:sz="0" w:space="0" w:color="auto"/>
        <w:bottom w:val="none" w:sz="0" w:space="0" w:color="auto"/>
        <w:right w:val="none" w:sz="0" w:space="0" w:color="auto"/>
      </w:divBdr>
    </w:div>
    <w:div w:id="159852978">
      <w:bodyDiv w:val="1"/>
      <w:marLeft w:val="0"/>
      <w:marRight w:val="0"/>
      <w:marTop w:val="0"/>
      <w:marBottom w:val="0"/>
      <w:divBdr>
        <w:top w:val="none" w:sz="0" w:space="0" w:color="auto"/>
        <w:left w:val="none" w:sz="0" w:space="0" w:color="auto"/>
        <w:bottom w:val="none" w:sz="0" w:space="0" w:color="auto"/>
        <w:right w:val="none" w:sz="0" w:space="0" w:color="auto"/>
      </w:divBdr>
    </w:div>
    <w:div w:id="163400953">
      <w:bodyDiv w:val="1"/>
      <w:marLeft w:val="0"/>
      <w:marRight w:val="0"/>
      <w:marTop w:val="0"/>
      <w:marBottom w:val="0"/>
      <w:divBdr>
        <w:top w:val="none" w:sz="0" w:space="0" w:color="auto"/>
        <w:left w:val="none" w:sz="0" w:space="0" w:color="auto"/>
        <w:bottom w:val="none" w:sz="0" w:space="0" w:color="auto"/>
        <w:right w:val="none" w:sz="0" w:space="0" w:color="auto"/>
      </w:divBdr>
      <w:divsChild>
        <w:div w:id="426390652">
          <w:marLeft w:val="0"/>
          <w:marRight w:val="0"/>
          <w:marTop w:val="0"/>
          <w:marBottom w:val="0"/>
          <w:divBdr>
            <w:top w:val="none" w:sz="0" w:space="0" w:color="auto"/>
            <w:left w:val="none" w:sz="0" w:space="0" w:color="auto"/>
            <w:bottom w:val="none" w:sz="0" w:space="0" w:color="auto"/>
            <w:right w:val="none" w:sz="0" w:space="0" w:color="auto"/>
          </w:divBdr>
          <w:divsChild>
            <w:div w:id="1544824749">
              <w:marLeft w:val="0"/>
              <w:marRight w:val="0"/>
              <w:marTop w:val="0"/>
              <w:marBottom w:val="0"/>
              <w:divBdr>
                <w:top w:val="none" w:sz="0" w:space="0" w:color="auto"/>
                <w:left w:val="none" w:sz="0" w:space="0" w:color="auto"/>
                <w:bottom w:val="none" w:sz="0" w:space="0" w:color="auto"/>
                <w:right w:val="none" w:sz="0" w:space="0" w:color="auto"/>
              </w:divBdr>
              <w:divsChild>
                <w:div w:id="131001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32874">
      <w:bodyDiv w:val="1"/>
      <w:marLeft w:val="0"/>
      <w:marRight w:val="0"/>
      <w:marTop w:val="0"/>
      <w:marBottom w:val="0"/>
      <w:divBdr>
        <w:top w:val="none" w:sz="0" w:space="0" w:color="auto"/>
        <w:left w:val="none" w:sz="0" w:space="0" w:color="auto"/>
        <w:bottom w:val="none" w:sz="0" w:space="0" w:color="auto"/>
        <w:right w:val="none" w:sz="0" w:space="0" w:color="auto"/>
      </w:divBdr>
      <w:divsChild>
        <w:div w:id="290013626">
          <w:marLeft w:val="0"/>
          <w:marRight w:val="0"/>
          <w:marTop w:val="0"/>
          <w:marBottom w:val="0"/>
          <w:divBdr>
            <w:top w:val="none" w:sz="0" w:space="0" w:color="auto"/>
            <w:left w:val="none" w:sz="0" w:space="0" w:color="auto"/>
            <w:bottom w:val="none" w:sz="0" w:space="0" w:color="auto"/>
            <w:right w:val="none" w:sz="0" w:space="0" w:color="auto"/>
          </w:divBdr>
          <w:divsChild>
            <w:div w:id="604114161">
              <w:marLeft w:val="0"/>
              <w:marRight w:val="0"/>
              <w:marTop w:val="0"/>
              <w:marBottom w:val="0"/>
              <w:divBdr>
                <w:top w:val="none" w:sz="0" w:space="0" w:color="auto"/>
                <w:left w:val="none" w:sz="0" w:space="0" w:color="auto"/>
                <w:bottom w:val="none" w:sz="0" w:space="0" w:color="auto"/>
                <w:right w:val="none" w:sz="0" w:space="0" w:color="auto"/>
              </w:divBdr>
              <w:divsChild>
                <w:div w:id="92199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255217">
      <w:bodyDiv w:val="1"/>
      <w:marLeft w:val="0"/>
      <w:marRight w:val="0"/>
      <w:marTop w:val="0"/>
      <w:marBottom w:val="0"/>
      <w:divBdr>
        <w:top w:val="none" w:sz="0" w:space="0" w:color="auto"/>
        <w:left w:val="none" w:sz="0" w:space="0" w:color="auto"/>
        <w:bottom w:val="none" w:sz="0" w:space="0" w:color="auto"/>
        <w:right w:val="none" w:sz="0" w:space="0" w:color="auto"/>
      </w:divBdr>
    </w:div>
    <w:div w:id="499271459">
      <w:bodyDiv w:val="1"/>
      <w:marLeft w:val="0"/>
      <w:marRight w:val="0"/>
      <w:marTop w:val="0"/>
      <w:marBottom w:val="0"/>
      <w:divBdr>
        <w:top w:val="none" w:sz="0" w:space="0" w:color="auto"/>
        <w:left w:val="none" w:sz="0" w:space="0" w:color="auto"/>
        <w:bottom w:val="none" w:sz="0" w:space="0" w:color="auto"/>
        <w:right w:val="none" w:sz="0" w:space="0" w:color="auto"/>
      </w:divBdr>
    </w:div>
    <w:div w:id="610434221">
      <w:bodyDiv w:val="1"/>
      <w:marLeft w:val="0"/>
      <w:marRight w:val="0"/>
      <w:marTop w:val="0"/>
      <w:marBottom w:val="0"/>
      <w:divBdr>
        <w:top w:val="none" w:sz="0" w:space="0" w:color="auto"/>
        <w:left w:val="none" w:sz="0" w:space="0" w:color="auto"/>
        <w:bottom w:val="none" w:sz="0" w:space="0" w:color="auto"/>
        <w:right w:val="none" w:sz="0" w:space="0" w:color="auto"/>
      </w:divBdr>
    </w:div>
    <w:div w:id="735787299">
      <w:bodyDiv w:val="1"/>
      <w:marLeft w:val="0"/>
      <w:marRight w:val="0"/>
      <w:marTop w:val="0"/>
      <w:marBottom w:val="0"/>
      <w:divBdr>
        <w:top w:val="none" w:sz="0" w:space="0" w:color="auto"/>
        <w:left w:val="none" w:sz="0" w:space="0" w:color="auto"/>
        <w:bottom w:val="none" w:sz="0" w:space="0" w:color="auto"/>
        <w:right w:val="none" w:sz="0" w:space="0" w:color="auto"/>
      </w:divBdr>
      <w:divsChild>
        <w:div w:id="462191796">
          <w:marLeft w:val="0"/>
          <w:marRight w:val="0"/>
          <w:marTop w:val="0"/>
          <w:marBottom w:val="0"/>
          <w:divBdr>
            <w:top w:val="none" w:sz="0" w:space="0" w:color="auto"/>
            <w:left w:val="none" w:sz="0" w:space="0" w:color="auto"/>
            <w:bottom w:val="none" w:sz="0" w:space="0" w:color="auto"/>
            <w:right w:val="none" w:sz="0" w:space="0" w:color="auto"/>
          </w:divBdr>
          <w:divsChild>
            <w:div w:id="2104761103">
              <w:marLeft w:val="0"/>
              <w:marRight w:val="0"/>
              <w:marTop w:val="0"/>
              <w:marBottom w:val="0"/>
              <w:divBdr>
                <w:top w:val="none" w:sz="0" w:space="0" w:color="auto"/>
                <w:left w:val="none" w:sz="0" w:space="0" w:color="auto"/>
                <w:bottom w:val="none" w:sz="0" w:space="0" w:color="auto"/>
                <w:right w:val="none" w:sz="0" w:space="0" w:color="auto"/>
              </w:divBdr>
              <w:divsChild>
                <w:div w:id="133071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979733">
      <w:bodyDiv w:val="1"/>
      <w:marLeft w:val="0"/>
      <w:marRight w:val="0"/>
      <w:marTop w:val="0"/>
      <w:marBottom w:val="0"/>
      <w:divBdr>
        <w:top w:val="none" w:sz="0" w:space="0" w:color="auto"/>
        <w:left w:val="none" w:sz="0" w:space="0" w:color="auto"/>
        <w:bottom w:val="none" w:sz="0" w:space="0" w:color="auto"/>
        <w:right w:val="none" w:sz="0" w:space="0" w:color="auto"/>
      </w:divBdr>
    </w:div>
    <w:div w:id="745304734">
      <w:bodyDiv w:val="1"/>
      <w:marLeft w:val="0"/>
      <w:marRight w:val="0"/>
      <w:marTop w:val="0"/>
      <w:marBottom w:val="0"/>
      <w:divBdr>
        <w:top w:val="none" w:sz="0" w:space="0" w:color="auto"/>
        <w:left w:val="none" w:sz="0" w:space="0" w:color="auto"/>
        <w:bottom w:val="none" w:sz="0" w:space="0" w:color="auto"/>
        <w:right w:val="none" w:sz="0" w:space="0" w:color="auto"/>
      </w:divBdr>
    </w:div>
    <w:div w:id="794445008">
      <w:bodyDiv w:val="1"/>
      <w:marLeft w:val="0"/>
      <w:marRight w:val="0"/>
      <w:marTop w:val="0"/>
      <w:marBottom w:val="0"/>
      <w:divBdr>
        <w:top w:val="none" w:sz="0" w:space="0" w:color="auto"/>
        <w:left w:val="none" w:sz="0" w:space="0" w:color="auto"/>
        <w:bottom w:val="none" w:sz="0" w:space="0" w:color="auto"/>
        <w:right w:val="none" w:sz="0" w:space="0" w:color="auto"/>
      </w:divBdr>
      <w:divsChild>
        <w:div w:id="1436096738">
          <w:marLeft w:val="0"/>
          <w:marRight w:val="0"/>
          <w:marTop w:val="0"/>
          <w:marBottom w:val="0"/>
          <w:divBdr>
            <w:top w:val="none" w:sz="0" w:space="0" w:color="auto"/>
            <w:left w:val="none" w:sz="0" w:space="0" w:color="auto"/>
            <w:bottom w:val="none" w:sz="0" w:space="0" w:color="auto"/>
            <w:right w:val="none" w:sz="0" w:space="0" w:color="auto"/>
          </w:divBdr>
          <w:divsChild>
            <w:div w:id="198857623">
              <w:marLeft w:val="0"/>
              <w:marRight w:val="0"/>
              <w:marTop w:val="0"/>
              <w:marBottom w:val="0"/>
              <w:divBdr>
                <w:top w:val="none" w:sz="0" w:space="0" w:color="auto"/>
                <w:left w:val="none" w:sz="0" w:space="0" w:color="auto"/>
                <w:bottom w:val="none" w:sz="0" w:space="0" w:color="auto"/>
                <w:right w:val="none" w:sz="0" w:space="0" w:color="auto"/>
              </w:divBdr>
              <w:divsChild>
                <w:div w:id="1565140084">
                  <w:marLeft w:val="0"/>
                  <w:marRight w:val="0"/>
                  <w:marTop w:val="0"/>
                  <w:marBottom w:val="0"/>
                  <w:divBdr>
                    <w:top w:val="none" w:sz="0" w:space="0" w:color="auto"/>
                    <w:left w:val="none" w:sz="0" w:space="0" w:color="auto"/>
                    <w:bottom w:val="none" w:sz="0" w:space="0" w:color="auto"/>
                    <w:right w:val="none" w:sz="0" w:space="0" w:color="auto"/>
                  </w:divBdr>
                  <w:divsChild>
                    <w:div w:id="120050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826298">
      <w:bodyDiv w:val="1"/>
      <w:marLeft w:val="0"/>
      <w:marRight w:val="0"/>
      <w:marTop w:val="0"/>
      <w:marBottom w:val="0"/>
      <w:divBdr>
        <w:top w:val="none" w:sz="0" w:space="0" w:color="auto"/>
        <w:left w:val="none" w:sz="0" w:space="0" w:color="auto"/>
        <w:bottom w:val="none" w:sz="0" w:space="0" w:color="auto"/>
        <w:right w:val="none" w:sz="0" w:space="0" w:color="auto"/>
      </w:divBdr>
      <w:divsChild>
        <w:div w:id="845094969">
          <w:marLeft w:val="0"/>
          <w:marRight w:val="0"/>
          <w:marTop w:val="0"/>
          <w:marBottom w:val="0"/>
          <w:divBdr>
            <w:top w:val="none" w:sz="0" w:space="0" w:color="auto"/>
            <w:left w:val="none" w:sz="0" w:space="0" w:color="auto"/>
            <w:bottom w:val="none" w:sz="0" w:space="0" w:color="auto"/>
            <w:right w:val="none" w:sz="0" w:space="0" w:color="auto"/>
          </w:divBdr>
          <w:divsChild>
            <w:div w:id="1307273024">
              <w:marLeft w:val="0"/>
              <w:marRight w:val="0"/>
              <w:marTop w:val="0"/>
              <w:marBottom w:val="0"/>
              <w:divBdr>
                <w:top w:val="none" w:sz="0" w:space="0" w:color="auto"/>
                <w:left w:val="none" w:sz="0" w:space="0" w:color="auto"/>
                <w:bottom w:val="none" w:sz="0" w:space="0" w:color="auto"/>
                <w:right w:val="none" w:sz="0" w:space="0" w:color="auto"/>
              </w:divBdr>
              <w:divsChild>
                <w:div w:id="191366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063295">
      <w:bodyDiv w:val="1"/>
      <w:marLeft w:val="0"/>
      <w:marRight w:val="0"/>
      <w:marTop w:val="0"/>
      <w:marBottom w:val="0"/>
      <w:divBdr>
        <w:top w:val="none" w:sz="0" w:space="0" w:color="auto"/>
        <w:left w:val="none" w:sz="0" w:space="0" w:color="auto"/>
        <w:bottom w:val="none" w:sz="0" w:space="0" w:color="auto"/>
        <w:right w:val="none" w:sz="0" w:space="0" w:color="auto"/>
      </w:divBdr>
      <w:divsChild>
        <w:div w:id="1092628118">
          <w:marLeft w:val="0"/>
          <w:marRight w:val="0"/>
          <w:marTop w:val="0"/>
          <w:marBottom w:val="0"/>
          <w:divBdr>
            <w:top w:val="none" w:sz="0" w:space="0" w:color="auto"/>
            <w:left w:val="none" w:sz="0" w:space="0" w:color="auto"/>
            <w:bottom w:val="none" w:sz="0" w:space="0" w:color="auto"/>
            <w:right w:val="none" w:sz="0" w:space="0" w:color="auto"/>
          </w:divBdr>
          <w:divsChild>
            <w:div w:id="1212577382">
              <w:marLeft w:val="0"/>
              <w:marRight w:val="0"/>
              <w:marTop w:val="0"/>
              <w:marBottom w:val="0"/>
              <w:divBdr>
                <w:top w:val="none" w:sz="0" w:space="0" w:color="auto"/>
                <w:left w:val="none" w:sz="0" w:space="0" w:color="auto"/>
                <w:bottom w:val="none" w:sz="0" w:space="0" w:color="auto"/>
                <w:right w:val="none" w:sz="0" w:space="0" w:color="auto"/>
              </w:divBdr>
              <w:divsChild>
                <w:div w:id="150354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506056">
      <w:bodyDiv w:val="1"/>
      <w:marLeft w:val="0"/>
      <w:marRight w:val="0"/>
      <w:marTop w:val="0"/>
      <w:marBottom w:val="0"/>
      <w:divBdr>
        <w:top w:val="none" w:sz="0" w:space="0" w:color="auto"/>
        <w:left w:val="none" w:sz="0" w:space="0" w:color="auto"/>
        <w:bottom w:val="none" w:sz="0" w:space="0" w:color="auto"/>
        <w:right w:val="none" w:sz="0" w:space="0" w:color="auto"/>
      </w:divBdr>
    </w:div>
    <w:div w:id="985822977">
      <w:bodyDiv w:val="1"/>
      <w:marLeft w:val="0"/>
      <w:marRight w:val="0"/>
      <w:marTop w:val="0"/>
      <w:marBottom w:val="0"/>
      <w:divBdr>
        <w:top w:val="none" w:sz="0" w:space="0" w:color="auto"/>
        <w:left w:val="none" w:sz="0" w:space="0" w:color="auto"/>
        <w:bottom w:val="none" w:sz="0" w:space="0" w:color="auto"/>
        <w:right w:val="none" w:sz="0" w:space="0" w:color="auto"/>
      </w:divBdr>
    </w:div>
    <w:div w:id="1150288696">
      <w:bodyDiv w:val="1"/>
      <w:marLeft w:val="0"/>
      <w:marRight w:val="0"/>
      <w:marTop w:val="0"/>
      <w:marBottom w:val="0"/>
      <w:divBdr>
        <w:top w:val="none" w:sz="0" w:space="0" w:color="auto"/>
        <w:left w:val="none" w:sz="0" w:space="0" w:color="auto"/>
        <w:bottom w:val="none" w:sz="0" w:space="0" w:color="auto"/>
        <w:right w:val="none" w:sz="0" w:space="0" w:color="auto"/>
      </w:divBdr>
    </w:div>
    <w:div w:id="1214004870">
      <w:bodyDiv w:val="1"/>
      <w:marLeft w:val="0"/>
      <w:marRight w:val="0"/>
      <w:marTop w:val="0"/>
      <w:marBottom w:val="0"/>
      <w:divBdr>
        <w:top w:val="none" w:sz="0" w:space="0" w:color="auto"/>
        <w:left w:val="none" w:sz="0" w:space="0" w:color="auto"/>
        <w:bottom w:val="none" w:sz="0" w:space="0" w:color="auto"/>
        <w:right w:val="none" w:sz="0" w:space="0" w:color="auto"/>
      </w:divBdr>
      <w:divsChild>
        <w:div w:id="946891131">
          <w:marLeft w:val="0"/>
          <w:marRight w:val="0"/>
          <w:marTop w:val="0"/>
          <w:marBottom w:val="0"/>
          <w:divBdr>
            <w:top w:val="none" w:sz="0" w:space="0" w:color="auto"/>
            <w:left w:val="none" w:sz="0" w:space="0" w:color="auto"/>
            <w:bottom w:val="none" w:sz="0" w:space="0" w:color="auto"/>
            <w:right w:val="none" w:sz="0" w:space="0" w:color="auto"/>
          </w:divBdr>
          <w:divsChild>
            <w:div w:id="520507352">
              <w:marLeft w:val="0"/>
              <w:marRight w:val="0"/>
              <w:marTop w:val="0"/>
              <w:marBottom w:val="0"/>
              <w:divBdr>
                <w:top w:val="none" w:sz="0" w:space="0" w:color="auto"/>
                <w:left w:val="none" w:sz="0" w:space="0" w:color="auto"/>
                <w:bottom w:val="none" w:sz="0" w:space="0" w:color="auto"/>
                <w:right w:val="none" w:sz="0" w:space="0" w:color="auto"/>
              </w:divBdr>
              <w:divsChild>
                <w:div w:id="54699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258179">
      <w:bodyDiv w:val="1"/>
      <w:marLeft w:val="0"/>
      <w:marRight w:val="0"/>
      <w:marTop w:val="0"/>
      <w:marBottom w:val="0"/>
      <w:divBdr>
        <w:top w:val="none" w:sz="0" w:space="0" w:color="auto"/>
        <w:left w:val="none" w:sz="0" w:space="0" w:color="auto"/>
        <w:bottom w:val="none" w:sz="0" w:space="0" w:color="auto"/>
        <w:right w:val="none" w:sz="0" w:space="0" w:color="auto"/>
      </w:divBdr>
    </w:div>
    <w:div w:id="1338387475">
      <w:bodyDiv w:val="1"/>
      <w:marLeft w:val="0"/>
      <w:marRight w:val="0"/>
      <w:marTop w:val="0"/>
      <w:marBottom w:val="0"/>
      <w:divBdr>
        <w:top w:val="none" w:sz="0" w:space="0" w:color="auto"/>
        <w:left w:val="none" w:sz="0" w:space="0" w:color="auto"/>
        <w:bottom w:val="none" w:sz="0" w:space="0" w:color="auto"/>
        <w:right w:val="none" w:sz="0" w:space="0" w:color="auto"/>
      </w:divBdr>
      <w:divsChild>
        <w:div w:id="11032254">
          <w:marLeft w:val="0"/>
          <w:marRight w:val="0"/>
          <w:marTop w:val="0"/>
          <w:marBottom w:val="0"/>
          <w:divBdr>
            <w:top w:val="none" w:sz="0" w:space="0" w:color="auto"/>
            <w:left w:val="none" w:sz="0" w:space="0" w:color="auto"/>
            <w:bottom w:val="none" w:sz="0" w:space="0" w:color="auto"/>
            <w:right w:val="none" w:sz="0" w:space="0" w:color="auto"/>
          </w:divBdr>
          <w:divsChild>
            <w:div w:id="328873731">
              <w:marLeft w:val="0"/>
              <w:marRight w:val="0"/>
              <w:marTop w:val="0"/>
              <w:marBottom w:val="0"/>
              <w:divBdr>
                <w:top w:val="none" w:sz="0" w:space="0" w:color="auto"/>
                <w:left w:val="none" w:sz="0" w:space="0" w:color="auto"/>
                <w:bottom w:val="none" w:sz="0" w:space="0" w:color="auto"/>
                <w:right w:val="none" w:sz="0" w:space="0" w:color="auto"/>
              </w:divBdr>
              <w:divsChild>
                <w:div w:id="143553258">
                  <w:marLeft w:val="0"/>
                  <w:marRight w:val="0"/>
                  <w:marTop w:val="0"/>
                  <w:marBottom w:val="0"/>
                  <w:divBdr>
                    <w:top w:val="none" w:sz="0" w:space="0" w:color="auto"/>
                    <w:left w:val="none" w:sz="0" w:space="0" w:color="auto"/>
                    <w:bottom w:val="none" w:sz="0" w:space="0" w:color="auto"/>
                    <w:right w:val="none" w:sz="0" w:space="0" w:color="auto"/>
                  </w:divBdr>
                  <w:divsChild>
                    <w:div w:id="188686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241457">
      <w:bodyDiv w:val="1"/>
      <w:marLeft w:val="0"/>
      <w:marRight w:val="0"/>
      <w:marTop w:val="0"/>
      <w:marBottom w:val="0"/>
      <w:divBdr>
        <w:top w:val="none" w:sz="0" w:space="0" w:color="auto"/>
        <w:left w:val="none" w:sz="0" w:space="0" w:color="auto"/>
        <w:bottom w:val="none" w:sz="0" w:space="0" w:color="auto"/>
        <w:right w:val="none" w:sz="0" w:space="0" w:color="auto"/>
      </w:divBdr>
    </w:div>
    <w:div w:id="1409695641">
      <w:bodyDiv w:val="1"/>
      <w:marLeft w:val="0"/>
      <w:marRight w:val="0"/>
      <w:marTop w:val="0"/>
      <w:marBottom w:val="0"/>
      <w:divBdr>
        <w:top w:val="none" w:sz="0" w:space="0" w:color="auto"/>
        <w:left w:val="none" w:sz="0" w:space="0" w:color="auto"/>
        <w:bottom w:val="none" w:sz="0" w:space="0" w:color="auto"/>
        <w:right w:val="none" w:sz="0" w:space="0" w:color="auto"/>
      </w:divBdr>
      <w:divsChild>
        <w:div w:id="253365011">
          <w:marLeft w:val="0"/>
          <w:marRight w:val="0"/>
          <w:marTop w:val="0"/>
          <w:marBottom w:val="0"/>
          <w:divBdr>
            <w:top w:val="none" w:sz="0" w:space="0" w:color="auto"/>
            <w:left w:val="none" w:sz="0" w:space="0" w:color="auto"/>
            <w:bottom w:val="none" w:sz="0" w:space="0" w:color="auto"/>
            <w:right w:val="none" w:sz="0" w:space="0" w:color="auto"/>
          </w:divBdr>
          <w:divsChild>
            <w:div w:id="1979994078">
              <w:marLeft w:val="0"/>
              <w:marRight w:val="0"/>
              <w:marTop w:val="0"/>
              <w:marBottom w:val="0"/>
              <w:divBdr>
                <w:top w:val="none" w:sz="0" w:space="0" w:color="auto"/>
                <w:left w:val="none" w:sz="0" w:space="0" w:color="auto"/>
                <w:bottom w:val="none" w:sz="0" w:space="0" w:color="auto"/>
                <w:right w:val="none" w:sz="0" w:space="0" w:color="auto"/>
              </w:divBdr>
              <w:divsChild>
                <w:div w:id="131302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225717">
      <w:bodyDiv w:val="1"/>
      <w:marLeft w:val="0"/>
      <w:marRight w:val="0"/>
      <w:marTop w:val="0"/>
      <w:marBottom w:val="0"/>
      <w:divBdr>
        <w:top w:val="none" w:sz="0" w:space="0" w:color="auto"/>
        <w:left w:val="none" w:sz="0" w:space="0" w:color="auto"/>
        <w:bottom w:val="none" w:sz="0" w:space="0" w:color="auto"/>
        <w:right w:val="none" w:sz="0" w:space="0" w:color="auto"/>
      </w:divBdr>
    </w:div>
    <w:div w:id="1967200358">
      <w:bodyDiv w:val="1"/>
      <w:marLeft w:val="0"/>
      <w:marRight w:val="0"/>
      <w:marTop w:val="0"/>
      <w:marBottom w:val="0"/>
      <w:divBdr>
        <w:top w:val="none" w:sz="0" w:space="0" w:color="auto"/>
        <w:left w:val="none" w:sz="0" w:space="0" w:color="auto"/>
        <w:bottom w:val="none" w:sz="0" w:space="0" w:color="auto"/>
        <w:right w:val="none" w:sz="0" w:space="0" w:color="auto"/>
      </w:divBdr>
    </w:div>
    <w:div w:id="1980836974">
      <w:bodyDiv w:val="1"/>
      <w:marLeft w:val="0"/>
      <w:marRight w:val="0"/>
      <w:marTop w:val="0"/>
      <w:marBottom w:val="0"/>
      <w:divBdr>
        <w:top w:val="none" w:sz="0" w:space="0" w:color="auto"/>
        <w:left w:val="none" w:sz="0" w:space="0" w:color="auto"/>
        <w:bottom w:val="none" w:sz="0" w:space="0" w:color="auto"/>
        <w:right w:val="none" w:sz="0" w:space="0" w:color="auto"/>
      </w:divBdr>
      <w:divsChild>
        <w:div w:id="563758495">
          <w:marLeft w:val="0"/>
          <w:marRight w:val="0"/>
          <w:marTop w:val="0"/>
          <w:marBottom w:val="0"/>
          <w:divBdr>
            <w:top w:val="none" w:sz="0" w:space="0" w:color="auto"/>
            <w:left w:val="none" w:sz="0" w:space="0" w:color="auto"/>
            <w:bottom w:val="none" w:sz="0" w:space="0" w:color="auto"/>
            <w:right w:val="none" w:sz="0" w:space="0" w:color="auto"/>
          </w:divBdr>
          <w:divsChild>
            <w:div w:id="465125812">
              <w:marLeft w:val="0"/>
              <w:marRight w:val="0"/>
              <w:marTop w:val="0"/>
              <w:marBottom w:val="0"/>
              <w:divBdr>
                <w:top w:val="none" w:sz="0" w:space="0" w:color="auto"/>
                <w:left w:val="none" w:sz="0" w:space="0" w:color="auto"/>
                <w:bottom w:val="none" w:sz="0" w:space="0" w:color="auto"/>
                <w:right w:val="none" w:sz="0" w:space="0" w:color="auto"/>
              </w:divBdr>
              <w:divsChild>
                <w:div w:id="41794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988339">
      <w:bodyDiv w:val="1"/>
      <w:marLeft w:val="0"/>
      <w:marRight w:val="0"/>
      <w:marTop w:val="0"/>
      <w:marBottom w:val="0"/>
      <w:divBdr>
        <w:top w:val="none" w:sz="0" w:space="0" w:color="auto"/>
        <w:left w:val="none" w:sz="0" w:space="0" w:color="auto"/>
        <w:bottom w:val="none" w:sz="0" w:space="0" w:color="auto"/>
        <w:right w:val="none" w:sz="0" w:space="0" w:color="auto"/>
      </w:divBdr>
      <w:divsChild>
        <w:div w:id="350571859">
          <w:marLeft w:val="0"/>
          <w:marRight w:val="0"/>
          <w:marTop w:val="0"/>
          <w:marBottom w:val="0"/>
          <w:divBdr>
            <w:top w:val="none" w:sz="0" w:space="0" w:color="auto"/>
            <w:left w:val="none" w:sz="0" w:space="0" w:color="auto"/>
            <w:bottom w:val="none" w:sz="0" w:space="0" w:color="auto"/>
            <w:right w:val="none" w:sz="0" w:space="0" w:color="auto"/>
          </w:divBdr>
          <w:divsChild>
            <w:div w:id="1128470977">
              <w:marLeft w:val="0"/>
              <w:marRight w:val="0"/>
              <w:marTop w:val="0"/>
              <w:marBottom w:val="0"/>
              <w:divBdr>
                <w:top w:val="none" w:sz="0" w:space="0" w:color="auto"/>
                <w:left w:val="none" w:sz="0" w:space="0" w:color="auto"/>
                <w:bottom w:val="none" w:sz="0" w:space="0" w:color="auto"/>
                <w:right w:val="none" w:sz="0" w:space="0" w:color="auto"/>
              </w:divBdr>
              <w:divsChild>
                <w:div w:id="206078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818648">
      <w:bodyDiv w:val="1"/>
      <w:marLeft w:val="0"/>
      <w:marRight w:val="0"/>
      <w:marTop w:val="0"/>
      <w:marBottom w:val="0"/>
      <w:divBdr>
        <w:top w:val="none" w:sz="0" w:space="0" w:color="auto"/>
        <w:left w:val="none" w:sz="0" w:space="0" w:color="auto"/>
        <w:bottom w:val="none" w:sz="0" w:space="0" w:color="auto"/>
        <w:right w:val="none" w:sz="0" w:space="0" w:color="auto"/>
      </w:divBdr>
      <w:divsChild>
        <w:div w:id="1246302709">
          <w:marLeft w:val="0"/>
          <w:marRight w:val="0"/>
          <w:marTop w:val="0"/>
          <w:marBottom w:val="0"/>
          <w:divBdr>
            <w:top w:val="none" w:sz="0" w:space="0" w:color="auto"/>
            <w:left w:val="none" w:sz="0" w:space="0" w:color="auto"/>
            <w:bottom w:val="none" w:sz="0" w:space="0" w:color="auto"/>
            <w:right w:val="none" w:sz="0" w:space="0" w:color="auto"/>
          </w:divBdr>
          <w:divsChild>
            <w:div w:id="1925723959">
              <w:marLeft w:val="0"/>
              <w:marRight w:val="0"/>
              <w:marTop w:val="0"/>
              <w:marBottom w:val="0"/>
              <w:divBdr>
                <w:top w:val="none" w:sz="0" w:space="0" w:color="auto"/>
                <w:left w:val="none" w:sz="0" w:space="0" w:color="auto"/>
                <w:bottom w:val="none" w:sz="0" w:space="0" w:color="auto"/>
                <w:right w:val="none" w:sz="0" w:space="0" w:color="auto"/>
              </w:divBdr>
              <w:divsChild>
                <w:div w:id="1671785826">
                  <w:marLeft w:val="0"/>
                  <w:marRight w:val="0"/>
                  <w:marTop w:val="0"/>
                  <w:marBottom w:val="0"/>
                  <w:divBdr>
                    <w:top w:val="none" w:sz="0" w:space="0" w:color="auto"/>
                    <w:left w:val="none" w:sz="0" w:space="0" w:color="auto"/>
                    <w:bottom w:val="none" w:sz="0" w:space="0" w:color="auto"/>
                    <w:right w:val="none" w:sz="0" w:space="0" w:color="auto"/>
                  </w:divBdr>
                  <w:divsChild>
                    <w:div w:id="211736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648492">
      <w:bodyDiv w:val="1"/>
      <w:marLeft w:val="0"/>
      <w:marRight w:val="0"/>
      <w:marTop w:val="0"/>
      <w:marBottom w:val="0"/>
      <w:divBdr>
        <w:top w:val="none" w:sz="0" w:space="0" w:color="auto"/>
        <w:left w:val="none" w:sz="0" w:space="0" w:color="auto"/>
        <w:bottom w:val="none" w:sz="0" w:space="0" w:color="auto"/>
        <w:right w:val="none" w:sz="0" w:space="0" w:color="auto"/>
      </w:divBdr>
    </w:div>
    <w:div w:id="2133012407">
      <w:bodyDiv w:val="1"/>
      <w:marLeft w:val="0"/>
      <w:marRight w:val="0"/>
      <w:marTop w:val="0"/>
      <w:marBottom w:val="0"/>
      <w:divBdr>
        <w:top w:val="none" w:sz="0" w:space="0" w:color="auto"/>
        <w:left w:val="none" w:sz="0" w:space="0" w:color="auto"/>
        <w:bottom w:val="none" w:sz="0" w:space="0" w:color="auto"/>
        <w:right w:val="none" w:sz="0" w:space="0" w:color="auto"/>
      </w:divBdr>
      <w:divsChild>
        <w:div w:id="1444610218">
          <w:marLeft w:val="0"/>
          <w:marRight w:val="0"/>
          <w:marTop w:val="0"/>
          <w:marBottom w:val="0"/>
          <w:divBdr>
            <w:top w:val="none" w:sz="0" w:space="0" w:color="auto"/>
            <w:left w:val="none" w:sz="0" w:space="0" w:color="auto"/>
            <w:bottom w:val="none" w:sz="0" w:space="0" w:color="auto"/>
            <w:right w:val="none" w:sz="0" w:space="0" w:color="auto"/>
          </w:divBdr>
          <w:divsChild>
            <w:div w:id="400445431">
              <w:marLeft w:val="0"/>
              <w:marRight w:val="0"/>
              <w:marTop w:val="0"/>
              <w:marBottom w:val="0"/>
              <w:divBdr>
                <w:top w:val="none" w:sz="0" w:space="0" w:color="auto"/>
                <w:left w:val="none" w:sz="0" w:space="0" w:color="auto"/>
                <w:bottom w:val="none" w:sz="0" w:space="0" w:color="auto"/>
                <w:right w:val="none" w:sz="0" w:space="0" w:color="auto"/>
              </w:divBdr>
              <w:divsChild>
                <w:div w:id="95309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image" Target="media/image10.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jp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B2C27-170D-46D5-8767-113B8F16F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1114</Words>
  <Characters>7023</Characters>
  <Application>Microsoft Office Word</Application>
  <DocSecurity>0</DocSecurity>
  <Lines>58</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Office-Benutzer</dc:creator>
  <cp:lastModifiedBy>Tommy Regen</cp:lastModifiedBy>
  <cp:revision>2</cp:revision>
  <cp:lastPrinted>2020-01-08T10:46:00Z</cp:lastPrinted>
  <dcterms:created xsi:type="dcterms:W3CDTF">2020-07-06T16:33:00Z</dcterms:created>
  <dcterms:modified xsi:type="dcterms:W3CDTF">2020-07-06T16:33:00Z</dcterms:modified>
</cp:coreProperties>
</file>