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36D" w:rsidRPr="00D65BEF" w:rsidRDefault="0062036D" w:rsidP="0062036D">
      <w:pPr>
        <w:rPr>
          <w:rFonts w:cs="Calibri"/>
          <w:b/>
        </w:rPr>
      </w:pPr>
      <w:r w:rsidRPr="00D65BEF">
        <w:rPr>
          <w:rFonts w:cs="Calibri"/>
          <w:b/>
        </w:rPr>
        <w:t>Supplemental text</w:t>
      </w:r>
    </w:p>
    <w:p w:rsidR="0062036D" w:rsidRPr="00D65BEF" w:rsidRDefault="0062036D" w:rsidP="0062036D">
      <w:pPr>
        <w:jc w:val="both"/>
        <w:rPr>
          <w:rFonts w:cs="Calibri"/>
        </w:rPr>
      </w:pPr>
      <w:bookmarkStart w:id="0" w:name="OLE_LINK184"/>
      <w:bookmarkStart w:id="1" w:name="OLE_LINK185"/>
      <w:r w:rsidRPr="00D65BEF">
        <w:rPr>
          <w:rFonts w:cs="Calibri"/>
        </w:rPr>
        <w:t>In the NEUN</w:t>
      </w:r>
      <w:r w:rsidRPr="00D65BEF">
        <w:rPr>
          <w:rFonts w:cs="Calibri"/>
          <w:vertAlign w:val="superscript"/>
        </w:rPr>
        <w:t>neg</w:t>
      </w:r>
      <w:r w:rsidRPr="00D65BEF">
        <w:rPr>
          <w:rFonts w:cs="Calibri"/>
        </w:rPr>
        <w:t>OLIG2</w:t>
      </w:r>
      <w:r w:rsidRPr="00D65BEF">
        <w:rPr>
          <w:rFonts w:cs="Calibri"/>
          <w:vertAlign w:val="superscript"/>
        </w:rPr>
        <w:t>neg</w:t>
      </w:r>
      <w:r w:rsidRPr="00D65BEF">
        <w:rPr>
          <w:rFonts w:cs="Calibri"/>
        </w:rPr>
        <w:t xml:space="preserve"> dataset, 128,764 </w:t>
      </w:r>
      <w:bookmarkEnd w:id="0"/>
      <w:bookmarkEnd w:id="1"/>
      <w:r w:rsidRPr="00D65BEF">
        <w:rPr>
          <w:rFonts w:cs="Calibri"/>
        </w:rPr>
        <w:t xml:space="preserve">astrocytes were obtained and 14 astrocyte </w:t>
      </w:r>
      <w:proofErr w:type="spellStart"/>
      <w:r w:rsidRPr="00D65BEF">
        <w:rPr>
          <w:rFonts w:cs="Calibri"/>
        </w:rPr>
        <w:t>subclusters</w:t>
      </w:r>
      <w:proofErr w:type="spellEnd"/>
      <w:r w:rsidRPr="00D65BEF">
        <w:rPr>
          <w:rFonts w:cs="Calibri"/>
        </w:rPr>
        <w:t xml:space="preserve"> were identified, which mainly segregated into two groups in the UMAP (Fig. S5a and b, Table S3), with distinct transcriptional profiles (Fig. 5c). The </w:t>
      </w:r>
      <w:proofErr w:type="spellStart"/>
      <w:r w:rsidRPr="00D65BEF">
        <w:rPr>
          <w:rFonts w:cs="Calibri"/>
        </w:rPr>
        <w:t>subclusters</w:t>
      </w:r>
      <w:proofErr w:type="spellEnd"/>
      <w:r w:rsidRPr="00D65BEF">
        <w:rPr>
          <w:rFonts w:cs="Calibri"/>
        </w:rPr>
        <w:t xml:space="preserve"> on the left side in the UMAP (clusters 1, 3, 7, 8, 13, 11) were enriched in expression of the well-known reactive astrocyte marker </w:t>
      </w:r>
      <w:r w:rsidRPr="00D65BEF">
        <w:rPr>
          <w:rFonts w:cs="Calibri"/>
          <w:i/>
        </w:rPr>
        <w:t xml:space="preserve">GFAP, </w:t>
      </w:r>
      <w:r w:rsidRPr="00D65BEF">
        <w:rPr>
          <w:rFonts w:cs="Calibri"/>
        </w:rPr>
        <w:t xml:space="preserve">whereas the other </w:t>
      </w:r>
      <w:proofErr w:type="spellStart"/>
      <w:r w:rsidRPr="00D65BEF">
        <w:rPr>
          <w:rFonts w:cs="Calibri"/>
        </w:rPr>
        <w:t>subclusters</w:t>
      </w:r>
      <w:proofErr w:type="spellEnd"/>
      <w:r w:rsidRPr="00D65BEF">
        <w:rPr>
          <w:rFonts w:cs="Calibri"/>
        </w:rPr>
        <w:t xml:space="preserve"> were enriched for expression of </w:t>
      </w:r>
      <w:r w:rsidRPr="00D65BEF">
        <w:rPr>
          <w:rFonts w:cs="Calibri"/>
          <w:i/>
        </w:rPr>
        <w:t xml:space="preserve">SLC1A2, ATP1B2 </w:t>
      </w:r>
      <w:r w:rsidRPr="00D65BEF">
        <w:rPr>
          <w:rFonts w:cs="Calibri"/>
        </w:rPr>
        <w:t>and</w:t>
      </w:r>
      <w:r w:rsidRPr="00D65BEF">
        <w:rPr>
          <w:rFonts w:cs="Calibri"/>
          <w:i/>
        </w:rPr>
        <w:t xml:space="preserve"> SLC1A3 (</w:t>
      </w:r>
      <w:r w:rsidRPr="00D65BEF">
        <w:rPr>
          <w:rFonts w:cs="Calibri"/>
        </w:rPr>
        <w:t>GLAST-1</w:t>
      </w:r>
      <w:r w:rsidRPr="00D65BEF">
        <w:rPr>
          <w:rFonts w:cs="Calibri"/>
          <w:i/>
        </w:rPr>
        <w:t>)</w:t>
      </w:r>
      <w:r w:rsidRPr="00D65BEF">
        <w:rPr>
          <w:rFonts w:cs="Calibri"/>
        </w:rPr>
        <w:t xml:space="preserve"> which could indicate a more homeostatic profile (Fig. S5d). No AD-associated changes in </w:t>
      </w:r>
      <w:proofErr w:type="spellStart"/>
      <w:r w:rsidRPr="00D65BEF">
        <w:rPr>
          <w:rFonts w:cs="Calibri"/>
        </w:rPr>
        <w:t>subcluster</w:t>
      </w:r>
      <w:proofErr w:type="spellEnd"/>
      <w:r w:rsidRPr="00D65BEF">
        <w:rPr>
          <w:rFonts w:cs="Calibri"/>
        </w:rPr>
        <w:t xml:space="preserve"> distribution were identified and differential gene expression did not yield significant results correlating with amyloid-</w:t>
      </w:r>
      <w:r w:rsidRPr="00D65BEF">
        <w:rPr>
          <w:rFonts w:cs="Calibri"/>
        </w:rPr>
        <w:sym w:font="Symbol" w:char="F062"/>
      </w:r>
      <w:r w:rsidRPr="00D65BEF">
        <w:rPr>
          <w:rFonts w:cs="Calibri"/>
        </w:rPr>
        <w:t xml:space="preserve"> or </w:t>
      </w:r>
      <w:proofErr w:type="spellStart"/>
      <w:r w:rsidRPr="00D65BEF">
        <w:rPr>
          <w:rFonts w:cs="Calibri"/>
        </w:rPr>
        <w:t>phospho</w:t>
      </w:r>
      <w:proofErr w:type="spellEnd"/>
      <w:r w:rsidRPr="00D65BEF">
        <w:rPr>
          <w:rFonts w:cs="Calibri"/>
        </w:rPr>
        <w:t xml:space="preserve">--tau load (Fig. 1g, Fig. S5b). However, clear region-associated changes were observed between the OC and OTC samples in all donor groups (Fig. S5b). Five </w:t>
      </w:r>
      <w:proofErr w:type="spellStart"/>
      <w:r w:rsidRPr="00D65BEF">
        <w:rPr>
          <w:rFonts w:cs="Calibri"/>
        </w:rPr>
        <w:t>subclusters</w:t>
      </w:r>
      <w:proofErr w:type="spellEnd"/>
      <w:r w:rsidRPr="00D65BEF">
        <w:rPr>
          <w:rFonts w:cs="Calibri"/>
        </w:rPr>
        <w:t xml:space="preserve"> were significantly more abundant in OTC samples (clusters 0, 4, 6, 10 and 12) and </w:t>
      </w:r>
      <w:r>
        <w:rPr>
          <w:rFonts w:cs="Calibri"/>
        </w:rPr>
        <w:t>two</w:t>
      </w:r>
      <w:r w:rsidRPr="00D65BEF">
        <w:rPr>
          <w:rFonts w:cs="Calibri"/>
        </w:rPr>
        <w:t xml:space="preserve"> </w:t>
      </w:r>
      <w:proofErr w:type="spellStart"/>
      <w:r w:rsidRPr="00D65BEF">
        <w:rPr>
          <w:rFonts w:cs="Calibri"/>
        </w:rPr>
        <w:t>subclusters</w:t>
      </w:r>
      <w:proofErr w:type="spellEnd"/>
      <w:r w:rsidRPr="00D65BEF">
        <w:rPr>
          <w:rFonts w:cs="Calibri"/>
        </w:rPr>
        <w:t xml:space="preserve"> were significantly more abundant in OC samples (clusters 2 and 5) (Fig. S5b and e). </w:t>
      </w:r>
    </w:p>
    <w:p w:rsidR="0062036D" w:rsidRPr="00D65BEF" w:rsidRDefault="0062036D" w:rsidP="0062036D">
      <w:pPr>
        <w:jc w:val="both"/>
        <w:rPr>
          <w:rFonts w:cs="Calibri"/>
        </w:rPr>
      </w:pPr>
      <w:r w:rsidRPr="00D65BEF">
        <w:rPr>
          <w:rFonts w:cs="Calibri"/>
        </w:rPr>
        <w:t>In AD donors, the OC samples contained only amyloid-</w:t>
      </w:r>
      <w:r w:rsidRPr="00D65BEF">
        <w:rPr>
          <w:rFonts w:cs="Calibri"/>
        </w:rPr>
        <w:sym w:font="Symbol" w:char="F062"/>
      </w:r>
      <w:r w:rsidRPr="00D65BEF">
        <w:rPr>
          <w:rFonts w:cs="Calibri"/>
        </w:rPr>
        <w:t xml:space="preserve"> pathology and OTC samples contained both amyloid-</w:t>
      </w:r>
      <w:r w:rsidRPr="00D65BEF">
        <w:rPr>
          <w:rFonts w:cs="Calibri"/>
        </w:rPr>
        <w:sym w:font="Symbol" w:char="F062"/>
      </w:r>
      <w:r w:rsidRPr="00D65BEF">
        <w:rPr>
          <w:rFonts w:cs="Calibri"/>
        </w:rPr>
        <w:t xml:space="preserve"> and tau pathology. To further identify whether tau-associated changes were present in AD donors, differential gene expression analysis was performed between the enriched </w:t>
      </w:r>
      <w:proofErr w:type="spellStart"/>
      <w:r w:rsidRPr="00D65BEF">
        <w:rPr>
          <w:rFonts w:cs="Calibri"/>
        </w:rPr>
        <w:t>subclusters</w:t>
      </w:r>
      <w:proofErr w:type="spellEnd"/>
      <w:r w:rsidRPr="00D65BEF">
        <w:rPr>
          <w:rFonts w:cs="Calibri"/>
        </w:rPr>
        <w:t xml:space="preserve"> of the brain regions for </w:t>
      </w:r>
      <w:proofErr w:type="gramStart"/>
      <w:r w:rsidRPr="00D65BEF">
        <w:rPr>
          <w:rFonts w:cs="Calibri"/>
        </w:rPr>
        <w:t>CTR(</w:t>
      </w:r>
      <w:proofErr w:type="gramEnd"/>
      <w:r w:rsidRPr="00D65BEF">
        <w:rPr>
          <w:rFonts w:cs="Calibri"/>
        </w:rPr>
        <w:t xml:space="preserve">+) and AD separately, and log fold changes between the two groups were compared (Fig. S5f, Table S4). In both donor groups, the same regional effects were observed, which correlated significantly with each other (Pearson correlation = 0.84, p-value &lt; 0.001), confirming that tau-pathology did not account for the regionally diverse astrocyte profiles in the AD donors. Recently, a disease-associated astrocyte signature in an amyloid-mouse model was identified </w:t>
      </w:r>
      <w:r w:rsidRPr="00D65BEF">
        <w:rPr>
          <w:rFonts w:cs="Calibri"/>
          <w:noProof/>
        </w:rPr>
        <w:t>[12]</w:t>
      </w:r>
      <w:r w:rsidRPr="00D65BEF">
        <w:rPr>
          <w:rFonts w:cs="Calibri"/>
        </w:rPr>
        <w:t xml:space="preserve">. DEGs derived from this study were not enriched in any of the astrocyte </w:t>
      </w:r>
      <w:proofErr w:type="spellStart"/>
      <w:r w:rsidRPr="00D65BEF">
        <w:rPr>
          <w:rFonts w:cs="Calibri"/>
        </w:rPr>
        <w:t>subclusters</w:t>
      </w:r>
      <w:proofErr w:type="spellEnd"/>
      <w:r w:rsidRPr="00D65BEF">
        <w:rPr>
          <w:rFonts w:cs="Calibri"/>
        </w:rPr>
        <w:t xml:space="preserve">, indicating that mouse and human astrocytes are differently affected in AD. So, despite the power of the dataset to determine regional changes in astrocyte </w:t>
      </w:r>
      <w:proofErr w:type="spellStart"/>
      <w:r w:rsidRPr="00D65BEF">
        <w:rPr>
          <w:rFonts w:cs="Calibri"/>
        </w:rPr>
        <w:t>transcriptomes</w:t>
      </w:r>
      <w:proofErr w:type="spellEnd"/>
      <w:r w:rsidRPr="00D65BEF">
        <w:rPr>
          <w:rFonts w:cs="Calibri"/>
        </w:rPr>
        <w:t xml:space="preserve">, AD-associated changes were not identified in this astrocyte population. </w:t>
      </w:r>
    </w:p>
    <w:p w:rsidR="00F63FCA" w:rsidRDefault="00F63FCA">
      <w:bookmarkStart w:id="2" w:name="_GoBack"/>
      <w:bookmarkEnd w:id="2"/>
    </w:p>
    <w:sectPr w:rsidR="00F63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41"/>
    <w:rsid w:val="001160CC"/>
    <w:rsid w:val="001540F3"/>
    <w:rsid w:val="001859D7"/>
    <w:rsid w:val="001A23B1"/>
    <w:rsid w:val="001F3643"/>
    <w:rsid w:val="001F7473"/>
    <w:rsid w:val="002A0F36"/>
    <w:rsid w:val="002C1BC6"/>
    <w:rsid w:val="002D63C6"/>
    <w:rsid w:val="003463EB"/>
    <w:rsid w:val="00350B04"/>
    <w:rsid w:val="00361C34"/>
    <w:rsid w:val="003E4431"/>
    <w:rsid w:val="004704EF"/>
    <w:rsid w:val="00506B0E"/>
    <w:rsid w:val="0051704F"/>
    <w:rsid w:val="00521EFE"/>
    <w:rsid w:val="005F3955"/>
    <w:rsid w:val="0062036D"/>
    <w:rsid w:val="006501F2"/>
    <w:rsid w:val="00666002"/>
    <w:rsid w:val="006C50AA"/>
    <w:rsid w:val="00707F62"/>
    <w:rsid w:val="00714954"/>
    <w:rsid w:val="00785654"/>
    <w:rsid w:val="007B4AA0"/>
    <w:rsid w:val="007B7E72"/>
    <w:rsid w:val="007F183C"/>
    <w:rsid w:val="00835A9A"/>
    <w:rsid w:val="00844F93"/>
    <w:rsid w:val="00911A56"/>
    <w:rsid w:val="009E090B"/>
    <w:rsid w:val="009F4958"/>
    <w:rsid w:val="00AA2816"/>
    <w:rsid w:val="00B35092"/>
    <w:rsid w:val="00B7229B"/>
    <w:rsid w:val="00B75132"/>
    <w:rsid w:val="00BB07EB"/>
    <w:rsid w:val="00BE7461"/>
    <w:rsid w:val="00C750BE"/>
    <w:rsid w:val="00DC08D6"/>
    <w:rsid w:val="00DF6E75"/>
    <w:rsid w:val="00E1087D"/>
    <w:rsid w:val="00E53647"/>
    <w:rsid w:val="00E6650B"/>
    <w:rsid w:val="00E94C41"/>
    <w:rsid w:val="00EC1C30"/>
    <w:rsid w:val="00ED2F34"/>
    <w:rsid w:val="00F23345"/>
    <w:rsid w:val="00F63FCA"/>
    <w:rsid w:val="00F9630E"/>
    <w:rsid w:val="00FB4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EC228-17AB-4393-9C82-22CC7E4E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36D"/>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1876</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Prathiba V.</dc:creator>
  <cp:keywords/>
  <dc:description/>
  <cp:lastModifiedBy>Prathiba V.</cp:lastModifiedBy>
  <cp:revision>2</cp:revision>
  <dcterms:created xsi:type="dcterms:W3CDTF">2021-01-09T07:17:00Z</dcterms:created>
  <dcterms:modified xsi:type="dcterms:W3CDTF">2021-01-09T07:17:00Z</dcterms:modified>
</cp:coreProperties>
</file>