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652C5" w14:textId="0FE66EB6" w:rsidR="009E033C" w:rsidRPr="00B1604C" w:rsidRDefault="009E033C" w:rsidP="0011451B">
      <w:pPr>
        <w:pStyle w:val="Heading1"/>
      </w:pPr>
      <w:r w:rsidRPr="00B1604C">
        <w:t xml:space="preserve">Supplementary </w:t>
      </w:r>
      <w:r w:rsidR="00FB753E" w:rsidRPr="00B1604C">
        <w:t>F</w:t>
      </w:r>
      <w:r w:rsidRPr="00B1604C">
        <w:t>igures</w:t>
      </w:r>
    </w:p>
    <w:p w14:paraId="0E5A2FF0" w14:textId="167D8B5F" w:rsidR="009162ED" w:rsidRPr="00294C77" w:rsidRDefault="00905D96" w:rsidP="009162ED">
      <w:pPr>
        <w:keepNext/>
      </w:pPr>
      <w:r>
        <w:rPr>
          <w:noProof/>
          <w:lang w:val="en-IN" w:eastAsia="en-IN"/>
        </w:rPr>
        <w:drawing>
          <wp:inline distT="0" distB="0" distL="0" distR="0" wp14:anchorId="04D113F7" wp14:editId="0605AB5F">
            <wp:extent cx="5733415" cy="6887210"/>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3415" cy="6887210"/>
                    </a:xfrm>
                    <a:prstGeom prst="rect">
                      <a:avLst/>
                    </a:prstGeom>
                    <a:noFill/>
                    <a:ln>
                      <a:noFill/>
                    </a:ln>
                  </pic:spPr>
                </pic:pic>
              </a:graphicData>
            </a:graphic>
          </wp:inline>
        </w:drawing>
      </w:r>
    </w:p>
    <w:p w14:paraId="34EDCBC0" w14:textId="55F4E0A7" w:rsidR="009162ED" w:rsidRPr="00B1604C" w:rsidRDefault="00D44989" w:rsidP="00D44989">
      <w:pPr>
        <w:pStyle w:val="Caption"/>
      </w:pPr>
      <w:bookmarkStart w:id="0" w:name="_Ref72229476"/>
      <w:r>
        <w:t xml:space="preserve">Supplementary Fig. </w:t>
      </w:r>
      <w:r>
        <w:fldChar w:fldCharType="begin"/>
      </w:r>
      <w:r>
        <w:instrText>SEQ Supplementary_Fig. \* ARABIC</w:instrText>
      </w:r>
      <w:r>
        <w:fldChar w:fldCharType="separate"/>
      </w:r>
      <w:r>
        <w:rPr>
          <w:noProof/>
        </w:rPr>
        <w:t>1</w:t>
      </w:r>
      <w:r>
        <w:fldChar w:fldCharType="end"/>
      </w:r>
      <w:bookmarkEnd w:id="0"/>
      <w:r w:rsidRPr="00B1604C">
        <w:t xml:space="preserve"> Subject demographics, sample information and pathological measures.</w:t>
      </w:r>
    </w:p>
    <w:p w14:paraId="516ED314" w14:textId="0DB0D9AF" w:rsidR="00731832" w:rsidRPr="00B1604C" w:rsidRDefault="009162ED" w:rsidP="00955925">
      <w:pPr>
        <w:pStyle w:val="Caption"/>
        <w:rPr>
          <w:b w:val="0"/>
          <w:bCs w:val="0"/>
        </w:rPr>
      </w:pPr>
      <w:r w:rsidRPr="00B1604C">
        <w:rPr>
          <w:b w:val="0"/>
          <w:bCs w:val="0"/>
        </w:rPr>
        <w:t xml:space="preserve">Continuous </w:t>
      </w:r>
      <w:r w:rsidRPr="00B1604C">
        <w:t>(a)</w:t>
      </w:r>
      <w:r w:rsidRPr="00B1604C">
        <w:rPr>
          <w:b w:val="0"/>
          <w:bCs w:val="0"/>
        </w:rPr>
        <w:t xml:space="preserve"> and categorical </w:t>
      </w:r>
      <w:r w:rsidRPr="00B1604C">
        <w:t>(b)</w:t>
      </w:r>
      <w:r w:rsidRPr="00B1604C">
        <w:rPr>
          <w:b w:val="0"/>
          <w:bCs w:val="0"/>
        </w:rPr>
        <w:t xml:space="preserve"> subject demographics, sample measures and pathological measures are shown for each disease group. </w:t>
      </w:r>
      <w:r w:rsidRPr="00B1604C">
        <w:t>(c)</w:t>
      </w:r>
      <w:r w:rsidRPr="00B1604C">
        <w:rPr>
          <w:b w:val="0"/>
          <w:bCs w:val="0"/>
        </w:rPr>
        <w:t xml:space="preserve"> Significant differences in groups were tested using either the Kruskal-Wallis rank sum test (for continuous variables) or the Chi-squared test (for categorical variables). Significant differences (p &lt; 0.05) are shown in a bold face. All measures per individual are available in </w:t>
      </w:r>
      <w:r w:rsidRPr="00B1604C">
        <w:fldChar w:fldCharType="begin"/>
      </w:r>
      <w:r w:rsidRPr="00B1604C">
        <w:instrText xml:space="preserve"> REF _Ref43296592 \h  \* MERGEFORMAT </w:instrText>
      </w:r>
      <w:r w:rsidRPr="00B1604C">
        <w:fldChar w:fldCharType="separate"/>
      </w:r>
      <w:r w:rsidR="002B0885" w:rsidRPr="00B1604C">
        <w:t xml:space="preserve">Supplementary Table </w:t>
      </w:r>
      <w:r w:rsidR="002B0885" w:rsidRPr="00B1604C">
        <w:rPr>
          <w:noProof/>
        </w:rPr>
        <w:t>1</w:t>
      </w:r>
      <w:r w:rsidRPr="00B1604C">
        <w:fldChar w:fldCharType="end"/>
      </w:r>
      <w:r w:rsidRPr="00B1604C">
        <w:rPr>
          <w:b w:val="0"/>
          <w:bCs w:val="0"/>
        </w:rPr>
        <w:t>.</w:t>
      </w:r>
      <w:r w:rsidR="005F1F33">
        <w:rPr>
          <w:b w:val="0"/>
          <w:bCs w:val="0"/>
        </w:rPr>
        <w:t xml:space="preserve"> Abeta, amyloid β; ACG, anterior cingulate gyrus; alpha-syn, alpha-synuclein; CSF, cerebrospinal fluid; </w:t>
      </w:r>
      <w:r w:rsidR="001303C9">
        <w:rPr>
          <w:b w:val="0"/>
          <w:bCs w:val="0"/>
        </w:rPr>
        <w:t xml:space="preserve">LP, Lewy pathology; </w:t>
      </w:r>
      <w:r w:rsidR="005F1F33">
        <w:rPr>
          <w:b w:val="0"/>
          <w:bCs w:val="0"/>
        </w:rPr>
        <w:t>RIN, RNA integrity number.</w:t>
      </w:r>
    </w:p>
    <w:p w14:paraId="5227A60A" w14:textId="1095C9B7" w:rsidR="009162ED" w:rsidRPr="00B1604C" w:rsidRDefault="009162ED" w:rsidP="0088413A">
      <w:pPr>
        <w:pStyle w:val="Caption"/>
      </w:pPr>
      <w:r>
        <w:br w:type="page"/>
      </w:r>
      <w:r w:rsidR="00A142BE">
        <w:rPr>
          <w:noProof/>
          <w:lang w:val="en-IN" w:eastAsia="en-IN"/>
        </w:rPr>
        <w:drawing>
          <wp:inline distT="0" distB="0" distL="0" distR="0" wp14:anchorId="7CF5B12D" wp14:editId="680A88A8">
            <wp:extent cx="5733416" cy="6278878"/>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733416" cy="6278878"/>
                    </a:xfrm>
                    <a:prstGeom prst="rect">
                      <a:avLst/>
                    </a:prstGeom>
                  </pic:spPr>
                </pic:pic>
              </a:graphicData>
            </a:graphic>
          </wp:inline>
        </w:drawing>
      </w:r>
    </w:p>
    <w:p w14:paraId="5B243F1F" w14:textId="3E805334" w:rsidR="00FF1C29" w:rsidRPr="00B1604C" w:rsidRDefault="00D44989" w:rsidP="0039414E">
      <w:pPr>
        <w:pStyle w:val="Caption"/>
        <w:rPr>
          <w:b w:val="0"/>
          <w:bCs w:val="0"/>
        </w:rPr>
      </w:pPr>
      <w:bookmarkStart w:id="1" w:name="_Ref72229542"/>
      <w:bookmarkStart w:id="2" w:name="_Ref44520969"/>
      <w:r>
        <w:t>Supplementary Fig.</w:t>
      </w:r>
      <w:r w:rsidR="009162ED" w:rsidRPr="00B1604C">
        <w:t xml:space="preserve"> </w:t>
      </w:r>
      <w:r>
        <w:fldChar w:fldCharType="begin"/>
      </w:r>
      <w:r>
        <w:instrText>SEQ Supplementary_Fig. \* ARABIC</w:instrText>
      </w:r>
      <w:r>
        <w:fldChar w:fldCharType="separate"/>
      </w:r>
      <w:r>
        <w:rPr>
          <w:noProof/>
        </w:rPr>
        <w:t>2</w:t>
      </w:r>
      <w:r>
        <w:fldChar w:fldCharType="end"/>
      </w:r>
      <w:bookmarkEnd w:id="1"/>
      <w:r w:rsidR="009162ED" w:rsidRPr="00B1604C">
        <w:t xml:space="preserve"> Single-nucleus RNA-sequencing</w:t>
      </w:r>
      <w:r w:rsidR="0088413A" w:rsidRPr="00B1604C">
        <w:t xml:space="preserve"> </w:t>
      </w:r>
      <w:r w:rsidR="00BD2062" w:rsidRPr="00B1604C">
        <w:t>metrics</w:t>
      </w:r>
      <w:r w:rsidR="004F481F" w:rsidRPr="00B1604C">
        <w:t xml:space="preserve">, </w:t>
      </w:r>
      <w:r w:rsidR="00246DC2" w:rsidRPr="00B1604C">
        <w:t>quality control</w:t>
      </w:r>
      <w:r w:rsidR="004F481F" w:rsidRPr="00B1604C">
        <w:t xml:space="preserve"> and cell-type classification</w:t>
      </w:r>
      <w:r w:rsidR="009162ED" w:rsidRPr="00B1604C">
        <w:t>.</w:t>
      </w:r>
      <w:bookmarkEnd w:id="2"/>
      <w:r w:rsidR="004E1FA8" w:rsidRPr="00B1604C">
        <w:rPr>
          <w:rFonts w:eastAsia="Calibri" w:cs="Calibri"/>
          <w:color w:val="000000" w:themeColor="text1"/>
        </w:rPr>
        <w:t xml:space="preserve"> (a)</w:t>
      </w:r>
      <w:r w:rsidR="004E1FA8" w:rsidRPr="00B1604C">
        <w:rPr>
          <w:rFonts w:eastAsia="Calibri" w:cs="Calibri"/>
          <w:b w:val="0"/>
          <w:bCs w:val="0"/>
          <w:color w:val="000000" w:themeColor="text1"/>
        </w:rPr>
        <w:t xml:space="preserve"> </w:t>
      </w:r>
      <w:r w:rsidR="00FE6A40" w:rsidRPr="00B1604C">
        <w:rPr>
          <w:rFonts w:eastAsia="Calibri" w:cs="Calibri"/>
          <w:b w:val="0"/>
          <w:bCs w:val="0"/>
          <w:color w:val="000000" w:themeColor="text1"/>
        </w:rPr>
        <w:t>S</w:t>
      </w:r>
      <w:r w:rsidR="00FF1C29" w:rsidRPr="00B1604C">
        <w:rPr>
          <w:rFonts w:eastAsia="Calibri" w:cs="Calibri"/>
          <w:b w:val="0"/>
          <w:bCs w:val="0"/>
          <w:color w:val="000000" w:themeColor="text1"/>
        </w:rPr>
        <w:t>ingle-nucleus s</w:t>
      </w:r>
      <w:r w:rsidR="00FE6A40" w:rsidRPr="00B1604C">
        <w:rPr>
          <w:rFonts w:eastAsia="Calibri" w:cs="Calibri"/>
          <w:b w:val="0"/>
          <w:bCs w:val="0"/>
          <w:color w:val="000000" w:themeColor="text1"/>
        </w:rPr>
        <w:t>equencing metrics</w:t>
      </w:r>
      <w:r w:rsidR="00FF1C29" w:rsidRPr="00B1604C">
        <w:rPr>
          <w:rFonts w:eastAsia="Calibri" w:cs="Calibri"/>
          <w:b w:val="0"/>
          <w:bCs w:val="0"/>
          <w:color w:val="000000" w:themeColor="text1"/>
        </w:rPr>
        <w:t xml:space="preserve"> from Cell Ranger, grouped by the type of quality control (QC) metric </w:t>
      </w:r>
      <w:r w:rsidR="00C2262B" w:rsidRPr="00B1604C">
        <w:rPr>
          <w:rFonts w:eastAsia="Calibri" w:cs="Calibri"/>
          <w:b w:val="0"/>
          <w:bCs w:val="0"/>
          <w:color w:val="000000" w:themeColor="text1"/>
        </w:rPr>
        <w:t xml:space="preserve">they represent i.e. base call, alignment or other. </w:t>
      </w:r>
      <w:r w:rsidR="00C2262B" w:rsidRPr="00B1604C">
        <w:rPr>
          <w:b w:val="0"/>
          <w:bCs w:val="0"/>
        </w:rPr>
        <w:t xml:space="preserve">All metrics per sample are available in </w:t>
      </w:r>
      <w:r w:rsidR="00C2262B" w:rsidRPr="00B1604C">
        <w:fldChar w:fldCharType="begin"/>
      </w:r>
      <w:r w:rsidR="00C2262B" w:rsidRPr="00B1604C">
        <w:instrText xml:space="preserve"> REF _Ref43296592 \h  \* MERGEFORMAT </w:instrText>
      </w:r>
      <w:r w:rsidR="00C2262B" w:rsidRPr="00B1604C">
        <w:fldChar w:fldCharType="separate"/>
      </w:r>
      <w:r w:rsidR="002B0885" w:rsidRPr="00B1604C">
        <w:t xml:space="preserve">Supplementary Table </w:t>
      </w:r>
      <w:r w:rsidR="002B0885" w:rsidRPr="00B1604C">
        <w:rPr>
          <w:noProof/>
        </w:rPr>
        <w:t>1</w:t>
      </w:r>
      <w:r w:rsidR="00C2262B" w:rsidRPr="00B1604C">
        <w:fldChar w:fldCharType="end"/>
      </w:r>
      <w:r w:rsidR="00C2262B" w:rsidRPr="00B1604C">
        <w:rPr>
          <w:b w:val="0"/>
          <w:bCs w:val="0"/>
        </w:rPr>
        <w:t>.</w:t>
      </w:r>
      <w:r w:rsidR="00FF1C29" w:rsidRPr="00B1604C">
        <w:rPr>
          <w:rFonts w:eastAsia="Calibri" w:cs="Calibri"/>
          <w:b w:val="0"/>
          <w:bCs w:val="0"/>
          <w:color w:val="000000" w:themeColor="text1"/>
        </w:rPr>
        <w:t xml:space="preserve"> </w:t>
      </w:r>
      <w:r w:rsidR="00FF1C29" w:rsidRPr="00B1604C">
        <w:rPr>
          <w:rFonts w:eastAsia="Calibri" w:cs="Calibri"/>
          <w:color w:val="000000" w:themeColor="text1"/>
        </w:rPr>
        <w:t>(b)</w:t>
      </w:r>
      <w:r w:rsidR="00FF1C29" w:rsidRPr="00B1604C">
        <w:rPr>
          <w:rFonts w:eastAsia="Calibri" w:cs="Calibri"/>
          <w:b w:val="0"/>
          <w:bCs w:val="0"/>
          <w:color w:val="000000" w:themeColor="text1"/>
        </w:rPr>
        <w:t xml:space="preserve"> </w:t>
      </w:r>
      <w:r w:rsidR="00617879" w:rsidRPr="00B1604C">
        <w:rPr>
          <w:rFonts w:eastAsia="Calibri" w:cs="Calibri"/>
          <w:b w:val="0"/>
          <w:bCs w:val="0"/>
          <w:color w:val="000000" w:themeColor="text1"/>
        </w:rPr>
        <w:t>Workflow illustrating the</w:t>
      </w:r>
      <w:r w:rsidR="00FF2A40" w:rsidRPr="00B1604C">
        <w:rPr>
          <w:rFonts w:eastAsia="Calibri" w:cs="Calibri"/>
          <w:b w:val="0"/>
          <w:bCs w:val="0"/>
          <w:color w:val="000000" w:themeColor="text1"/>
        </w:rPr>
        <w:t xml:space="preserve"> steps taken to </w:t>
      </w:r>
      <w:r w:rsidR="00617879" w:rsidRPr="00B1604C">
        <w:rPr>
          <w:rFonts w:eastAsia="Calibri" w:cs="Calibri"/>
          <w:b w:val="0"/>
          <w:bCs w:val="0"/>
          <w:color w:val="000000" w:themeColor="text1"/>
        </w:rPr>
        <w:t xml:space="preserve">filter the raw data </w:t>
      </w:r>
      <w:r w:rsidR="0039414E" w:rsidRPr="00B1604C">
        <w:rPr>
          <w:rFonts w:eastAsia="Calibri" w:cs="Calibri"/>
          <w:b w:val="0"/>
          <w:bCs w:val="0"/>
          <w:color w:val="000000" w:themeColor="text1"/>
        </w:rPr>
        <w:t>to only include true nuclei of high quality.</w:t>
      </w:r>
      <w:r w:rsidR="004C12E1" w:rsidRPr="00B1604C">
        <w:rPr>
          <w:rFonts w:eastAsia="Calibri" w:cs="Calibri"/>
          <w:b w:val="0"/>
          <w:bCs w:val="0"/>
          <w:color w:val="000000" w:themeColor="text1"/>
        </w:rPr>
        <w:t xml:space="preserve"> These steps were independently applied across each of the 28 sequenced samples.</w:t>
      </w:r>
      <w:r w:rsidR="00A944CB" w:rsidRPr="00B1604C">
        <w:rPr>
          <w:rFonts w:eastAsia="Calibri" w:cs="Calibri"/>
          <w:b w:val="0"/>
          <w:bCs w:val="0"/>
          <w:color w:val="000000" w:themeColor="text1"/>
        </w:rPr>
        <w:t xml:space="preserve"> </w:t>
      </w:r>
      <w:r w:rsidR="00F87D1A" w:rsidRPr="00B1604C">
        <w:rPr>
          <w:rFonts w:eastAsia="Calibri" w:cs="Calibri"/>
          <w:color w:val="000000" w:themeColor="text1"/>
        </w:rPr>
        <w:t>(c)</w:t>
      </w:r>
      <w:r w:rsidR="00F87D1A" w:rsidRPr="00B1604C">
        <w:rPr>
          <w:rFonts w:eastAsia="Calibri" w:cs="Calibri"/>
          <w:b w:val="0"/>
          <w:bCs w:val="0"/>
          <w:color w:val="000000" w:themeColor="text1"/>
        </w:rPr>
        <w:t xml:space="preserve"> </w:t>
      </w:r>
      <w:r w:rsidR="00275F6B" w:rsidRPr="00B1604C">
        <w:rPr>
          <w:rFonts w:eastAsia="Calibri" w:cs="Calibri"/>
          <w:b w:val="0"/>
          <w:bCs w:val="0"/>
          <w:color w:val="000000" w:themeColor="text1"/>
        </w:rPr>
        <w:t xml:space="preserve">Violin plots of expression values </w:t>
      </w:r>
      <w:r w:rsidR="00026D82" w:rsidRPr="00B1604C">
        <w:rPr>
          <w:rFonts w:eastAsia="Calibri" w:cs="Calibri"/>
          <w:b w:val="0"/>
          <w:bCs w:val="0"/>
          <w:color w:val="000000" w:themeColor="text1"/>
        </w:rPr>
        <w:t xml:space="preserve">(y-axis) </w:t>
      </w:r>
      <w:r w:rsidR="00275F6B" w:rsidRPr="00B1604C">
        <w:rPr>
          <w:rFonts w:eastAsia="Calibri" w:cs="Calibri"/>
          <w:b w:val="0"/>
          <w:bCs w:val="0"/>
          <w:color w:val="000000" w:themeColor="text1"/>
        </w:rPr>
        <w:t xml:space="preserve">for known </w:t>
      </w:r>
      <w:r w:rsidR="00F87D1A" w:rsidRPr="00B1604C">
        <w:rPr>
          <w:rFonts w:eastAsia="Calibri" w:cs="Calibri"/>
          <w:b w:val="0"/>
          <w:bCs w:val="0"/>
          <w:color w:val="000000" w:themeColor="text1"/>
        </w:rPr>
        <w:t>cell-type marker genes</w:t>
      </w:r>
      <w:r w:rsidR="00026D82" w:rsidRPr="00B1604C">
        <w:rPr>
          <w:rFonts w:eastAsia="Calibri" w:cs="Calibri"/>
          <w:b w:val="0"/>
          <w:bCs w:val="0"/>
          <w:color w:val="000000" w:themeColor="text1"/>
        </w:rPr>
        <w:t xml:space="preserve"> in each of the cell-type clusters identified (x-axis).</w:t>
      </w:r>
      <w:r w:rsidR="005F1F33">
        <w:rPr>
          <w:rFonts w:eastAsia="Calibri" w:cs="Calibri"/>
          <w:b w:val="0"/>
          <w:bCs w:val="0"/>
          <w:color w:val="000000" w:themeColor="text1"/>
        </w:rPr>
        <w:t xml:space="preserve"> OPC, oligodendrocyte precursor cell</w:t>
      </w:r>
      <w:r w:rsidR="001A663D">
        <w:rPr>
          <w:rFonts w:eastAsia="Calibri" w:cs="Calibri"/>
          <w:b w:val="0"/>
          <w:bCs w:val="0"/>
          <w:color w:val="000000" w:themeColor="text1"/>
        </w:rPr>
        <w:t>; UMI, unique molecular identifier</w:t>
      </w:r>
      <w:r w:rsidR="005F1F33">
        <w:rPr>
          <w:rFonts w:eastAsia="Calibri" w:cs="Calibri"/>
          <w:b w:val="0"/>
          <w:bCs w:val="0"/>
          <w:color w:val="000000" w:themeColor="text1"/>
        </w:rPr>
        <w:t>.</w:t>
      </w:r>
    </w:p>
    <w:p w14:paraId="65B3CAE2" w14:textId="1790B0AB" w:rsidR="009162ED" w:rsidRPr="00B1604C" w:rsidRDefault="00021729" w:rsidP="009162ED">
      <w:pPr>
        <w:keepNext/>
      </w:pPr>
      <w:r>
        <w:rPr>
          <w:noProof/>
          <w:lang w:val="en-IN" w:eastAsia="en-IN"/>
        </w:rPr>
        <w:drawing>
          <wp:inline distT="0" distB="0" distL="0" distR="0" wp14:anchorId="42CDDECA" wp14:editId="5D5E8F8C">
            <wp:extent cx="5400675" cy="7200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400675" cy="7200900"/>
                    </a:xfrm>
                    <a:prstGeom prst="rect">
                      <a:avLst/>
                    </a:prstGeom>
                  </pic:spPr>
                </pic:pic>
              </a:graphicData>
            </a:graphic>
          </wp:inline>
        </w:drawing>
      </w:r>
    </w:p>
    <w:p w14:paraId="3D7B2FE5" w14:textId="6D24E4FA" w:rsidR="009162ED" w:rsidRPr="00B1604C" w:rsidRDefault="00D44989" w:rsidP="009162ED">
      <w:pPr>
        <w:pStyle w:val="Caption"/>
        <w:rPr>
          <w:b w:val="0"/>
          <w:bCs w:val="0"/>
        </w:rPr>
      </w:pPr>
      <w:bookmarkStart w:id="3" w:name="_Ref44520973"/>
      <w:r>
        <w:t>Supplementary Fig.</w:t>
      </w:r>
      <w:r w:rsidR="009162ED" w:rsidRPr="00B1604C">
        <w:t xml:space="preserve"> </w:t>
      </w:r>
      <w:r>
        <w:fldChar w:fldCharType="begin"/>
      </w:r>
      <w:r>
        <w:instrText>SEQ Supplementary_Fig. \* ARABIC</w:instrText>
      </w:r>
      <w:r>
        <w:fldChar w:fldCharType="separate"/>
      </w:r>
      <w:r>
        <w:rPr>
          <w:noProof/>
        </w:rPr>
        <w:t>3</w:t>
      </w:r>
      <w:r>
        <w:fldChar w:fldCharType="end"/>
      </w:r>
      <w:bookmarkEnd w:id="3"/>
      <w:r w:rsidR="009162ED" w:rsidRPr="00B1604C">
        <w:t xml:space="preserve"> Bulk-tissue RNA-sequencing metrics.</w:t>
      </w:r>
      <w:r w:rsidR="009162ED" w:rsidRPr="00B1604C">
        <w:rPr>
          <w:b w:val="0"/>
          <w:bCs w:val="0"/>
        </w:rPr>
        <w:t xml:space="preserve"> </w:t>
      </w:r>
    </w:p>
    <w:p w14:paraId="5C7B97A5" w14:textId="2D411360" w:rsidR="009162ED" w:rsidRPr="00B1604C" w:rsidRDefault="009162ED" w:rsidP="006F2B1C">
      <w:pPr>
        <w:pStyle w:val="Caption"/>
        <w:rPr>
          <w:b w:val="0"/>
          <w:bCs w:val="0"/>
        </w:rPr>
      </w:pPr>
      <w:r w:rsidRPr="00B1604C">
        <w:t>(a)</w:t>
      </w:r>
      <w:r w:rsidRPr="00B1604C">
        <w:rPr>
          <w:b w:val="0"/>
          <w:bCs w:val="0"/>
        </w:rPr>
        <w:t xml:space="preserve"> Bulk-tissue RNA-sequencing metrics from Fastp, STAR, Salmon and RSeQC. </w:t>
      </w:r>
      <w:r w:rsidRPr="00B1604C">
        <w:t>(b)</w:t>
      </w:r>
      <w:r w:rsidRPr="00B1604C">
        <w:rPr>
          <w:b w:val="0"/>
          <w:bCs w:val="0"/>
        </w:rPr>
        <w:t xml:space="preserve"> Number of genes detected in bulk-tissue RNA-sequencing of each sample </w:t>
      </w:r>
      <w:r w:rsidR="00974C4F" w:rsidRPr="00B1604C">
        <w:rPr>
          <w:b w:val="0"/>
          <w:bCs w:val="0"/>
        </w:rPr>
        <w:t>before</w:t>
      </w:r>
      <w:r w:rsidRPr="00B1604C">
        <w:rPr>
          <w:b w:val="0"/>
          <w:bCs w:val="0"/>
        </w:rPr>
        <w:t xml:space="preserve"> and </w:t>
      </w:r>
      <w:r w:rsidR="00974C4F" w:rsidRPr="00B1604C">
        <w:rPr>
          <w:b w:val="0"/>
          <w:bCs w:val="0"/>
        </w:rPr>
        <w:t xml:space="preserve">after </w:t>
      </w:r>
      <w:r w:rsidRPr="00B1604C">
        <w:rPr>
          <w:b w:val="0"/>
          <w:bCs w:val="0"/>
        </w:rPr>
        <w:t xml:space="preserve">filtering. Detection of a gene </w:t>
      </w:r>
      <w:r w:rsidR="00F15235" w:rsidRPr="00B1604C">
        <w:rPr>
          <w:b w:val="0"/>
          <w:bCs w:val="0"/>
        </w:rPr>
        <w:t>before</w:t>
      </w:r>
      <w:r w:rsidRPr="00B1604C">
        <w:rPr>
          <w:b w:val="0"/>
          <w:bCs w:val="0"/>
        </w:rPr>
        <w:t xml:space="preserve"> filtering was defined as a count &gt; 0 in at least one sample across a disease group, while detection of a gene after filtering was defined as a count &gt; 0 in all samples across a disease group. Only genes that were detected </w:t>
      </w:r>
      <w:r w:rsidR="008636A5" w:rsidRPr="00B1604C">
        <w:rPr>
          <w:b w:val="0"/>
          <w:bCs w:val="0"/>
        </w:rPr>
        <w:t xml:space="preserve">after </w:t>
      </w:r>
      <w:r w:rsidRPr="00B1604C">
        <w:rPr>
          <w:b w:val="0"/>
          <w:bCs w:val="0"/>
        </w:rPr>
        <w:t xml:space="preserve">filtering were used for bulk RNA-sequencing differential gene expression analyses. </w:t>
      </w:r>
      <w:r w:rsidRPr="00B1604C">
        <w:t>(c)</w:t>
      </w:r>
      <w:r w:rsidRPr="00B1604C">
        <w:rPr>
          <w:b w:val="0"/>
          <w:bCs w:val="0"/>
        </w:rPr>
        <w:t xml:space="preserve"> Descriptive statistics for </w:t>
      </w:r>
      <w:r w:rsidRPr="00B1604C">
        <w:t>(b)</w:t>
      </w:r>
      <w:r w:rsidRPr="00B1604C">
        <w:rPr>
          <w:b w:val="0"/>
          <w:bCs w:val="0"/>
        </w:rPr>
        <w:t xml:space="preserve">. All metrics per sample are available in </w:t>
      </w:r>
      <w:r w:rsidRPr="00B1604C">
        <w:fldChar w:fldCharType="begin"/>
      </w:r>
      <w:r w:rsidRPr="00B1604C">
        <w:instrText xml:space="preserve"> REF _Ref43296592 \h  \* MERGEFORMAT </w:instrText>
      </w:r>
      <w:r w:rsidRPr="00B1604C">
        <w:fldChar w:fldCharType="separate"/>
      </w:r>
      <w:r w:rsidR="002B0885" w:rsidRPr="00B1604C">
        <w:t xml:space="preserve">Supplementary Table </w:t>
      </w:r>
      <w:r w:rsidR="002B0885" w:rsidRPr="00B1604C">
        <w:rPr>
          <w:noProof/>
        </w:rPr>
        <w:t>1</w:t>
      </w:r>
      <w:r w:rsidRPr="00B1604C">
        <w:fldChar w:fldCharType="end"/>
      </w:r>
      <w:r w:rsidRPr="00B1604C">
        <w:rPr>
          <w:b w:val="0"/>
          <w:bCs w:val="0"/>
        </w:rPr>
        <w:t>.</w:t>
      </w:r>
      <w:r w:rsidR="005F1F33">
        <w:rPr>
          <w:b w:val="0"/>
          <w:bCs w:val="0"/>
        </w:rPr>
        <w:t xml:space="preserve"> CDS, coding sequence; GC, guanine-cytosine; TES, transcription end site; TSS, transcription start site; UTR, untranslated region.</w:t>
      </w:r>
      <w:r w:rsidRPr="00B1604C">
        <w:br w:type="page"/>
      </w:r>
    </w:p>
    <w:p w14:paraId="0C756FC2" w14:textId="58072465" w:rsidR="009162ED" w:rsidRPr="00B1604C" w:rsidRDefault="001535E5" w:rsidP="009162ED">
      <w:pPr>
        <w:pStyle w:val="Caption"/>
      </w:pPr>
      <w:r>
        <w:rPr>
          <w:noProof/>
          <w:lang w:val="en-IN" w:eastAsia="en-IN"/>
        </w:rPr>
        <w:drawing>
          <wp:inline distT="0" distB="0" distL="0" distR="0" wp14:anchorId="0C1B271B" wp14:editId="1BA01382">
            <wp:extent cx="5394960" cy="64770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4960" cy="6477002"/>
                    </a:xfrm>
                    <a:prstGeom prst="rect">
                      <a:avLst/>
                    </a:prstGeom>
                  </pic:spPr>
                </pic:pic>
              </a:graphicData>
            </a:graphic>
          </wp:inline>
        </w:drawing>
      </w:r>
    </w:p>
    <w:p w14:paraId="104D1EA6" w14:textId="76BB84FB" w:rsidR="009162ED" w:rsidRPr="00B1604C" w:rsidRDefault="00D44989" w:rsidP="009162ED">
      <w:pPr>
        <w:pStyle w:val="Caption"/>
      </w:pPr>
      <w:bookmarkStart w:id="4" w:name="_Ref44680838"/>
      <w:bookmarkStart w:id="5" w:name="_Ref44680832"/>
      <w:r>
        <w:t>Supplementary Fig.</w:t>
      </w:r>
      <w:r w:rsidR="009162ED" w:rsidRPr="00B1604C">
        <w:t xml:space="preserve"> </w:t>
      </w:r>
      <w:r>
        <w:fldChar w:fldCharType="begin"/>
      </w:r>
      <w:r>
        <w:instrText>SEQ Supplementary_Fig. \* ARABIC</w:instrText>
      </w:r>
      <w:r>
        <w:fldChar w:fldCharType="separate"/>
      </w:r>
      <w:r>
        <w:rPr>
          <w:noProof/>
        </w:rPr>
        <w:t>4</w:t>
      </w:r>
      <w:r>
        <w:fldChar w:fldCharType="end"/>
      </w:r>
      <w:bookmarkEnd w:id="4"/>
      <w:r w:rsidR="009162ED" w:rsidRPr="00B1604C">
        <w:t xml:space="preserve"> Consistency of cell types across individuals.</w:t>
      </w:r>
      <w:bookmarkEnd w:id="5"/>
    </w:p>
    <w:p w14:paraId="5EF127D9" w14:textId="60644457" w:rsidR="009162ED" w:rsidRPr="00B1604C" w:rsidRDefault="009162ED" w:rsidP="009162ED">
      <w:pPr>
        <w:pStyle w:val="Caption"/>
        <w:rPr>
          <w:b w:val="0"/>
          <w:bCs w:val="0"/>
        </w:rPr>
      </w:pPr>
      <w:r w:rsidRPr="00B1604C">
        <w:t>(a)</w:t>
      </w:r>
      <w:r w:rsidRPr="00B1604C">
        <w:rPr>
          <w:b w:val="0"/>
          <w:bCs w:val="0"/>
        </w:rPr>
        <w:t xml:space="preserve"> Proportion of nuclei of each cell type isolated across all individuals in each disease group (n = 7 per group) and </w:t>
      </w:r>
      <w:r w:rsidRPr="00B1604C">
        <w:t>(b)</w:t>
      </w:r>
      <w:r w:rsidRPr="00B1604C">
        <w:rPr>
          <w:b w:val="0"/>
          <w:bCs w:val="0"/>
        </w:rPr>
        <w:t xml:space="preserve"> across each individual. </w:t>
      </w:r>
      <w:r w:rsidRPr="00B1604C">
        <w:t>(c)</w:t>
      </w:r>
      <w:r w:rsidRPr="00B1604C">
        <w:rPr>
          <w:b w:val="0"/>
          <w:bCs w:val="0"/>
        </w:rPr>
        <w:t xml:space="preserve"> Scatterplot of cell-type proportions (%) derived from Scaden deconvolution and cell-type labelling of single nuclei. In each panel, Spearman’s rho (</w:t>
      </w:r>
      <w:r w:rsidR="00D66C3F" w:rsidRPr="00B1604C">
        <w:rPr>
          <w:rFonts w:cs="Calibri"/>
          <w:b w:val="0"/>
          <w:bCs w:val="0"/>
        </w:rPr>
        <w:t>ρ</w:t>
      </w:r>
      <w:r w:rsidRPr="00B1604C">
        <w:rPr>
          <w:b w:val="0"/>
          <w:bCs w:val="0"/>
        </w:rPr>
        <w:t>) and associated p-value (p) are displayed.</w:t>
      </w:r>
      <w:r w:rsidR="00FD0480" w:rsidRPr="00B1604C">
        <w:rPr>
          <w:b w:val="0"/>
          <w:bCs w:val="0"/>
        </w:rPr>
        <w:t xml:space="preserve"> Proportions are available in </w:t>
      </w:r>
      <w:r w:rsidR="00FD0480" w:rsidRPr="00B1604C">
        <w:fldChar w:fldCharType="begin"/>
      </w:r>
      <w:r w:rsidR="00FD0480" w:rsidRPr="00B1604C">
        <w:instrText xml:space="preserve"> REF _Ref44696629 \h  \* MERGEFORMAT </w:instrText>
      </w:r>
      <w:r w:rsidR="00FD0480" w:rsidRPr="00B1604C">
        <w:fldChar w:fldCharType="separate"/>
      </w:r>
      <w:r w:rsidR="002B0885" w:rsidRPr="00B1604C">
        <w:t xml:space="preserve">Supplementary Table </w:t>
      </w:r>
      <w:r w:rsidR="002B0885" w:rsidRPr="00B1604C">
        <w:rPr>
          <w:noProof/>
        </w:rPr>
        <w:t>2</w:t>
      </w:r>
      <w:r w:rsidR="00FD0480" w:rsidRPr="00B1604C">
        <w:fldChar w:fldCharType="end"/>
      </w:r>
      <w:r w:rsidR="00FD0480" w:rsidRPr="00B1604C">
        <w:rPr>
          <w:b w:val="0"/>
          <w:bCs w:val="0"/>
        </w:rPr>
        <w:t>.</w:t>
      </w:r>
      <w:r w:rsidR="00B10C35">
        <w:rPr>
          <w:b w:val="0"/>
          <w:bCs w:val="0"/>
        </w:rPr>
        <w:t xml:space="preserve"> OPC, oligodendrocyte precursor cell.</w:t>
      </w:r>
    </w:p>
    <w:p w14:paraId="6492A9D0" w14:textId="7FEF6A59" w:rsidR="009162ED" w:rsidRPr="00B1604C" w:rsidRDefault="00A15CD8" w:rsidP="009162ED">
      <w:pPr>
        <w:pStyle w:val="Caption"/>
        <w:rPr>
          <w:b w:val="0"/>
          <w:bCs w:val="0"/>
        </w:rPr>
      </w:pPr>
      <w:r>
        <w:rPr>
          <w:noProof/>
          <w:lang w:val="en-IN" w:eastAsia="en-IN"/>
        </w:rPr>
        <w:drawing>
          <wp:inline distT="0" distB="0" distL="0" distR="0" wp14:anchorId="5A31D2C7" wp14:editId="7D390ED0">
            <wp:extent cx="5400675" cy="7200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675" cy="7200900"/>
                    </a:xfrm>
                    <a:prstGeom prst="rect">
                      <a:avLst/>
                    </a:prstGeom>
                  </pic:spPr>
                </pic:pic>
              </a:graphicData>
            </a:graphic>
          </wp:inline>
        </w:drawing>
      </w:r>
      <w:r w:rsidR="2307FA22">
        <w:rPr>
          <w:b w:val="0"/>
          <w:bCs w:val="0"/>
        </w:rPr>
        <w:t xml:space="preserve"> </w:t>
      </w:r>
    </w:p>
    <w:p w14:paraId="698985AC" w14:textId="2A1C3336" w:rsidR="009162ED" w:rsidRPr="00B1604C" w:rsidRDefault="00D44989" w:rsidP="009162ED">
      <w:pPr>
        <w:pStyle w:val="Caption"/>
      </w:pPr>
      <w:bookmarkStart w:id="6" w:name="_Ref44695459"/>
      <w:r>
        <w:t>Supplementary Fig.</w:t>
      </w:r>
      <w:r w:rsidR="009162ED" w:rsidRPr="00B1604C">
        <w:t xml:space="preserve"> </w:t>
      </w:r>
      <w:r>
        <w:fldChar w:fldCharType="begin"/>
      </w:r>
      <w:r>
        <w:instrText>SEQ Supplementary_Fig. \* ARABIC</w:instrText>
      </w:r>
      <w:r>
        <w:fldChar w:fldCharType="separate"/>
      </w:r>
      <w:r>
        <w:rPr>
          <w:noProof/>
        </w:rPr>
        <w:t>5</w:t>
      </w:r>
      <w:r>
        <w:fldChar w:fldCharType="end"/>
      </w:r>
      <w:bookmarkEnd w:id="6"/>
      <w:r w:rsidR="009162ED" w:rsidRPr="00B1604C">
        <w:t xml:space="preserve"> Replication of cell-type proportions.</w:t>
      </w:r>
    </w:p>
    <w:p w14:paraId="58DB9E1B" w14:textId="74A0CFD2" w:rsidR="000C26A6" w:rsidRPr="00B1604C" w:rsidRDefault="009162ED" w:rsidP="009162ED">
      <w:pPr>
        <w:pStyle w:val="Caption"/>
      </w:pPr>
      <w:r w:rsidRPr="00B1604C">
        <w:rPr>
          <w:b w:val="0"/>
          <w:bCs w:val="0"/>
        </w:rPr>
        <w:t xml:space="preserve">Cell-type proportions derived from Scaden deconvolution of our bulk-tissue RNA-sequencing or the recount dataset, SRP058181. Cell-type proportions (upper panel) are grouped by cell type and disease status and displayed relative to the median of controls (within a cell type). Significant differences in cell-type proportions between disease groups (lower panel) were determined using the Wilcoxon rank sum test, with FDR correction for multiple testing. Non-significant results (FDR &gt; 0.1) were coloured white; **, FDR &lt; 0.05; *, FDR &lt;= 0.1. </w:t>
      </w:r>
      <w:r w:rsidR="00D231AB" w:rsidRPr="00B1604C">
        <w:rPr>
          <w:b w:val="0"/>
          <w:bCs w:val="0"/>
        </w:rPr>
        <w:t xml:space="preserve">Results are available in </w:t>
      </w:r>
      <w:r w:rsidR="00D231AB" w:rsidRPr="00B1604C">
        <w:fldChar w:fldCharType="begin"/>
      </w:r>
      <w:r w:rsidR="00D231AB" w:rsidRPr="00B1604C">
        <w:instrText xml:space="preserve"> REF _Ref44696629 \h  \* MERGEFORMAT </w:instrText>
      </w:r>
      <w:r w:rsidR="00D231AB" w:rsidRPr="00B1604C">
        <w:fldChar w:fldCharType="separate"/>
      </w:r>
      <w:r w:rsidR="002B0885" w:rsidRPr="00B1604C">
        <w:t xml:space="preserve">Supplementary Table </w:t>
      </w:r>
      <w:r w:rsidR="002B0885" w:rsidRPr="00B1604C">
        <w:rPr>
          <w:noProof/>
        </w:rPr>
        <w:t>2</w:t>
      </w:r>
      <w:r w:rsidR="00D231AB" w:rsidRPr="00B1604C">
        <w:fldChar w:fldCharType="end"/>
      </w:r>
      <w:r w:rsidR="00D231AB" w:rsidRPr="00B1604C">
        <w:rPr>
          <w:b w:val="0"/>
          <w:bCs w:val="0"/>
        </w:rPr>
        <w:t xml:space="preserve">. </w:t>
      </w:r>
      <w:r w:rsidR="00B10C35">
        <w:rPr>
          <w:b w:val="0"/>
          <w:bCs w:val="0"/>
        </w:rPr>
        <w:t>OPC, oligodendrocyte precursor cell.</w:t>
      </w:r>
    </w:p>
    <w:p w14:paraId="6FF0B1F5" w14:textId="4CA1B6A3" w:rsidR="000C26A6" w:rsidRPr="00B1604C" w:rsidRDefault="00F8120E" w:rsidP="000C26A6">
      <w:pPr>
        <w:keepNext/>
      </w:pPr>
      <w:r>
        <w:rPr>
          <w:noProof/>
          <w:lang w:val="en-IN" w:eastAsia="en-IN"/>
        </w:rPr>
        <w:drawing>
          <wp:inline distT="0" distB="0" distL="0" distR="0" wp14:anchorId="7C74A4FA" wp14:editId="700B8DC3">
            <wp:extent cx="5400675" cy="5038724"/>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6">
                      <a:extLst>
                        <a:ext uri="{28A0092B-C50C-407E-A947-70E740481C1C}">
                          <a14:useLocalDpi xmlns:a14="http://schemas.microsoft.com/office/drawing/2010/main" val="0"/>
                        </a:ext>
                      </a:extLst>
                    </a:blip>
                    <a:stretch>
                      <a:fillRect/>
                    </a:stretch>
                  </pic:blipFill>
                  <pic:spPr>
                    <a:xfrm>
                      <a:off x="0" y="0"/>
                      <a:ext cx="5400675" cy="5038724"/>
                    </a:xfrm>
                    <a:prstGeom prst="rect">
                      <a:avLst/>
                    </a:prstGeom>
                  </pic:spPr>
                </pic:pic>
              </a:graphicData>
            </a:graphic>
          </wp:inline>
        </w:drawing>
      </w:r>
    </w:p>
    <w:p w14:paraId="7FE7F2AB" w14:textId="1EA1733C" w:rsidR="000C26A6" w:rsidRPr="00B1604C" w:rsidRDefault="00D44989" w:rsidP="000C26A6">
      <w:pPr>
        <w:pStyle w:val="Caption"/>
      </w:pPr>
      <w:bookmarkStart w:id="7" w:name="_Ref56113919"/>
      <w:r>
        <w:t>Supplementary Fig.</w:t>
      </w:r>
      <w:r w:rsidR="000C26A6" w:rsidRPr="00B1604C">
        <w:t xml:space="preserve"> </w:t>
      </w:r>
      <w:r>
        <w:fldChar w:fldCharType="begin"/>
      </w:r>
      <w:r>
        <w:instrText>SEQ Supplementary_Fig. \* ARABIC</w:instrText>
      </w:r>
      <w:r>
        <w:fldChar w:fldCharType="separate"/>
      </w:r>
      <w:r>
        <w:rPr>
          <w:noProof/>
        </w:rPr>
        <w:t>6</w:t>
      </w:r>
      <w:r>
        <w:fldChar w:fldCharType="end"/>
      </w:r>
      <w:bookmarkEnd w:id="7"/>
      <w:r w:rsidR="000C26A6" w:rsidRPr="00B1604C">
        <w:t xml:space="preserve"> Effect of different batch-correction strategies on sample clustering by gene expression. </w:t>
      </w:r>
    </w:p>
    <w:p w14:paraId="48BD1A26" w14:textId="73D545FD" w:rsidR="00B07A09" w:rsidRPr="00B1604C" w:rsidRDefault="000C26A6" w:rsidP="00B07A09">
      <w:pPr>
        <w:pStyle w:val="Caption"/>
        <w:rPr>
          <w:b w:val="0"/>
          <w:bCs w:val="0"/>
        </w:rPr>
      </w:pPr>
      <w:r w:rsidRPr="00B1604C">
        <w:rPr>
          <w:b w:val="0"/>
          <w:bCs w:val="0"/>
        </w:rPr>
        <w:t>Samples were plotted by the first two principal components</w:t>
      </w:r>
      <w:r w:rsidR="00B10C35">
        <w:rPr>
          <w:b w:val="0"/>
          <w:bCs w:val="0"/>
        </w:rPr>
        <w:t xml:space="preserve"> (otherwise known as dimensions</w:t>
      </w:r>
      <w:r w:rsidR="000D29FB">
        <w:rPr>
          <w:b w:val="0"/>
          <w:bCs w:val="0"/>
        </w:rPr>
        <w:t>, dim</w:t>
      </w:r>
      <w:r w:rsidR="00B10C35">
        <w:rPr>
          <w:b w:val="0"/>
          <w:bCs w:val="0"/>
        </w:rPr>
        <w:t>)</w:t>
      </w:r>
      <w:r w:rsidRPr="00B1604C">
        <w:rPr>
          <w:b w:val="0"/>
          <w:bCs w:val="0"/>
        </w:rPr>
        <w:t xml:space="preserve"> derived from </w:t>
      </w:r>
      <w:r w:rsidRPr="00B1604C">
        <w:t>(a)</w:t>
      </w:r>
      <w:r w:rsidRPr="00B1604C">
        <w:rPr>
          <w:b w:val="0"/>
          <w:bCs w:val="0"/>
        </w:rPr>
        <w:t xml:space="preserve"> uncorrected gene expression, </w:t>
      </w:r>
      <w:r w:rsidRPr="00B1604C">
        <w:t>(b)</w:t>
      </w:r>
      <w:r w:rsidRPr="00B1604C">
        <w:rPr>
          <w:b w:val="0"/>
          <w:bCs w:val="0"/>
        </w:rPr>
        <w:t xml:space="preserve"> gene expression adjusted for age of death, sex and RIN and </w:t>
      </w:r>
      <w:r w:rsidRPr="00B1604C">
        <w:t>(c)</w:t>
      </w:r>
      <w:r w:rsidRPr="00B1604C">
        <w:rPr>
          <w:b w:val="0"/>
          <w:bCs w:val="0"/>
        </w:rPr>
        <w:t xml:space="preserve"> gene expression adjusted for cell-type and experimental covariates.</w:t>
      </w:r>
      <w:r w:rsidR="009265D2" w:rsidRPr="00B1604C">
        <w:rPr>
          <w:b w:val="0"/>
          <w:bCs w:val="0"/>
        </w:rPr>
        <w:t xml:space="preserve"> Principal component analyses were performed on gene-level expression filtered to include only genes with count &gt; 0 in all samples (28,692 genes).</w:t>
      </w:r>
      <w:r w:rsidRPr="00B1604C">
        <w:rPr>
          <w:b w:val="0"/>
          <w:bCs w:val="0"/>
        </w:rPr>
        <w:t xml:space="preserve"> Ellipses represent the 95% confidence level around group mean points (not displayed). </w:t>
      </w:r>
      <w:r w:rsidRPr="00B1604C">
        <w:t>(d)</w:t>
      </w:r>
      <w:r w:rsidRPr="00B1604C">
        <w:rPr>
          <w:b w:val="0"/>
          <w:bCs w:val="0"/>
        </w:rPr>
        <w:t xml:space="preserve"> </w:t>
      </w:r>
      <w:r w:rsidR="00A07007" w:rsidRPr="00B1604C">
        <w:rPr>
          <w:b w:val="0"/>
          <w:bCs w:val="0"/>
        </w:rPr>
        <w:t xml:space="preserve">Reduced </w:t>
      </w:r>
      <w:r w:rsidR="000D29FB">
        <w:rPr>
          <w:b w:val="0"/>
          <w:bCs w:val="0"/>
        </w:rPr>
        <w:t>gene ontology (</w:t>
      </w:r>
      <w:r w:rsidR="00BD0A66" w:rsidRPr="00B1604C">
        <w:rPr>
          <w:b w:val="0"/>
          <w:bCs w:val="0"/>
        </w:rPr>
        <w:t>GO</w:t>
      </w:r>
      <w:r w:rsidR="000D29FB">
        <w:rPr>
          <w:b w:val="0"/>
          <w:bCs w:val="0"/>
        </w:rPr>
        <w:t>)</w:t>
      </w:r>
      <w:r w:rsidRPr="00B1604C">
        <w:rPr>
          <w:b w:val="0"/>
          <w:bCs w:val="0"/>
        </w:rPr>
        <w:t xml:space="preserve"> terms associated with the top 100 genes that contribute to </w:t>
      </w:r>
      <w:r w:rsidR="000D29FB">
        <w:rPr>
          <w:b w:val="0"/>
          <w:bCs w:val="0"/>
        </w:rPr>
        <w:t>the first principal component (</w:t>
      </w:r>
      <w:r w:rsidRPr="00B1604C">
        <w:rPr>
          <w:b w:val="0"/>
          <w:bCs w:val="0"/>
        </w:rPr>
        <w:t>PC1</w:t>
      </w:r>
      <w:r w:rsidR="000D29FB">
        <w:rPr>
          <w:b w:val="0"/>
          <w:bCs w:val="0"/>
        </w:rPr>
        <w:t>)</w:t>
      </w:r>
      <w:r w:rsidRPr="00B1604C">
        <w:rPr>
          <w:b w:val="0"/>
          <w:bCs w:val="0"/>
        </w:rPr>
        <w:t xml:space="preserve"> in </w:t>
      </w:r>
      <w:r w:rsidRPr="00B1604C">
        <w:t>(c)</w:t>
      </w:r>
      <w:r w:rsidRPr="00B1604C">
        <w:rPr>
          <w:b w:val="0"/>
          <w:bCs w:val="0"/>
        </w:rPr>
        <w:t xml:space="preserve">. </w:t>
      </w:r>
      <w:r w:rsidR="00DA720A" w:rsidRPr="00B1604C">
        <w:rPr>
          <w:b w:val="0"/>
          <w:bCs w:val="0"/>
        </w:rPr>
        <w:t>Original GO term enrichments (referred to as “child terms”) were grouped using semantic similarity. The number of enriched child GO terms assigned to each parent term is indicated in parentheses on the y-axis.</w:t>
      </w:r>
      <w:r w:rsidR="00867719" w:rsidRPr="00B1604C">
        <w:rPr>
          <w:b w:val="0"/>
          <w:bCs w:val="0"/>
        </w:rPr>
        <w:t xml:space="preserve"> </w:t>
      </w:r>
      <w:r w:rsidR="00055847" w:rsidRPr="00B1604C">
        <w:rPr>
          <w:b w:val="0"/>
          <w:bCs w:val="0"/>
        </w:rPr>
        <w:t xml:space="preserve">Each parent term is represented by the most significant child term associated with it. </w:t>
      </w:r>
      <w:r w:rsidR="006D3C89" w:rsidRPr="00B1604C">
        <w:rPr>
          <w:b w:val="0"/>
          <w:bCs w:val="0"/>
        </w:rPr>
        <w:t>Top 100 genes</w:t>
      </w:r>
      <w:r w:rsidR="00FE1C5B" w:rsidRPr="00B1604C">
        <w:rPr>
          <w:b w:val="0"/>
          <w:bCs w:val="0"/>
        </w:rPr>
        <w:t>, their contributions to PC1</w:t>
      </w:r>
      <w:r w:rsidR="006D3C89" w:rsidRPr="00B1604C">
        <w:rPr>
          <w:b w:val="0"/>
          <w:bCs w:val="0"/>
        </w:rPr>
        <w:t xml:space="preserve"> and results of pathway enrichment are available in </w:t>
      </w:r>
      <w:r w:rsidR="006D3C89" w:rsidRPr="00B1604C">
        <w:fldChar w:fldCharType="begin"/>
      </w:r>
      <w:r w:rsidR="006D3C89" w:rsidRPr="00B1604C">
        <w:instrText xml:space="preserve"> REF _Ref58843242 \h  \* MERGEFORMAT </w:instrText>
      </w:r>
      <w:r w:rsidR="006D3C89" w:rsidRPr="00B1604C">
        <w:fldChar w:fldCharType="separate"/>
      </w:r>
      <w:r w:rsidR="002B0885" w:rsidRPr="00B1604C">
        <w:t xml:space="preserve">Supplementary Table </w:t>
      </w:r>
      <w:r w:rsidR="002B0885" w:rsidRPr="00B1604C">
        <w:rPr>
          <w:noProof/>
        </w:rPr>
        <w:t>4</w:t>
      </w:r>
      <w:r w:rsidR="006D3C89" w:rsidRPr="00B1604C">
        <w:fldChar w:fldCharType="end"/>
      </w:r>
      <w:r w:rsidR="006D3C89" w:rsidRPr="00B1604C">
        <w:rPr>
          <w:b w:val="0"/>
          <w:bCs w:val="0"/>
        </w:rPr>
        <w:t>.</w:t>
      </w:r>
      <w:r w:rsidR="009F585B" w:rsidRPr="00B1604C">
        <w:rPr>
          <w:b w:val="0"/>
          <w:bCs w:val="0"/>
        </w:rPr>
        <w:t xml:space="preserve"> </w:t>
      </w:r>
    </w:p>
    <w:p w14:paraId="6C1584C6" w14:textId="7A0569C9" w:rsidR="00890A6A" w:rsidRPr="00B1604C" w:rsidRDefault="00B23864" w:rsidP="00890A6A">
      <w:pPr>
        <w:pStyle w:val="Caption"/>
        <w:keepNext/>
      </w:pPr>
      <w:r>
        <w:rPr>
          <w:noProof/>
          <w:lang w:val="en-IN" w:eastAsia="en-IN"/>
        </w:rPr>
        <w:drawing>
          <wp:inline distT="0" distB="0" distL="0" distR="0" wp14:anchorId="41063085" wp14:editId="667E7314">
            <wp:extent cx="5400040" cy="647826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7">
                      <a:extLst>
                        <a:ext uri="{28A0092B-C50C-407E-A947-70E740481C1C}">
                          <a14:useLocalDpi xmlns:a14="http://schemas.microsoft.com/office/drawing/2010/main" val="0"/>
                        </a:ext>
                      </a:extLst>
                    </a:blip>
                    <a:stretch>
                      <a:fillRect/>
                    </a:stretch>
                  </pic:blipFill>
                  <pic:spPr>
                    <a:xfrm>
                      <a:off x="0" y="0"/>
                      <a:ext cx="5400040" cy="6478268"/>
                    </a:xfrm>
                    <a:prstGeom prst="rect">
                      <a:avLst/>
                    </a:prstGeom>
                  </pic:spPr>
                </pic:pic>
              </a:graphicData>
            </a:graphic>
          </wp:inline>
        </w:drawing>
      </w:r>
    </w:p>
    <w:p w14:paraId="3907C660" w14:textId="37369208" w:rsidR="00890A6A" w:rsidRPr="00B1604C" w:rsidRDefault="00D44989" w:rsidP="00890A6A">
      <w:pPr>
        <w:pStyle w:val="Caption"/>
        <w:rPr>
          <w:b w:val="0"/>
          <w:bCs w:val="0"/>
        </w:rPr>
      </w:pPr>
      <w:bookmarkStart w:id="8" w:name="_Ref45555990"/>
      <w:bookmarkStart w:id="9" w:name="_Ref45555986"/>
      <w:r>
        <w:t>Supplementary Fig.</w:t>
      </w:r>
      <w:r w:rsidR="00890A6A" w:rsidRPr="00B1604C">
        <w:t xml:space="preserve"> </w:t>
      </w:r>
      <w:r>
        <w:fldChar w:fldCharType="begin"/>
      </w:r>
      <w:r>
        <w:instrText>SEQ Supplementary_Fig. \* ARABIC</w:instrText>
      </w:r>
      <w:r>
        <w:fldChar w:fldCharType="separate"/>
      </w:r>
      <w:r>
        <w:rPr>
          <w:noProof/>
        </w:rPr>
        <w:t>7</w:t>
      </w:r>
      <w:r>
        <w:fldChar w:fldCharType="end"/>
      </w:r>
      <w:bookmarkEnd w:id="8"/>
      <w:r w:rsidR="00890A6A" w:rsidRPr="00B1604C">
        <w:t xml:space="preserve"> Cell-type-specific gene expression</w:t>
      </w:r>
      <w:r w:rsidR="00DC34EA" w:rsidRPr="00B1604C">
        <w:t xml:space="preserve"> </w:t>
      </w:r>
      <w:r w:rsidR="00890A6A" w:rsidRPr="00B1604C">
        <w:t>changes</w:t>
      </w:r>
      <w:r w:rsidR="00DC34EA" w:rsidRPr="00B1604C">
        <w:t xml:space="preserve"> and pathway enrichments</w:t>
      </w:r>
      <w:r w:rsidR="00890A6A" w:rsidRPr="00B1604C">
        <w:t xml:space="preserve"> </w:t>
      </w:r>
      <w:r w:rsidR="00C56574" w:rsidRPr="00B1604C">
        <w:t>between</w:t>
      </w:r>
      <w:r w:rsidR="00890A6A" w:rsidRPr="00B1604C">
        <w:t xml:space="preserve"> disease states.</w:t>
      </w:r>
      <w:bookmarkEnd w:id="9"/>
      <w:r w:rsidR="00890A6A" w:rsidRPr="00B1604C">
        <w:rPr>
          <w:b w:val="0"/>
          <w:bCs w:val="0"/>
        </w:rPr>
        <w:t xml:space="preserve"> </w:t>
      </w:r>
    </w:p>
    <w:p w14:paraId="3B238D89" w14:textId="300F5623" w:rsidR="000D77BA" w:rsidRPr="00B1604C" w:rsidRDefault="00890A6A" w:rsidP="006F2B1C">
      <w:pPr>
        <w:pStyle w:val="Caption"/>
        <w:rPr>
          <w:b w:val="0"/>
          <w:bCs w:val="0"/>
        </w:rPr>
      </w:pPr>
      <w:r w:rsidRPr="00B1604C">
        <w:t>(a)</w:t>
      </w:r>
      <w:r w:rsidRPr="00B1604C">
        <w:rPr>
          <w:b w:val="0"/>
          <w:bCs w:val="0"/>
        </w:rPr>
        <w:t xml:space="preserve"> Number of differentially expressed</w:t>
      </w:r>
      <w:r w:rsidR="00C65F03" w:rsidRPr="00B1604C">
        <w:rPr>
          <w:b w:val="0"/>
          <w:bCs w:val="0"/>
        </w:rPr>
        <w:t xml:space="preserve"> (DE)</w:t>
      </w:r>
      <w:r w:rsidRPr="00B1604C">
        <w:rPr>
          <w:b w:val="0"/>
          <w:bCs w:val="0"/>
        </w:rPr>
        <w:t xml:space="preserve"> genes (</w:t>
      </w:r>
      <w:r w:rsidR="00051716" w:rsidRPr="00B1604C">
        <w:rPr>
          <w:b w:val="0"/>
          <w:bCs w:val="0"/>
        </w:rPr>
        <w:t>|log</w:t>
      </w:r>
      <w:r w:rsidR="00051716" w:rsidRPr="00B1604C">
        <w:rPr>
          <w:b w:val="0"/>
          <w:bCs w:val="0"/>
          <w:vertAlign w:val="subscript"/>
        </w:rPr>
        <w:t>2</w:t>
      </w:r>
      <w:r w:rsidR="00051716" w:rsidRPr="00B1604C">
        <w:rPr>
          <w:b w:val="0"/>
          <w:bCs w:val="0"/>
        </w:rPr>
        <w:t>(</w:t>
      </w:r>
      <w:r w:rsidR="00CC546C">
        <w:rPr>
          <w:b w:val="0"/>
          <w:bCs w:val="0"/>
        </w:rPr>
        <w:t>fold change</w:t>
      </w:r>
      <w:r w:rsidR="00051716" w:rsidRPr="00B1604C">
        <w:rPr>
          <w:b w:val="0"/>
          <w:bCs w:val="0"/>
        </w:rPr>
        <w:t xml:space="preserve">)| </w:t>
      </w:r>
      <w:r w:rsidR="00051716" w:rsidRPr="00B1604C">
        <w:rPr>
          <w:rFonts w:cs="Calibri"/>
          <w:b w:val="0"/>
          <w:bCs w:val="0"/>
        </w:rPr>
        <w:t>≥</w:t>
      </w:r>
      <w:r w:rsidR="00051716" w:rsidRPr="00B1604C">
        <w:rPr>
          <w:b w:val="0"/>
          <w:bCs w:val="0"/>
        </w:rPr>
        <w:t xml:space="preserve"> log</w:t>
      </w:r>
      <w:r w:rsidR="00051716" w:rsidRPr="00B1604C">
        <w:rPr>
          <w:b w:val="0"/>
          <w:bCs w:val="0"/>
          <w:vertAlign w:val="subscript"/>
        </w:rPr>
        <w:t>2</w:t>
      </w:r>
      <w:r w:rsidR="00051716" w:rsidRPr="00B1604C">
        <w:rPr>
          <w:b w:val="0"/>
          <w:bCs w:val="0"/>
        </w:rPr>
        <w:t>(1.5)</w:t>
      </w:r>
      <w:r w:rsidRPr="00B1604C">
        <w:rPr>
          <w:b w:val="0"/>
          <w:bCs w:val="0"/>
        </w:rPr>
        <w:t>, FDR &lt; 0.05) across each cell type in pairwise comparisons between disease groups.</w:t>
      </w:r>
      <w:r w:rsidR="00C65F03" w:rsidRPr="00B1604C">
        <w:rPr>
          <w:b w:val="0"/>
          <w:bCs w:val="0"/>
        </w:rPr>
        <w:t xml:space="preserve"> The fill of the square is proportional to the number of DE genes.</w:t>
      </w:r>
      <w:r w:rsidRPr="00B1604C">
        <w:rPr>
          <w:b w:val="0"/>
          <w:bCs w:val="0"/>
        </w:rPr>
        <w:t xml:space="preserve"> </w:t>
      </w:r>
      <w:r w:rsidRPr="00B1604C">
        <w:t>(b)</w:t>
      </w:r>
      <w:r w:rsidRPr="00B1604C">
        <w:rPr>
          <w:b w:val="0"/>
          <w:bCs w:val="0"/>
        </w:rPr>
        <w:t xml:space="preserve"> Binary plot indicating with bars whether a gene (column) is </w:t>
      </w:r>
      <w:r w:rsidR="00495BB3" w:rsidRPr="00B1604C">
        <w:rPr>
          <w:b w:val="0"/>
          <w:bCs w:val="0"/>
        </w:rPr>
        <w:t>down-</w:t>
      </w:r>
      <w:r w:rsidRPr="00B1604C">
        <w:rPr>
          <w:b w:val="0"/>
          <w:bCs w:val="0"/>
        </w:rPr>
        <w:t xml:space="preserve">regulated (upper panel) or </w:t>
      </w:r>
      <w:r w:rsidR="00495BB3" w:rsidRPr="00B1604C">
        <w:rPr>
          <w:b w:val="0"/>
          <w:bCs w:val="0"/>
        </w:rPr>
        <w:t>up-</w:t>
      </w:r>
      <w:r w:rsidRPr="00B1604C">
        <w:rPr>
          <w:b w:val="0"/>
          <w:bCs w:val="0"/>
        </w:rPr>
        <w:t>regulated (lower panel) in a given cell type (rows). Number of DE genes in each comparison indicated on the x-axis.</w:t>
      </w:r>
      <w:r w:rsidR="0007318E" w:rsidRPr="00B1604C">
        <w:rPr>
          <w:b w:val="0"/>
          <w:bCs w:val="0"/>
        </w:rPr>
        <w:t xml:space="preserve"> </w:t>
      </w:r>
      <w:r w:rsidR="0007318E" w:rsidRPr="00B1604C">
        <w:t>(c)</w:t>
      </w:r>
      <w:r w:rsidR="0007318E" w:rsidRPr="00B1604C">
        <w:rPr>
          <w:b w:val="0"/>
          <w:bCs w:val="0"/>
        </w:rPr>
        <w:t xml:space="preserve"> Reduced GO terms associated with cell-type-specific down- and up-regulated DE genes identified across pairwise comparisons</w:t>
      </w:r>
      <w:r w:rsidR="009247CD" w:rsidRPr="00B1604C">
        <w:rPr>
          <w:b w:val="0"/>
          <w:bCs w:val="0"/>
        </w:rPr>
        <w:t xml:space="preserve"> between disease groups</w:t>
      </w:r>
      <w:r w:rsidR="0007318E" w:rsidRPr="00B1604C">
        <w:rPr>
          <w:b w:val="0"/>
          <w:bCs w:val="0"/>
        </w:rPr>
        <w:t xml:space="preserve">. Due to the magnitude of pathway enrichments, </w:t>
      </w:r>
      <w:r w:rsidR="000C240D" w:rsidRPr="00B1604C">
        <w:rPr>
          <w:b w:val="0"/>
          <w:bCs w:val="0"/>
        </w:rPr>
        <w:t xml:space="preserve">original GO term enrichments (referred to as “child terms”) were grouped using semantic similarity. The number of enriched child GO terms assigned to each </w:t>
      </w:r>
      <w:r w:rsidR="000C240D">
        <w:rPr>
          <w:b w:val="0"/>
          <w:bCs w:val="0"/>
        </w:rPr>
        <w:t xml:space="preserve">reduced </w:t>
      </w:r>
      <w:r w:rsidR="000C240D" w:rsidRPr="00B1604C">
        <w:rPr>
          <w:b w:val="0"/>
          <w:bCs w:val="0"/>
        </w:rPr>
        <w:t>parent term across all cell types and comparisons in the panel is indicated in parentheses on the y-axis. Reduced GO terms were ordered on the y-axis by the number of cell types and comparisons in which the term was found enriched. The fill of each tile indicates the -log</w:t>
      </w:r>
      <w:r w:rsidR="000C240D" w:rsidRPr="00B1604C">
        <w:rPr>
          <w:b w:val="0"/>
          <w:bCs w:val="0"/>
          <w:vertAlign w:val="subscript"/>
        </w:rPr>
        <w:t>10</w:t>
      </w:r>
      <w:r w:rsidR="000C240D" w:rsidRPr="00B1604C">
        <w:rPr>
          <w:b w:val="0"/>
          <w:bCs w:val="0"/>
        </w:rPr>
        <w:t>(FDR) of the most significant child term associated with the parent term within that comparison/cell type.</w:t>
      </w:r>
      <w:r w:rsidR="0007318E" w:rsidRPr="00B1604C">
        <w:rPr>
          <w:b w:val="0"/>
          <w:bCs w:val="0"/>
        </w:rPr>
        <w:t xml:space="preserve"> Non-significant results (FDR &gt; 0.05) were coloured white.</w:t>
      </w:r>
      <w:r w:rsidR="00D5517C" w:rsidRPr="00B1604C">
        <w:rPr>
          <w:b w:val="0"/>
          <w:bCs w:val="0"/>
        </w:rPr>
        <w:t xml:space="preserve"> All cell-type-specific DE genes and pathway enrichments are available in </w:t>
      </w:r>
      <w:r w:rsidR="00D5517C" w:rsidRPr="00B1604C">
        <w:fldChar w:fldCharType="begin"/>
      </w:r>
      <w:r w:rsidR="00D5517C" w:rsidRPr="00B1604C">
        <w:instrText xml:space="preserve"> REF _Ref44839606 \h  \* MERGEFORMAT </w:instrText>
      </w:r>
      <w:r w:rsidR="00D5517C" w:rsidRPr="00B1604C">
        <w:fldChar w:fldCharType="separate"/>
      </w:r>
      <w:r w:rsidR="002B0885" w:rsidRPr="00B1604C">
        <w:t xml:space="preserve">Supplementary Table </w:t>
      </w:r>
      <w:r w:rsidR="002B0885" w:rsidRPr="00B1604C">
        <w:rPr>
          <w:noProof/>
        </w:rPr>
        <w:t>5</w:t>
      </w:r>
      <w:r w:rsidR="00D5517C" w:rsidRPr="00B1604C">
        <w:fldChar w:fldCharType="end"/>
      </w:r>
      <w:r w:rsidR="00D5517C" w:rsidRPr="00B1604C">
        <w:rPr>
          <w:b w:val="0"/>
          <w:bCs w:val="0"/>
        </w:rPr>
        <w:t xml:space="preserve"> and </w:t>
      </w:r>
      <w:r w:rsidR="00D5517C" w:rsidRPr="00B1604C">
        <w:fldChar w:fldCharType="begin"/>
      </w:r>
      <w:r w:rsidR="00D5517C" w:rsidRPr="00B1604C">
        <w:instrText xml:space="preserve"> REF _Ref56117717 \h  \* MERGEFORMAT </w:instrText>
      </w:r>
      <w:r w:rsidR="00D5517C" w:rsidRPr="00B1604C">
        <w:fldChar w:fldCharType="separate"/>
      </w:r>
      <w:r w:rsidR="002B0885" w:rsidRPr="00B1604C">
        <w:t xml:space="preserve">Supplementary Table </w:t>
      </w:r>
      <w:r w:rsidR="002B0885" w:rsidRPr="00B1604C">
        <w:rPr>
          <w:noProof/>
        </w:rPr>
        <w:t>6</w:t>
      </w:r>
      <w:r w:rsidR="00D5517C" w:rsidRPr="00B1604C">
        <w:fldChar w:fldCharType="end"/>
      </w:r>
      <w:r w:rsidR="00D5517C" w:rsidRPr="00B1604C">
        <w:rPr>
          <w:b w:val="0"/>
          <w:bCs w:val="0"/>
        </w:rPr>
        <w:t>, respectively.</w:t>
      </w:r>
      <w:r w:rsidR="00B10C35" w:rsidRPr="00B10C35">
        <w:rPr>
          <w:b w:val="0"/>
          <w:bCs w:val="0"/>
        </w:rPr>
        <w:t xml:space="preserve"> </w:t>
      </w:r>
      <w:r w:rsidR="00B10C35">
        <w:rPr>
          <w:b w:val="0"/>
          <w:bCs w:val="0"/>
        </w:rPr>
        <w:t>DEG, differentially expressed gene; GO, gene ontology; OPC, oligodendrocyte precursor cell.</w:t>
      </w:r>
      <w:r w:rsidR="000D77BA" w:rsidRPr="00B1604C">
        <w:br w:type="page"/>
      </w:r>
    </w:p>
    <w:p w14:paraId="5664096C" w14:textId="24D54F85" w:rsidR="000D77BA" w:rsidRPr="00B1604C" w:rsidRDefault="00CD005A" w:rsidP="000D77BA">
      <w:pPr>
        <w:keepNext/>
      </w:pPr>
      <w:r>
        <w:t xml:space="preserve"> </w:t>
      </w:r>
      <w:r w:rsidR="00C5065D">
        <w:rPr>
          <w:noProof/>
          <w:lang w:val="en-IN" w:eastAsia="en-IN"/>
        </w:rPr>
        <w:drawing>
          <wp:inline distT="0" distB="0" distL="0" distR="0" wp14:anchorId="3FDB300B" wp14:editId="0E03EB59">
            <wp:extent cx="5400040" cy="359727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8">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p>
    <w:p w14:paraId="3B3C4AF0" w14:textId="48486239" w:rsidR="00175444" w:rsidRPr="00B1604C" w:rsidRDefault="00D44989" w:rsidP="000D77BA">
      <w:pPr>
        <w:pStyle w:val="Caption"/>
        <w:rPr>
          <w:b w:val="0"/>
          <w:bCs w:val="0"/>
        </w:rPr>
      </w:pPr>
      <w:bookmarkStart w:id="10" w:name="_Ref66106939"/>
      <w:r>
        <w:t>Supplementary Fig.</w:t>
      </w:r>
      <w:r w:rsidR="000D77BA" w:rsidRPr="00B1604C">
        <w:t xml:space="preserve"> </w:t>
      </w:r>
      <w:r>
        <w:fldChar w:fldCharType="begin"/>
      </w:r>
      <w:r>
        <w:instrText>SEQ Supplementary_Fig. \* ARABIC</w:instrText>
      </w:r>
      <w:r>
        <w:fldChar w:fldCharType="separate"/>
      </w:r>
      <w:r>
        <w:rPr>
          <w:noProof/>
        </w:rPr>
        <w:t>8</w:t>
      </w:r>
      <w:r>
        <w:fldChar w:fldCharType="end"/>
      </w:r>
      <w:bookmarkEnd w:id="10"/>
      <w:r w:rsidR="00813678" w:rsidRPr="00B1604C">
        <w:t xml:space="preserve"> </w:t>
      </w:r>
      <w:r w:rsidR="00E762E4" w:rsidRPr="00B1604C">
        <w:t>Reduced GO term</w:t>
      </w:r>
      <w:r w:rsidR="00DC31FB" w:rsidRPr="00B1604C">
        <w:t xml:space="preserve"> counts across cell </w:t>
      </w:r>
      <w:r w:rsidR="00175444" w:rsidRPr="00B1604C">
        <w:t>types and pairwise comparisons.</w:t>
      </w:r>
      <w:r w:rsidR="00175444" w:rsidRPr="00B1604C">
        <w:rPr>
          <w:b w:val="0"/>
          <w:bCs w:val="0"/>
        </w:rPr>
        <w:t xml:space="preserve"> </w:t>
      </w:r>
    </w:p>
    <w:p w14:paraId="14E15660" w14:textId="69250074" w:rsidR="00941355" w:rsidRPr="00B1604C" w:rsidRDefault="00175444" w:rsidP="00E07281">
      <w:pPr>
        <w:pStyle w:val="Caption"/>
        <w:rPr>
          <w:b w:val="0"/>
          <w:bCs w:val="0"/>
        </w:rPr>
      </w:pPr>
      <w:r w:rsidRPr="00B1604C">
        <w:t xml:space="preserve">(a) </w:t>
      </w:r>
      <w:r w:rsidRPr="00B1604C">
        <w:rPr>
          <w:b w:val="0"/>
          <w:bCs w:val="0"/>
        </w:rPr>
        <w:t xml:space="preserve">Number of </w:t>
      </w:r>
      <w:r w:rsidR="002D77AD" w:rsidRPr="00B1604C">
        <w:rPr>
          <w:b w:val="0"/>
          <w:bCs w:val="0"/>
        </w:rPr>
        <w:t xml:space="preserve">cell types each </w:t>
      </w:r>
      <w:r w:rsidR="000D29FB">
        <w:rPr>
          <w:b w:val="0"/>
          <w:bCs w:val="0"/>
        </w:rPr>
        <w:t>gene ontology (</w:t>
      </w:r>
      <w:r w:rsidR="002D77AD" w:rsidRPr="00B1604C">
        <w:rPr>
          <w:b w:val="0"/>
          <w:bCs w:val="0"/>
        </w:rPr>
        <w:t>GO</w:t>
      </w:r>
      <w:r w:rsidR="000D29FB">
        <w:rPr>
          <w:b w:val="0"/>
          <w:bCs w:val="0"/>
        </w:rPr>
        <w:t xml:space="preserve">) </w:t>
      </w:r>
      <w:r w:rsidR="002D77AD" w:rsidRPr="00B1604C">
        <w:rPr>
          <w:b w:val="0"/>
          <w:bCs w:val="0"/>
        </w:rPr>
        <w:t>term</w:t>
      </w:r>
      <w:r w:rsidR="002B606B" w:rsidRPr="00B1604C">
        <w:rPr>
          <w:b w:val="0"/>
          <w:bCs w:val="0"/>
        </w:rPr>
        <w:t xml:space="preserve"> was associated with using </w:t>
      </w:r>
      <w:r w:rsidR="00E233EF" w:rsidRPr="00B1604C">
        <w:rPr>
          <w:b w:val="0"/>
          <w:bCs w:val="0"/>
        </w:rPr>
        <w:t xml:space="preserve">cell-type-specific down- and up-regulated DE genes identified across pairwise comparisons. </w:t>
      </w:r>
      <w:r w:rsidR="00F83FBF" w:rsidRPr="00B1604C">
        <w:t>(b)</w:t>
      </w:r>
      <w:r w:rsidR="006B5CFC" w:rsidRPr="00B1604C">
        <w:t xml:space="preserve"> </w:t>
      </w:r>
      <w:r w:rsidR="006B5CFC" w:rsidRPr="00B1604C">
        <w:rPr>
          <w:b w:val="0"/>
          <w:bCs w:val="0"/>
        </w:rPr>
        <w:t>Number of enriched GO terms identified</w:t>
      </w:r>
      <w:r w:rsidR="00FE2996" w:rsidRPr="00B1604C">
        <w:rPr>
          <w:b w:val="0"/>
          <w:bCs w:val="0"/>
        </w:rPr>
        <w:t xml:space="preserve"> using cell-type-specific down- and up-regulated DE genes from each pairwise comparison. Within each</w:t>
      </w:r>
      <w:r w:rsidR="00FF0FD2" w:rsidRPr="00B1604C">
        <w:rPr>
          <w:b w:val="0"/>
          <w:bCs w:val="0"/>
        </w:rPr>
        <w:t xml:space="preserve"> panel, cell types are ordered by the total number of enriched GO terms, irrespective of direction of effect</w:t>
      </w:r>
      <w:r w:rsidR="00366063" w:rsidRPr="00B1604C">
        <w:rPr>
          <w:b w:val="0"/>
          <w:bCs w:val="0"/>
        </w:rPr>
        <w:t>, from highest to lowest.</w:t>
      </w:r>
      <w:r w:rsidR="00CD005A" w:rsidRPr="00B1604C">
        <w:rPr>
          <w:b w:val="0"/>
          <w:bCs w:val="0"/>
        </w:rPr>
        <w:t xml:space="preserve"> Excitatory and inhibitory neurons have been marked with a black border.</w:t>
      </w:r>
      <w:r w:rsidR="00D76B9C">
        <w:rPr>
          <w:b w:val="0"/>
          <w:bCs w:val="0"/>
        </w:rPr>
        <w:t xml:space="preserve"> </w:t>
      </w:r>
      <w:bookmarkStart w:id="11" w:name="_Ref66295278"/>
      <w:r w:rsidR="00B10C35">
        <w:rPr>
          <w:b w:val="0"/>
          <w:bCs w:val="0"/>
        </w:rPr>
        <w:t>DEG, differentially expressed gene; OPC, oligodendrocyte precursor cell.</w:t>
      </w:r>
      <w:r w:rsidR="00941355" w:rsidRPr="00B1604C">
        <w:rPr>
          <w:b w:val="0"/>
          <w:bCs w:val="0"/>
        </w:rPr>
        <w:br w:type="page"/>
      </w:r>
    </w:p>
    <w:p w14:paraId="679B7F19" w14:textId="65C51418" w:rsidR="002F20EA" w:rsidRPr="00B1604C" w:rsidRDefault="00772006" w:rsidP="002F20EA">
      <w:pPr>
        <w:pStyle w:val="Caption"/>
        <w:jc w:val="center"/>
      </w:pPr>
      <w:r>
        <w:rPr>
          <w:noProof/>
          <w:lang w:val="en-IN" w:eastAsia="en-IN"/>
        </w:rPr>
        <w:drawing>
          <wp:inline distT="0" distB="0" distL="0" distR="0" wp14:anchorId="04E087C5" wp14:editId="1E2E8515">
            <wp:extent cx="5038724" cy="5753098"/>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5038724" cy="5753098"/>
                    </a:xfrm>
                    <a:prstGeom prst="rect">
                      <a:avLst/>
                    </a:prstGeom>
                  </pic:spPr>
                </pic:pic>
              </a:graphicData>
            </a:graphic>
          </wp:inline>
        </w:drawing>
      </w:r>
    </w:p>
    <w:p w14:paraId="359B73CD" w14:textId="301376B0" w:rsidR="0004693B" w:rsidRPr="00B1604C" w:rsidRDefault="00D44989" w:rsidP="002F20EA">
      <w:pPr>
        <w:pStyle w:val="Caption"/>
      </w:pPr>
      <w:bookmarkStart w:id="12" w:name="_Ref67930279"/>
      <w:r>
        <w:t>Supplementary Fig.</w:t>
      </w:r>
      <w:r w:rsidR="00163EA3" w:rsidRPr="00B1604C">
        <w:t xml:space="preserve"> </w:t>
      </w:r>
      <w:r>
        <w:fldChar w:fldCharType="begin"/>
      </w:r>
      <w:r>
        <w:instrText>SEQ Supplementary_Fig. \* ARABIC</w:instrText>
      </w:r>
      <w:r>
        <w:fldChar w:fldCharType="separate"/>
      </w:r>
      <w:r>
        <w:rPr>
          <w:noProof/>
        </w:rPr>
        <w:t>9</w:t>
      </w:r>
      <w:r>
        <w:fldChar w:fldCharType="end"/>
      </w:r>
      <w:bookmarkEnd w:id="11"/>
      <w:bookmarkEnd w:id="12"/>
      <w:r w:rsidR="00163EA3" w:rsidRPr="00B1604C">
        <w:t xml:space="preserve"> </w:t>
      </w:r>
      <w:r w:rsidR="00163EA3" w:rsidRPr="00B1604C">
        <w:rPr>
          <w:i/>
          <w:iCs/>
        </w:rPr>
        <w:t>SNCA</w:t>
      </w:r>
      <w:r w:rsidR="00163EA3" w:rsidRPr="00B1604C">
        <w:t xml:space="preserve"> expression </w:t>
      </w:r>
      <w:r w:rsidR="00DF1B0A" w:rsidRPr="00B1604C">
        <w:t xml:space="preserve">across cell types </w:t>
      </w:r>
      <w:r w:rsidR="001E4A52" w:rsidRPr="00B1604C">
        <w:t xml:space="preserve">in </w:t>
      </w:r>
      <w:r w:rsidR="00F2510D" w:rsidRPr="00B1604C">
        <w:t>each disease group</w:t>
      </w:r>
      <w:r w:rsidR="00DF1B0A" w:rsidRPr="00B1604C">
        <w:t>.</w:t>
      </w:r>
    </w:p>
    <w:p w14:paraId="3798FCD6" w14:textId="0D603B9D" w:rsidR="0036324B" w:rsidRPr="00B1604C" w:rsidRDefault="00450A6B" w:rsidP="006F2B1C">
      <w:pPr>
        <w:pStyle w:val="Caption"/>
        <w:rPr>
          <w:noProof/>
        </w:rPr>
      </w:pPr>
      <w:r w:rsidRPr="00B1604C">
        <w:rPr>
          <w:b w:val="0"/>
          <w:bCs w:val="0"/>
        </w:rPr>
        <w:t>C</w:t>
      </w:r>
      <w:r w:rsidR="00181463" w:rsidRPr="00B1604C">
        <w:rPr>
          <w:b w:val="0"/>
          <w:bCs w:val="0"/>
        </w:rPr>
        <w:t xml:space="preserve">umulative </w:t>
      </w:r>
      <w:r w:rsidR="004A2193" w:rsidRPr="00B1604C">
        <w:rPr>
          <w:b w:val="0"/>
          <w:bCs w:val="0"/>
        </w:rPr>
        <w:t xml:space="preserve">distribution plot comparing </w:t>
      </w:r>
      <w:r w:rsidR="004A2193" w:rsidRPr="00B1604C">
        <w:rPr>
          <w:b w:val="0"/>
          <w:bCs w:val="0"/>
          <w:i/>
          <w:iCs/>
        </w:rPr>
        <w:t>SNCA</w:t>
      </w:r>
      <w:r w:rsidR="004A2193" w:rsidRPr="00B1604C">
        <w:rPr>
          <w:b w:val="0"/>
          <w:bCs w:val="0"/>
        </w:rPr>
        <w:t xml:space="preserve"> expression levels in </w:t>
      </w:r>
      <w:r w:rsidR="00F2510D" w:rsidRPr="00B1604C">
        <w:rPr>
          <w:b w:val="0"/>
          <w:bCs w:val="0"/>
        </w:rPr>
        <w:t>each</w:t>
      </w:r>
      <w:r w:rsidR="004A2193" w:rsidRPr="00B1604C">
        <w:rPr>
          <w:b w:val="0"/>
          <w:bCs w:val="0"/>
        </w:rPr>
        <w:t xml:space="preserve"> </w:t>
      </w:r>
      <w:r w:rsidR="00F2510D" w:rsidRPr="00B1604C">
        <w:rPr>
          <w:b w:val="0"/>
          <w:bCs w:val="0"/>
        </w:rPr>
        <w:t xml:space="preserve">disease </w:t>
      </w:r>
      <w:r w:rsidR="004A2193" w:rsidRPr="00B1604C">
        <w:rPr>
          <w:b w:val="0"/>
          <w:bCs w:val="0"/>
        </w:rPr>
        <w:t xml:space="preserve">group </w:t>
      </w:r>
      <w:r w:rsidR="0004693B" w:rsidRPr="00B1604C">
        <w:rPr>
          <w:b w:val="0"/>
          <w:bCs w:val="0"/>
        </w:rPr>
        <w:t>across cell types</w:t>
      </w:r>
      <w:r w:rsidR="00461D30" w:rsidRPr="00B1604C">
        <w:rPr>
          <w:b w:val="0"/>
          <w:bCs w:val="0"/>
        </w:rPr>
        <w:t>.</w:t>
      </w:r>
      <w:r w:rsidR="000E04EA" w:rsidRPr="00B1604C">
        <w:rPr>
          <w:b w:val="0"/>
          <w:bCs w:val="0"/>
        </w:rPr>
        <w:t xml:space="preserve"> </w:t>
      </w:r>
      <w:r w:rsidR="00461D30" w:rsidRPr="00B1604C">
        <w:rPr>
          <w:b w:val="0"/>
          <w:bCs w:val="0"/>
        </w:rPr>
        <w:t xml:space="preserve">Cumulative distribution plots display the proportion of </w:t>
      </w:r>
      <w:r w:rsidR="007644E1" w:rsidRPr="00B1604C">
        <w:rPr>
          <w:b w:val="0"/>
          <w:bCs w:val="0"/>
        </w:rPr>
        <w:t>data</w:t>
      </w:r>
      <w:r w:rsidR="00461D30" w:rsidRPr="00B1604C">
        <w:rPr>
          <w:b w:val="0"/>
          <w:bCs w:val="0"/>
        </w:rPr>
        <w:t xml:space="preserve"> (y-axis) less </w:t>
      </w:r>
      <w:r w:rsidR="00411EF1" w:rsidRPr="00B1604C">
        <w:rPr>
          <w:b w:val="0"/>
          <w:bCs w:val="0"/>
        </w:rPr>
        <w:t xml:space="preserve">than or equal to a specified </w:t>
      </w:r>
      <w:r w:rsidR="007644E1" w:rsidRPr="00B1604C">
        <w:rPr>
          <w:b w:val="0"/>
          <w:bCs w:val="0"/>
        </w:rPr>
        <w:t>value (x-axis)</w:t>
      </w:r>
      <w:r w:rsidR="00411EF1" w:rsidRPr="00B1604C">
        <w:rPr>
          <w:b w:val="0"/>
          <w:bCs w:val="0"/>
        </w:rPr>
        <w:t>.</w:t>
      </w:r>
      <w:r w:rsidR="007644E1" w:rsidRPr="00B1604C">
        <w:rPr>
          <w:b w:val="0"/>
          <w:bCs w:val="0"/>
        </w:rPr>
        <w:t xml:space="preserve"> The </w:t>
      </w:r>
      <w:r w:rsidR="005B10A0" w:rsidRPr="00B1604C">
        <w:rPr>
          <w:b w:val="0"/>
          <w:bCs w:val="0"/>
        </w:rPr>
        <w:t xml:space="preserve">horizontal </w:t>
      </w:r>
      <w:r w:rsidR="007644E1" w:rsidRPr="00B1604C">
        <w:rPr>
          <w:b w:val="0"/>
          <w:bCs w:val="0"/>
        </w:rPr>
        <w:t xml:space="preserve">dashed line </w:t>
      </w:r>
      <w:r w:rsidR="00C40C47" w:rsidRPr="00B1604C">
        <w:rPr>
          <w:b w:val="0"/>
          <w:bCs w:val="0"/>
        </w:rPr>
        <w:t>denotes where 50% of the data lies.</w:t>
      </w:r>
      <w:r w:rsidR="005B10A0" w:rsidRPr="00B1604C">
        <w:rPr>
          <w:b w:val="0"/>
          <w:bCs w:val="0"/>
        </w:rPr>
        <w:t xml:space="preserve"> </w:t>
      </w:r>
      <w:r w:rsidR="00B10C35">
        <w:rPr>
          <w:b w:val="0"/>
          <w:bCs w:val="0"/>
        </w:rPr>
        <w:t>OPC, oligodendrocyte precursor cell.</w:t>
      </w:r>
      <w:r w:rsidR="0036324B" w:rsidRPr="00B1604C">
        <w:rPr>
          <w:noProof/>
        </w:rPr>
        <w:br w:type="page"/>
      </w:r>
    </w:p>
    <w:p w14:paraId="783552E7" w14:textId="60F589DF" w:rsidR="003B58A4" w:rsidRPr="00B1604C" w:rsidRDefault="00871637" w:rsidP="003B58A4">
      <w:pPr>
        <w:keepNext/>
      </w:pPr>
      <w:r>
        <w:rPr>
          <w:noProof/>
          <w:lang w:val="en-IN" w:eastAsia="en-IN"/>
        </w:rPr>
        <w:drawing>
          <wp:inline distT="0" distB="0" distL="0" distR="0" wp14:anchorId="7A0D2C8D" wp14:editId="2EF9D672">
            <wp:extent cx="5733416" cy="5733416"/>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3416" cy="5733416"/>
                    </a:xfrm>
                    <a:prstGeom prst="rect">
                      <a:avLst/>
                    </a:prstGeom>
                  </pic:spPr>
                </pic:pic>
              </a:graphicData>
            </a:graphic>
          </wp:inline>
        </w:drawing>
      </w:r>
    </w:p>
    <w:p w14:paraId="56F16528" w14:textId="05154111" w:rsidR="00A442F8" w:rsidRPr="00B1604C" w:rsidRDefault="00D44989" w:rsidP="003B58A4">
      <w:pPr>
        <w:pStyle w:val="Caption"/>
      </w:pPr>
      <w:bookmarkStart w:id="13" w:name="_Ref56117360"/>
      <w:r>
        <w:t>Supplementary Fig.</w:t>
      </w:r>
      <w:r w:rsidR="003B58A4" w:rsidRPr="00B1604C">
        <w:t xml:space="preserve"> </w:t>
      </w:r>
      <w:r>
        <w:fldChar w:fldCharType="begin"/>
      </w:r>
      <w:r>
        <w:instrText>SEQ Supplementary_Fig. \* ARABIC</w:instrText>
      </w:r>
      <w:r>
        <w:fldChar w:fldCharType="separate"/>
      </w:r>
      <w:r>
        <w:rPr>
          <w:noProof/>
        </w:rPr>
        <w:t>10</w:t>
      </w:r>
      <w:r>
        <w:fldChar w:fldCharType="end"/>
      </w:r>
      <w:bookmarkEnd w:id="13"/>
      <w:r w:rsidR="003B58A4" w:rsidRPr="00B1604C">
        <w:t xml:space="preserve"> Cell-type-specific pathway enrichments across pathways</w:t>
      </w:r>
      <w:r w:rsidR="00DF59D3" w:rsidRPr="00B1604C">
        <w:t xml:space="preserve"> genetically associated with PD</w:t>
      </w:r>
      <w:r w:rsidR="003B58A4" w:rsidRPr="00B1604C">
        <w:t>.</w:t>
      </w:r>
      <w:r w:rsidR="00A442F8" w:rsidRPr="00B1604C">
        <w:t xml:space="preserve"> </w:t>
      </w:r>
    </w:p>
    <w:p w14:paraId="4062FF6A" w14:textId="4B61BC88" w:rsidR="00565EAA" w:rsidRPr="00B1604C" w:rsidRDefault="00A442F8" w:rsidP="009162ED">
      <w:pPr>
        <w:pStyle w:val="Caption"/>
        <w:rPr>
          <w:b w:val="0"/>
          <w:bCs w:val="0"/>
        </w:rPr>
      </w:pPr>
      <w:r w:rsidRPr="00B1604C">
        <w:rPr>
          <w:b w:val="0"/>
          <w:bCs w:val="0"/>
        </w:rPr>
        <w:t xml:space="preserve">Pathway enrichments for all 46 </w:t>
      </w:r>
      <w:r w:rsidR="003422BA" w:rsidRPr="00B1604C">
        <w:rPr>
          <w:b w:val="0"/>
          <w:bCs w:val="0"/>
        </w:rPr>
        <w:t>PD-</w:t>
      </w:r>
      <w:r w:rsidR="00DF59D3" w:rsidRPr="00B1604C">
        <w:rPr>
          <w:b w:val="0"/>
          <w:bCs w:val="0"/>
        </w:rPr>
        <w:t>associated</w:t>
      </w:r>
      <w:r w:rsidRPr="00B1604C">
        <w:rPr>
          <w:b w:val="0"/>
          <w:bCs w:val="0"/>
        </w:rPr>
        <w:t xml:space="preserve"> pathways (associated in a large-scale polygenic risk score-based assessment of 2,199 gene sets). The fill of each tile indicates the -log</w:t>
      </w:r>
      <w:r w:rsidRPr="00B1604C">
        <w:rPr>
          <w:b w:val="0"/>
          <w:bCs w:val="0"/>
          <w:vertAlign w:val="subscript"/>
        </w:rPr>
        <w:t>10</w:t>
      </w:r>
      <w:r w:rsidRPr="00B1604C">
        <w:rPr>
          <w:b w:val="0"/>
          <w:bCs w:val="0"/>
        </w:rPr>
        <w:t xml:space="preserve">(FDR) of enrichment. Non-significant results (FDR &gt; 0.05) were coloured white. </w:t>
      </w:r>
      <w:r w:rsidR="00D5517C" w:rsidRPr="00B1604C">
        <w:rPr>
          <w:b w:val="0"/>
          <w:bCs w:val="0"/>
        </w:rPr>
        <w:t>Pathway enrichment results are available in</w:t>
      </w:r>
      <w:r w:rsidR="00DD3EA2" w:rsidRPr="00B1604C">
        <w:rPr>
          <w:b w:val="0"/>
          <w:bCs w:val="0"/>
        </w:rPr>
        <w:t xml:space="preserve"> </w:t>
      </w:r>
      <w:r w:rsidR="00DD3EA2" w:rsidRPr="00B1604C">
        <w:fldChar w:fldCharType="begin"/>
      </w:r>
      <w:r w:rsidR="00DD3EA2" w:rsidRPr="00B1604C">
        <w:instrText xml:space="preserve"> REF _Ref66998086 \h  \* MERGEFORMAT </w:instrText>
      </w:r>
      <w:r w:rsidR="00DD3EA2" w:rsidRPr="00B1604C">
        <w:fldChar w:fldCharType="separate"/>
      </w:r>
      <w:r w:rsidR="002B0885" w:rsidRPr="00B1604C">
        <w:t xml:space="preserve">Supplementary Table </w:t>
      </w:r>
      <w:r w:rsidR="002B0885" w:rsidRPr="00B1604C">
        <w:rPr>
          <w:noProof/>
        </w:rPr>
        <w:t>7</w:t>
      </w:r>
      <w:r w:rsidR="00DD3EA2" w:rsidRPr="00B1604C">
        <w:fldChar w:fldCharType="end"/>
      </w:r>
      <w:r w:rsidR="00D5517C" w:rsidRPr="00B1604C">
        <w:rPr>
          <w:b w:val="0"/>
          <w:bCs w:val="0"/>
        </w:rPr>
        <w:t>.</w:t>
      </w:r>
      <w:r w:rsidR="00B10C35">
        <w:rPr>
          <w:b w:val="0"/>
          <w:bCs w:val="0"/>
        </w:rPr>
        <w:t xml:space="preserve"> DEG, differentially expressed gene; OPC, oligodendrocyte precursor cell.</w:t>
      </w:r>
      <w:r w:rsidR="000725A9">
        <w:rPr>
          <w:b w:val="0"/>
          <w:bCs w:val="0"/>
        </w:rPr>
        <w:t xml:space="preserve"> PD-associated pathways were derived reference </w:t>
      </w:r>
      <w:r w:rsidR="000725A9" w:rsidRPr="00B1604C">
        <w:rPr>
          <w:b w:val="0"/>
          <w:bCs w:val="0"/>
        </w:rPr>
        <w:fldChar w:fldCharType="begin" w:fldLock="1"/>
      </w:r>
      <w:r w:rsidR="00B300AF">
        <w:rPr>
          <w:b w:val="0"/>
          <w:bCs w:val="0"/>
        </w:rPr>
        <w:instrText>ADDIN CSL_CITATION {"citationItems":[{"id":"ITEM-1","itemData":{"DOI":"10.1007/s00401-020-02181-3","ISBN":"0123456789","ISSN":"14320533","PMID":"32601912","abstract":"Polygenic inheritance plays a central role in Parkinson disease (PD). A priority in elucidating PD etiology lies in defining the biological basis of genetic risk. Unraveling how risk leads to disruption will yield disease-modifying therapeutic targets that may be effective. Here, we utilized a high-throughput and hypothesis-free approach to determine biological processes underlying PD using the largest currently available cohorts of genetic and gene expression data from International Parkinson’s Disease Genetics Consortium (IPDGC) and the Accelerating Medicines Partnership-Parkinson’s disease initiative (AMP-PD), among other sources. We applied large-scale gene-set specific polygenic risk score (PRS) analyses to assess the role of common variation on PD risk focusing on publicly annotated gene sets representative of curated pathways. We nominated specific molecular sub-processes underlying protein misfolding and aggregation, post-translational protein modification, immune response, membrane and intracellular trafficking, lipid and vitamin metabolism, synaptic transmission, endosomal–lysosomal dysfunction, chromatin remodeling and apoptosis mediated by caspases among the main contributors to PD etiology. We assessed the impact of rare variation on PD risk in an independent cohort of whole-genome sequencing data and found evidence for a burden of rare damaging alleles in a range of processes, including neuronal transmission-related pathways and immune response. We explored enrichment linked to expression cell specificity patterns using single-cell gene expression data and demonstrated a significant risk pattern for dopaminergic neurons, serotonergic neurons, hypothalamic GABAergic neurons, and neural progenitors. Subsequently, we created a novel way of building de novo pathways by constructing a network expression community map using transcriptomic data derived from the blood of PD patients, which revealed functional enrichment in inflammatory signaling pathways, cell death machinery related processes, and dysregulation of mitochondrial homeostasis. Our analyses highlight several specific promising pathways and genes for functional prioritization and provide a cellular context in which such work should be done.","author":[{"dropping-particle":"","family":"Bandres-Ciga","given":"S.","non-dropping-particle":"","parse-names":false,"suffix":""},{"dropping-particle":"","family":"Saez-Atienzar","given":"S.","non-dropping-particle":"","parse-names":false,"suffix":""},{"dropping-particle":"","family":"Kim","given":"J. J.","non-dropping-particle":"","parse-names":false,"suffix":""},{"dropping-particle":"","family":"Makarious","given":"M. B.","non-dropping-particle":"","parse-names":false,"suffix":""},{"dropping-particle":"","family":"Faghri","given":"F.","non-dropping-particle":"","parse-names":false,"suffix":""},{"dropping-particle":"","family":"Diez-Fairen","given":"M.","non-dropping-particle":"","parse-names":false,"suffix":""},{"dropping-particle":"","family":"Iwaki","given":"H.","non-dropping-particle":"","parse-names":false,"suffix":""},{"dropping-particle":"","family":"Leonard","given":"H.","non-dropping-particle":"","parse-names":false,"suffix":""},{"dropping-particle":"","family":"Botia","given":"J.","non-dropping-particle":"","parse-names":false,"suffix":""},{"dropping-particle":"","family":"Ryten","given":"M.","non-dropping-particle":"","parse-names":false,"suffix":""},{"dropping-particle":"","family":"Hernandez","given":"D.","non-dropping-particle":"","parse-names":false,"suffix":""},{"dropping-particle":"","family":"Gibbs","given":"J. R.","non-dropping-particle":"","parse-names":false,"suffix":""},{"dropping-particle":"","family":"Ding","given":"J.","non-dropping-particle":"","parse-names":false,"suffix":""},{"dropping-particle":"","family":"Gan-Or","given":"Z.","non-dropping-particle":"","parse-names":false,"suffix":""},{"dropping-particle":"","family":"Noyce","given":"A.","non-dropping-particle":"","parse-names":false,"suffix":""},{"dropping-particle":"","family":"Pihlstrom","given":"L.","non-dropping-particle":"","parse-names":false,"suffix":""},{"dropping-particle":"","family":"Torkamani","given":"A.","non-dropping-particle":"","parse-names":false,"suffix":""},{"dropping-particle":"","family":"Soltis","given":"A. R.","non-dropping-particle":"","parse-names":false,"suffix":""},{"dropping-particle":"","family":"Dalgard","given":"C. L.","non-dropping-particle":"","parse-names":false,"suffix":""},{"dropping-particle":"","family":"Scholz","given":"S. W.","non-dropping-particle":"","parse-names":false,"suffix":""},{"dropping-particle":"","family":"Traynor","given":"B. J.","non-dropping-particle":"","parse-names":false,"suffix":""},{"dropping-particle":"","family":"Ehrlich","given":"D.","non-dropping-particle":"","parse-names":false,"suffix":""},{"dropping-particle":"","family":"Scherzer","given":"C. R.","non-dropping-particle":"","parse-names":false,"suffix":""},{"dropping-particle":"","family":"Bookman","given":"M.","non-dropping-particle":"","parse-names":false,"suffix":""},{"dropping-particle":"","family":"Cookson","given":"M.","non-dropping-particle":"","parse-names":false,"suffix":""},{"dropping-particle":"","family":"Blauwendraat","given":"C.","non-dropping-particle":"","parse-names":false,"suffix":""},{"dropping-particle":"","family":"Nalls","given":"M. A.","non-dropping-particle":"","parse-names":false,"suffix":""},{"dropping-particle":"","family":"Singleton","given":"A. B.","non-dropping-particle":"","parse-names":false,"suffix":""}],"container-title":"Acta Neuropathologica","id":"ITEM-1","issue":"3","issued":{"date-parts":[["2020"]]},"page":"341-358","publisher":"Springer Berlin Heidelberg","title":"Large-scale pathway specific polygenic risk and transcriptomic community network analysis identifies novel functional pathways in Parkinson disease","type":"article-journal","volume":"140"},"uris":["http://www.mendeley.com/documents/?uuid=6e594fae-6b52-41c1-9afc-f6415dc207c6"]}],"mendeley":{"formattedCitation":"[48]","plainTextFormattedCitation":"[48]","previouslyFormattedCitation":"[48]"},"properties":{"noteIndex":0},"schema":"https://github.com/citation-style-language/schema/raw/master/csl-citation.json"}</w:instrText>
      </w:r>
      <w:r w:rsidR="000725A9" w:rsidRPr="00B1604C">
        <w:rPr>
          <w:b w:val="0"/>
          <w:bCs w:val="0"/>
        </w:rPr>
        <w:fldChar w:fldCharType="separate"/>
      </w:r>
      <w:r w:rsidR="006D679D" w:rsidRPr="006D679D">
        <w:rPr>
          <w:b w:val="0"/>
          <w:bCs w:val="0"/>
          <w:noProof/>
        </w:rPr>
        <w:t>[48]</w:t>
      </w:r>
      <w:r w:rsidR="000725A9" w:rsidRPr="00B1604C">
        <w:rPr>
          <w:b w:val="0"/>
          <w:bCs w:val="0"/>
        </w:rPr>
        <w:fldChar w:fldCharType="end"/>
      </w:r>
      <w:r w:rsidR="000725A9">
        <w:rPr>
          <w:b w:val="0"/>
          <w:bCs w:val="0"/>
        </w:rPr>
        <w:t>.</w:t>
      </w:r>
      <w:r w:rsidR="00565EAA" w:rsidRPr="00B1604C">
        <w:rPr>
          <w:b w:val="0"/>
          <w:bCs w:val="0"/>
        </w:rPr>
        <w:br w:type="page"/>
      </w:r>
    </w:p>
    <w:p w14:paraId="0986F0F0" w14:textId="7E4E15D5" w:rsidR="00A33BFD" w:rsidRPr="00B1604C" w:rsidRDefault="002D0CA6" w:rsidP="00A33BFD">
      <w:pPr>
        <w:pStyle w:val="Caption"/>
        <w:keepNext/>
      </w:pPr>
      <w:r>
        <w:rPr>
          <w:noProof/>
          <w:lang w:val="en-IN" w:eastAsia="en-IN"/>
        </w:rPr>
        <w:drawing>
          <wp:inline distT="0" distB="0" distL="0" distR="0" wp14:anchorId="527C192B" wp14:editId="7CE21D5F">
            <wp:extent cx="4676776" cy="4314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76776" cy="4314825"/>
                    </a:xfrm>
                    <a:prstGeom prst="rect">
                      <a:avLst/>
                    </a:prstGeom>
                  </pic:spPr>
                </pic:pic>
              </a:graphicData>
            </a:graphic>
          </wp:inline>
        </w:drawing>
      </w:r>
    </w:p>
    <w:p w14:paraId="3FA39609" w14:textId="50DFAFFF" w:rsidR="00A33BFD" w:rsidRPr="00B1604C" w:rsidRDefault="00D44989" w:rsidP="00A33BFD">
      <w:pPr>
        <w:pStyle w:val="Caption"/>
      </w:pPr>
      <w:bookmarkStart w:id="14" w:name="_Ref67929768"/>
      <w:r>
        <w:t>Supplementary Fig.</w:t>
      </w:r>
      <w:r w:rsidR="00A33BFD" w:rsidRPr="00B1604C">
        <w:t xml:space="preserve"> </w:t>
      </w:r>
      <w:r>
        <w:fldChar w:fldCharType="begin"/>
      </w:r>
      <w:r>
        <w:instrText>SEQ Supplementary_Fig. \* ARABIC</w:instrText>
      </w:r>
      <w:r>
        <w:fldChar w:fldCharType="separate"/>
      </w:r>
      <w:r>
        <w:rPr>
          <w:noProof/>
        </w:rPr>
        <w:t>11</w:t>
      </w:r>
      <w:r>
        <w:fldChar w:fldCharType="end"/>
      </w:r>
      <w:bookmarkEnd w:id="14"/>
      <w:r w:rsidR="00A33BFD" w:rsidRPr="00B1604C">
        <w:t xml:space="preserve"> Genetic associations with cell-type-specific differentially expressed genes split by direction of effect.</w:t>
      </w:r>
    </w:p>
    <w:p w14:paraId="7863D16A" w14:textId="28EACEF9" w:rsidR="00A86DD0" w:rsidRPr="00B1604C" w:rsidRDefault="00A33BFD" w:rsidP="00A33BFD">
      <w:pPr>
        <w:pStyle w:val="Caption"/>
        <w:rPr>
          <w:b w:val="0"/>
          <w:bCs w:val="0"/>
        </w:rPr>
      </w:pPr>
      <w:r w:rsidRPr="00B1604C">
        <w:rPr>
          <w:b w:val="0"/>
          <w:bCs w:val="0"/>
        </w:rPr>
        <w:t xml:space="preserve">Genetic associations using down- and up-regulated cell-type-specific differentially expressed genes in disease comparisons </w:t>
      </w:r>
      <w:r w:rsidR="00F959BB">
        <w:rPr>
          <w:b w:val="0"/>
          <w:bCs w:val="0"/>
        </w:rPr>
        <w:t>with</w:t>
      </w:r>
      <w:r w:rsidRPr="00B1604C">
        <w:rPr>
          <w:b w:val="0"/>
          <w:bCs w:val="0"/>
        </w:rPr>
        <w:t xml:space="preserve"> controls. Two methods were used to identify associations: Hi-C-coupled MAGMA (MAGMA) and stratified LD score regression (</w:t>
      </w:r>
      <w:r w:rsidR="00565F4E">
        <w:rPr>
          <w:b w:val="0"/>
          <w:bCs w:val="0"/>
        </w:rPr>
        <w:t>s</w:t>
      </w:r>
      <w:r w:rsidRPr="00B1604C">
        <w:rPr>
          <w:b w:val="0"/>
          <w:bCs w:val="0"/>
        </w:rPr>
        <w:t>LDSC). The heatmap is coloured by degree of significance with both or either method, with * and ** indicating nominal significance (unadjusted p-value &lt; 0.05) or significance (FDR-corrected p-value &lt; 0.05; corrected for number of cell types tested).</w:t>
      </w:r>
      <w:r w:rsidR="003E4CCA" w:rsidRPr="00B1604C">
        <w:rPr>
          <w:b w:val="0"/>
          <w:bCs w:val="0"/>
        </w:rPr>
        <w:t xml:space="preserve"> </w:t>
      </w:r>
      <w:r w:rsidR="00130A32" w:rsidRPr="00B1604C">
        <w:rPr>
          <w:b w:val="0"/>
          <w:bCs w:val="0"/>
        </w:rPr>
        <w:t>Only</w:t>
      </w:r>
      <w:r w:rsidR="007F6B94" w:rsidRPr="00B1604C">
        <w:rPr>
          <w:b w:val="0"/>
          <w:bCs w:val="0"/>
        </w:rPr>
        <w:t xml:space="preserve"> </w:t>
      </w:r>
      <w:r w:rsidR="00130A32" w:rsidRPr="00B1604C">
        <w:rPr>
          <w:b w:val="0"/>
          <w:bCs w:val="0"/>
        </w:rPr>
        <w:t xml:space="preserve">2 </w:t>
      </w:r>
      <w:r w:rsidR="007F6B94" w:rsidRPr="00B1604C">
        <w:rPr>
          <w:b w:val="0"/>
          <w:bCs w:val="0"/>
        </w:rPr>
        <w:t xml:space="preserve">genes </w:t>
      </w:r>
      <w:r w:rsidR="00130A32" w:rsidRPr="00B1604C">
        <w:rPr>
          <w:b w:val="0"/>
          <w:bCs w:val="0"/>
        </w:rPr>
        <w:t xml:space="preserve">were </w:t>
      </w:r>
      <w:r w:rsidR="007F6B94" w:rsidRPr="00B1604C">
        <w:rPr>
          <w:b w:val="0"/>
          <w:bCs w:val="0"/>
        </w:rPr>
        <w:t>up-regulated in</w:t>
      </w:r>
      <w:r w:rsidR="00F472B2" w:rsidRPr="00B1604C">
        <w:rPr>
          <w:b w:val="0"/>
          <w:bCs w:val="0"/>
        </w:rPr>
        <w:t xml:space="preserve"> vascular cells from Control vs DLB</w:t>
      </w:r>
      <w:r w:rsidR="00130A32" w:rsidRPr="00B1604C">
        <w:rPr>
          <w:b w:val="0"/>
          <w:bCs w:val="0"/>
        </w:rPr>
        <w:t xml:space="preserve">, </w:t>
      </w:r>
      <w:r w:rsidR="001D338F" w:rsidRPr="00B1604C">
        <w:rPr>
          <w:b w:val="0"/>
          <w:bCs w:val="0"/>
        </w:rPr>
        <w:t>thus no results were returned from either analysis.</w:t>
      </w:r>
      <w:r w:rsidR="00D76B9C">
        <w:rPr>
          <w:b w:val="0"/>
          <w:bCs w:val="0"/>
        </w:rPr>
        <w:t xml:space="preserve"> </w:t>
      </w:r>
      <w:r w:rsidRPr="00B1604C">
        <w:rPr>
          <w:b w:val="0"/>
          <w:bCs w:val="0"/>
        </w:rPr>
        <w:t xml:space="preserve">Results available in </w:t>
      </w:r>
      <w:r w:rsidRPr="00B1604C">
        <w:fldChar w:fldCharType="begin"/>
      </w:r>
      <w:r w:rsidRPr="00B1604C">
        <w:instrText xml:space="preserve"> REF _Ref67928108 \h  \* MERGEFORMAT </w:instrText>
      </w:r>
      <w:r w:rsidRPr="00B1604C">
        <w:fldChar w:fldCharType="separate"/>
      </w:r>
      <w:r w:rsidR="002B0885" w:rsidRPr="00B1604C">
        <w:t xml:space="preserve">Supplementary Table </w:t>
      </w:r>
      <w:r w:rsidR="002B0885" w:rsidRPr="00B1604C">
        <w:rPr>
          <w:noProof/>
        </w:rPr>
        <w:t>8</w:t>
      </w:r>
      <w:r w:rsidRPr="00B1604C">
        <w:fldChar w:fldCharType="end"/>
      </w:r>
      <w:r w:rsidRPr="00B1604C">
        <w:rPr>
          <w:b w:val="0"/>
          <w:bCs w:val="0"/>
        </w:rPr>
        <w:t xml:space="preserve">. AD, Alzheimer’s disease; </w:t>
      </w:r>
      <w:r w:rsidR="00BA73CE">
        <w:rPr>
          <w:b w:val="0"/>
          <w:bCs w:val="0"/>
        </w:rPr>
        <w:t>OPC, oligodendrocyte precursor cell</w:t>
      </w:r>
      <w:r w:rsidRPr="00B1604C">
        <w:rPr>
          <w:b w:val="0"/>
          <w:bCs w:val="0"/>
        </w:rPr>
        <w:t>.</w:t>
      </w:r>
      <w:r w:rsidR="00D76B9C">
        <w:rPr>
          <w:b w:val="0"/>
          <w:bCs w:val="0"/>
        </w:rPr>
        <w:t xml:space="preserve"> </w:t>
      </w:r>
      <w:r w:rsidRPr="00B1604C">
        <w:rPr>
          <w:b w:val="0"/>
          <w:bCs w:val="0"/>
        </w:rPr>
        <w:t xml:space="preserve"> </w:t>
      </w:r>
      <w:r w:rsidR="00A86DD0" w:rsidRPr="00B1604C">
        <w:rPr>
          <w:b w:val="0"/>
          <w:bCs w:val="0"/>
        </w:rPr>
        <w:br w:type="page"/>
      </w:r>
    </w:p>
    <w:p w14:paraId="7D5D27B4" w14:textId="77777777" w:rsidR="0045496F" w:rsidRPr="00B1604C" w:rsidRDefault="0045496F" w:rsidP="0045496F">
      <w:pPr>
        <w:pStyle w:val="Caption"/>
        <w:keepNext/>
      </w:pPr>
      <w:r>
        <w:rPr>
          <w:noProof/>
          <w:lang w:val="en-IN" w:eastAsia="en-IN"/>
        </w:rPr>
        <w:drawing>
          <wp:inline distT="0" distB="0" distL="0" distR="0" wp14:anchorId="2F7DB46A" wp14:editId="0FDC8DC9">
            <wp:extent cx="5400675" cy="5400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5400675" cy="5400675"/>
                    </a:xfrm>
                    <a:prstGeom prst="rect">
                      <a:avLst/>
                    </a:prstGeom>
                  </pic:spPr>
                </pic:pic>
              </a:graphicData>
            </a:graphic>
          </wp:inline>
        </w:drawing>
      </w:r>
    </w:p>
    <w:p w14:paraId="7E9E1B34" w14:textId="4297CCEC" w:rsidR="0045496F" w:rsidRPr="00B1604C" w:rsidRDefault="00D44989" w:rsidP="0045496F">
      <w:pPr>
        <w:pStyle w:val="Caption"/>
      </w:pPr>
      <w:bookmarkStart w:id="15" w:name="_Ref66801316"/>
      <w:bookmarkStart w:id="16" w:name="_Ref66801311"/>
      <w:r>
        <w:t>Supplementary Fig.</w:t>
      </w:r>
      <w:r w:rsidR="0045496F" w:rsidRPr="00B1604C">
        <w:t xml:space="preserve"> </w:t>
      </w:r>
      <w:r>
        <w:fldChar w:fldCharType="begin"/>
      </w:r>
      <w:r>
        <w:instrText>SEQ Supplementary_Fig. \* ARABIC</w:instrText>
      </w:r>
      <w:r>
        <w:fldChar w:fldCharType="separate"/>
      </w:r>
      <w:r>
        <w:rPr>
          <w:noProof/>
        </w:rPr>
        <w:t>12</w:t>
      </w:r>
      <w:r>
        <w:fldChar w:fldCharType="end"/>
      </w:r>
      <w:bookmarkEnd w:id="15"/>
      <w:r w:rsidR="0045496F" w:rsidRPr="00B1604C">
        <w:t xml:space="preserve"> </w:t>
      </w:r>
      <w:r w:rsidR="00714617" w:rsidRPr="00B1604C">
        <w:t>Differential splicing across disease groups.</w:t>
      </w:r>
      <w:bookmarkEnd w:id="16"/>
    </w:p>
    <w:p w14:paraId="3AF0487C" w14:textId="734B9200" w:rsidR="009162ED" w:rsidRPr="00B1604C" w:rsidRDefault="0045496F" w:rsidP="0045496F">
      <w:pPr>
        <w:pStyle w:val="Caption"/>
      </w:pPr>
      <w:r w:rsidRPr="00B1604C">
        <w:t>(a)</w:t>
      </w:r>
      <w:r w:rsidRPr="00B1604C">
        <w:rPr>
          <w:b w:val="0"/>
          <w:bCs w:val="0"/>
        </w:rPr>
        <w:t xml:space="preserve"> Number of clusters that were successfully tested and found differentially spliced (DS) following correction for changes in cell-type proportions. </w:t>
      </w:r>
      <w:r w:rsidRPr="00B1604C">
        <w:t>(</w:t>
      </w:r>
      <w:r w:rsidR="00714617" w:rsidRPr="00B1604C">
        <w:t>b</w:t>
      </w:r>
      <w:r w:rsidRPr="00B1604C">
        <w:t>)</w:t>
      </w:r>
      <w:r w:rsidRPr="00B1604C">
        <w:rPr>
          <w:b w:val="0"/>
          <w:bCs w:val="0"/>
        </w:rPr>
        <w:t xml:space="preserve"> Reduced </w:t>
      </w:r>
      <w:r w:rsidR="000D29FB">
        <w:rPr>
          <w:b w:val="0"/>
          <w:bCs w:val="0"/>
        </w:rPr>
        <w:t>gene ontology (</w:t>
      </w:r>
      <w:r w:rsidRPr="00B1604C">
        <w:rPr>
          <w:b w:val="0"/>
          <w:bCs w:val="0"/>
        </w:rPr>
        <w:t>GO</w:t>
      </w:r>
      <w:r w:rsidR="000D29FB">
        <w:rPr>
          <w:b w:val="0"/>
          <w:bCs w:val="0"/>
        </w:rPr>
        <w:t>)</w:t>
      </w:r>
      <w:r w:rsidRPr="00B1604C">
        <w:rPr>
          <w:b w:val="0"/>
          <w:bCs w:val="0"/>
        </w:rPr>
        <w:t xml:space="preserve"> terms associated with genes found DS across pairwise comparisons (FDR &lt; 0.05, |∆PSI| &gt;= 0.1). The number of DS genes is indicated in parentheses on the x-axis. Original GO term enrichments (referred to as “child terms”) were grouped using semantic similarity. The number of enriched child GO terms assigned to each parent term across pairwise comparisons is indicated in parentheses on the y-axis.</w:t>
      </w:r>
      <w:r w:rsidR="00D76B9C">
        <w:rPr>
          <w:b w:val="0"/>
          <w:bCs w:val="0"/>
        </w:rPr>
        <w:t xml:space="preserve"> </w:t>
      </w:r>
      <w:r w:rsidRPr="00B1604C">
        <w:rPr>
          <w:b w:val="0"/>
          <w:bCs w:val="0"/>
        </w:rPr>
        <w:t>Size of dot indicates the proportion</w:t>
      </w:r>
      <w:r w:rsidR="000D29FB">
        <w:rPr>
          <w:b w:val="0"/>
          <w:bCs w:val="0"/>
        </w:rPr>
        <w:t xml:space="preserve"> (prop.)</w:t>
      </w:r>
      <w:r w:rsidRPr="00B1604C">
        <w:rPr>
          <w:b w:val="0"/>
          <w:bCs w:val="0"/>
        </w:rPr>
        <w:t xml:space="preserve"> of enriched child terms within a pairwise comparison, which is derived by dividing the number of enriched child terms by the total number of child terms assigned to a parent term. Fill of dot indicates the -log</w:t>
      </w:r>
      <w:r w:rsidRPr="00B1604C">
        <w:rPr>
          <w:b w:val="0"/>
          <w:bCs w:val="0"/>
          <w:vertAlign w:val="subscript"/>
        </w:rPr>
        <w:t>10</w:t>
      </w:r>
      <w:r w:rsidRPr="00B1604C">
        <w:rPr>
          <w:b w:val="0"/>
          <w:bCs w:val="0"/>
        </w:rPr>
        <w:t xml:space="preserve">(FDR) of the most significant child term associated with the parent term within that pairwise comparison. Results available in </w:t>
      </w:r>
      <w:r w:rsidRPr="00B1604C">
        <w:fldChar w:fldCharType="begin"/>
      </w:r>
      <w:r w:rsidRPr="00B1604C">
        <w:instrText xml:space="preserve"> REF _Ref44942653 \h  \* MERGEFORMAT </w:instrText>
      </w:r>
      <w:r w:rsidRPr="00B1604C">
        <w:fldChar w:fldCharType="separate"/>
      </w:r>
      <w:r w:rsidR="002B0885" w:rsidRPr="00B1604C">
        <w:t xml:space="preserve">Supplementary Table </w:t>
      </w:r>
      <w:r w:rsidR="002B0885" w:rsidRPr="00B1604C">
        <w:rPr>
          <w:noProof/>
        </w:rPr>
        <w:t>11</w:t>
      </w:r>
      <w:r w:rsidRPr="00B1604C">
        <w:fldChar w:fldCharType="end"/>
      </w:r>
      <w:r w:rsidRPr="00B1604C">
        <w:rPr>
          <w:b w:val="0"/>
          <w:bCs w:val="0"/>
        </w:rPr>
        <w:t xml:space="preserve">. </w:t>
      </w:r>
      <w:r w:rsidR="00B10C35">
        <w:rPr>
          <w:b w:val="0"/>
          <w:bCs w:val="0"/>
        </w:rPr>
        <w:t xml:space="preserve">dPSI, delta (∆) </w:t>
      </w:r>
      <w:r w:rsidR="00B10C35" w:rsidRPr="00F322B0">
        <w:rPr>
          <w:b w:val="0"/>
          <w:bCs w:val="0"/>
        </w:rPr>
        <w:t>percent</w:t>
      </w:r>
      <w:r w:rsidR="00B10C35">
        <w:rPr>
          <w:b w:val="0"/>
          <w:bCs w:val="0"/>
        </w:rPr>
        <w:t xml:space="preserve"> </w:t>
      </w:r>
      <w:r w:rsidR="00B10C35" w:rsidRPr="00F322B0">
        <w:rPr>
          <w:b w:val="0"/>
          <w:bCs w:val="0"/>
        </w:rPr>
        <w:t>spliced</w:t>
      </w:r>
      <w:r w:rsidR="00B10C35">
        <w:rPr>
          <w:b w:val="0"/>
          <w:bCs w:val="0"/>
        </w:rPr>
        <w:t xml:space="preserve"> </w:t>
      </w:r>
      <w:r w:rsidR="00B10C35" w:rsidRPr="00F322B0">
        <w:rPr>
          <w:b w:val="0"/>
          <w:bCs w:val="0"/>
        </w:rPr>
        <w:t>in</w:t>
      </w:r>
      <w:r w:rsidR="00B10C35">
        <w:rPr>
          <w:b w:val="0"/>
          <w:bCs w:val="0"/>
        </w:rPr>
        <w:t>.</w:t>
      </w:r>
    </w:p>
    <w:p w14:paraId="1857BEEB" w14:textId="5416C5CA" w:rsidR="009F0E43" w:rsidRPr="00B1604C" w:rsidRDefault="00580081" w:rsidP="009F0E43">
      <w:pPr>
        <w:pStyle w:val="Caption"/>
        <w:keepNext/>
      </w:pPr>
      <w:r>
        <w:rPr>
          <w:noProof/>
          <w:lang w:val="en-IN" w:eastAsia="en-IN"/>
        </w:rPr>
        <w:drawing>
          <wp:inline distT="0" distB="0" distL="0" distR="0" wp14:anchorId="5EAF65FA" wp14:editId="6E1B7DF6">
            <wp:extent cx="5733416" cy="7717792"/>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3">
                      <a:extLst>
                        <a:ext uri="{28A0092B-C50C-407E-A947-70E740481C1C}">
                          <a14:useLocalDpi xmlns:a14="http://schemas.microsoft.com/office/drawing/2010/main" val="0"/>
                        </a:ext>
                      </a:extLst>
                    </a:blip>
                    <a:stretch>
                      <a:fillRect/>
                    </a:stretch>
                  </pic:blipFill>
                  <pic:spPr>
                    <a:xfrm>
                      <a:off x="0" y="0"/>
                      <a:ext cx="5733416" cy="7717792"/>
                    </a:xfrm>
                    <a:prstGeom prst="rect">
                      <a:avLst/>
                    </a:prstGeom>
                  </pic:spPr>
                </pic:pic>
              </a:graphicData>
            </a:graphic>
          </wp:inline>
        </w:drawing>
      </w:r>
    </w:p>
    <w:p w14:paraId="7943F869" w14:textId="227450CC" w:rsidR="009F0E43" w:rsidRPr="00B1604C" w:rsidRDefault="00D44989" w:rsidP="009F0E43">
      <w:pPr>
        <w:pStyle w:val="Caption"/>
      </w:pPr>
      <w:bookmarkStart w:id="17" w:name="_Ref44874183"/>
      <w:bookmarkStart w:id="18" w:name="_Ref66452126"/>
      <w:r>
        <w:t>Supplementary Fig.</w:t>
      </w:r>
      <w:r w:rsidR="009F0E43" w:rsidRPr="00B1604C">
        <w:t xml:space="preserve"> </w:t>
      </w:r>
      <w:r>
        <w:fldChar w:fldCharType="begin"/>
      </w:r>
      <w:r>
        <w:instrText>SEQ Supplementary_Fig. \* ARABIC</w:instrText>
      </w:r>
      <w:r>
        <w:fldChar w:fldCharType="separate"/>
      </w:r>
      <w:r>
        <w:rPr>
          <w:noProof/>
        </w:rPr>
        <w:t>13</w:t>
      </w:r>
      <w:r>
        <w:fldChar w:fldCharType="end"/>
      </w:r>
      <w:bookmarkEnd w:id="17"/>
      <w:r w:rsidR="009F0E43" w:rsidRPr="00B1604C">
        <w:t xml:space="preserve"> Annotation of differentially spliced introns.</w:t>
      </w:r>
      <w:bookmarkEnd w:id="18"/>
    </w:p>
    <w:p w14:paraId="451BFAC1" w14:textId="386DA6F5" w:rsidR="009162ED" w:rsidRPr="00B1604C" w:rsidRDefault="009F0E43" w:rsidP="004F481F">
      <w:pPr>
        <w:pStyle w:val="Caption"/>
        <w:rPr>
          <w:b w:val="0"/>
          <w:bCs w:val="0"/>
        </w:rPr>
      </w:pPr>
      <w:r w:rsidRPr="00B1604C">
        <w:t>(a)</w:t>
      </w:r>
      <w:r w:rsidRPr="00B1604C">
        <w:rPr>
          <w:b w:val="0"/>
          <w:bCs w:val="0"/>
        </w:rPr>
        <w:t xml:space="preserve"> </w:t>
      </w:r>
      <w:r w:rsidR="00283D84" w:rsidRPr="00B1604C">
        <w:rPr>
          <w:b w:val="0"/>
          <w:bCs w:val="0"/>
        </w:rPr>
        <w:t xml:space="preserve">Schematic illustration of the different </w:t>
      </w:r>
      <w:r w:rsidR="00F53169" w:rsidRPr="00B1604C">
        <w:rPr>
          <w:b w:val="0"/>
          <w:bCs w:val="0"/>
        </w:rPr>
        <w:t>categories</w:t>
      </w:r>
      <w:r w:rsidR="00283D84" w:rsidRPr="00B1604C">
        <w:rPr>
          <w:b w:val="0"/>
          <w:bCs w:val="0"/>
        </w:rPr>
        <w:t xml:space="preserve"> of splicing event. </w:t>
      </w:r>
      <w:r w:rsidRPr="00B1604C">
        <w:rPr>
          <w:b w:val="0"/>
          <w:bCs w:val="0"/>
        </w:rPr>
        <w:t xml:space="preserve">Junction reads used to define Leafcutter introns were annotated based on their relationship to the annotated transcriptome (Ensembl v97). </w:t>
      </w:r>
      <w:r w:rsidR="00283D84" w:rsidRPr="00B1604C">
        <w:rPr>
          <w:b w:val="0"/>
          <w:bCs w:val="0"/>
        </w:rPr>
        <w:t>Here, the annotated transcriptome is illustrated by the grey-filled boxes.</w:t>
      </w:r>
      <w:r w:rsidR="001E56CC" w:rsidRPr="00B1604C">
        <w:rPr>
          <w:b w:val="0"/>
          <w:bCs w:val="0"/>
        </w:rPr>
        <w:t xml:space="preserve"> </w:t>
      </w:r>
      <w:r w:rsidRPr="00B1604C">
        <w:rPr>
          <w:b w:val="0"/>
          <w:bCs w:val="0"/>
        </w:rPr>
        <w:t xml:space="preserve">Annotated junctions have donor and acceptor splice sites that match the boundaries of an existing intron. Likewise, novel exon skip </w:t>
      </w:r>
      <w:r w:rsidR="001E56CC" w:rsidRPr="00B1604C">
        <w:rPr>
          <w:b w:val="0"/>
          <w:bCs w:val="0"/>
        </w:rPr>
        <w:t xml:space="preserve">and novel combination </w:t>
      </w:r>
      <w:r w:rsidRPr="00B1604C">
        <w:rPr>
          <w:b w:val="0"/>
          <w:bCs w:val="0"/>
        </w:rPr>
        <w:t>junctions have donor and acceptor splice sites that overlap known exon boundaries derived from exons contained within the same transcript</w:t>
      </w:r>
      <w:r w:rsidR="001E56CC" w:rsidRPr="00B1604C">
        <w:rPr>
          <w:b w:val="0"/>
          <w:bCs w:val="0"/>
        </w:rPr>
        <w:t>, but</w:t>
      </w:r>
      <w:r w:rsidRPr="00B1604C">
        <w:rPr>
          <w:b w:val="0"/>
          <w:bCs w:val="0"/>
        </w:rPr>
        <w:t xml:space="preserve"> they represent introns which are not found in the set of annotated introns. </w:t>
      </w:r>
      <w:r w:rsidR="001E56CC" w:rsidRPr="00B1604C">
        <w:rPr>
          <w:b w:val="0"/>
          <w:bCs w:val="0"/>
        </w:rPr>
        <w:t xml:space="preserve">They are distinguished by whether or not their donor and acceptor splice sites overlap exons derived from the same transcript. </w:t>
      </w:r>
      <w:r w:rsidRPr="00B1604C">
        <w:rPr>
          <w:b w:val="0"/>
          <w:bCs w:val="0"/>
        </w:rPr>
        <w:t xml:space="preserve">Novel donors and novel acceptors are junctions where only one end (3' or 5', respectively) matches the boundary of a known exon. </w:t>
      </w:r>
      <w:r w:rsidR="008A1425" w:rsidRPr="00B1604C">
        <w:rPr>
          <w:b w:val="0"/>
          <w:bCs w:val="0"/>
        </w:rPr>
        <w:t xml:space="preserve">All novel events are considered partially annotated. </w:t>
      </w:r>
      <w:r w:rsidRPr="00B1604C">
        <w:rPr>
          <w:b w:val="0"/>
          <w:bCs w:val="0"/>
        </w:rPr>
        <w:t xml:space="preserve">Unannotated junctions ("None") have neither end overlapping a known exon. </w:t>
      </w:r>
      <w:r w:rsidR="00005EED" w:rsidRPr="00B1604C">
        <w:t>(b)</w:t>
      </w:r>
      <w:r w:rsidR="00005EED" w:rsidRPr="00B1604C">
        <w:rPr>
          <w:b w:val="0"/>
          <w:bCs w:val="0"/>
        </w:rPr>
        <w:t xml:space="preserve"> </w:t>
      </w:r>
      <w:r w:rsidRPr="00B1604C">
        <w:rPr>
          <w:b w:val="0"/>
          <w:bCs w:val="0"/>
        </w:rPr>
        <w:t xml:space="preserve">Number of introns assigned to each category of splicing event as a proportion of all introns within the subset of differentially spliced intron clusters (FDR &lt; 0.05, |∆PSI| </w:t>
      </w:r>
      <w:r w:rsidRPr="00B1604C">
        <w:rPr>
          <w:rFonts w:cs="Calibri"/>
          <w:b w:val="0"/>
          <w:bCs w:val="0"/>
        </w:rPr>
        <w:t>≥</w:t>
      </w:r>
      <w:r w:rsidRPr="00B1604C">
        <w:rPr>
          <w:b w:val="0"/>
          <w:bCs w:val="0"/>
        </w:rPr>
        <w:t xml:space="preserve"> 0.1).</w:t>
      </w:r>
      <w:r w:rsidRPr="00B1604C">
        <w:t xml:space="preserve"> </w:t>
      </w:r>
      <w:r w:rsidRPr="00B1604C">
        <w:rPr>
          <w:b w:val="0"/>
          <w:bCs w:val="0"/>
        </w:rPr>
        <w:t>The total number of junctions in each comparison is indicated in parentheses on the x-axis.</w:t>
      </w:r>
      <w:r w:rsidR="00005EED" w:rsidRPr="00B1604C">
        <w:rPr>
          <w:b w:val="0"/>
          <w:bCs w:val="0"/>
        </w:rPr>
        <w:t xml:space="preserve"> </w:t>
      </w:r>
      <w:r w:rsidR="00005EED" w:rsidRPr="00B1604C">
        <w:t>(c)</w:t>
      </w:r>
      <w:r w:rsidR="00005EED" w:rsidRPr="00B1604C">
        <w:rPr>
          <w:b w:val="0"/>
          <w:bCs w:val="0"/>
        </w:rPr>
        <w:t xml:space="preserve"> </w:t>
      </w:r>
      <w:r w:rsidR="00CC2B80" w:rsidRPr="00B1604C">
        <w:rPr>
          <w:b w:val="0"/>
          <w:bCs w:val="0"/>
        </w:rPr>
        <w:t xml:space="preserve">Number of </w:t>
      </w:r>
      <w:r w:rsidR="00B10C35">
        <w:rPr>
          <w:b w:val="0"/>
          <w:bCs w:val="0"/>
        </w:rPr>
        <w:t>differentially spliced (</w:t>
      </w:r>
      <w:r w:rsidR="00CC2B80" w:rsidRPr="00B1604C">
        <w:rPr>
          <w:b w:val="0"/>
          <w:bCs w:val="0"/>
        </w:rPr>
        <w:t>DS</w:t>
      </w:r>
      <w:r w:rsidR="00B10C35">
        <w:rPr>
          <w:b w:val="0"/>
          <w:bCs w:val="0"/>
        </w:rPr>
        <w:t>)</w:t>
      </w:r>
      <w:r w:rsidR="00CC2B80" w:rsidRPr="00B1604C">
        <w:rPr>
          <w:b w:val="0"/>
          <w:bCs w:val="0"/>
        </w:rPr>
        <w:t xml:space="preserve"> introns that were undetected in a GTEx sample as a proportion of all DS introns within a category of splicing event. </w:t>
      </w:r>
      <w:r w:rsidR="00CC2B80" w:rsidRPr="00F16CEA">
        <w:t>(</w:t>
      </w:r>
      <w:r w:rsidR="00CC2B80" w:rsidRPr="00B10C35">
        <w:t>d</w:t>
      </w:r>
      <w:r w:rsidR="00CC2B80" w:rsidRPr="00F16CEA">
        <w:t>)</w:t>
      </w:r>
      <w:r w:rsidR="00CC2B80" w:rsidRPr="00B1604C">
        <w:rPr>
          <w:b w:val="0"/>
          <w:bCs w:val="0"/>
        </w:rPr>
        <w:t xml:space="preserve"> Number of GTEx-derived anterior cingulate cortex (BA24) samples where a DS intron was detected as a proportion of the total number of BA24 samples (n = 99). Proportions in </w:t>
      </w:r>
      <w:r w:rsidR="00CC2B80" w:rsidRPr="00B1604C">
        <w:t>(c)</w:t>
      </w:r>
      <w:r w:rsidR="00CC2B80" w:rsidRPr="00B1604C">
        <w:rPr>
          <w:b w:val="0"/>
          <w:bCs w:val="0"/>
        </w:rPr>
        <w:t xml:space="preserve"> and </w:t>
      </w:r>
      <w:r w:rsidR="00CC2B80" w:rsidRPr="00B1604C">
        <w:t>(d)</w:t>
      </w:r>
      <w:r w:rsidR="00CC2B80" w:rsidRPr="00B1604C">
        <w:rPr>
          <w:b w:val="0"/>
          <w:bCs w:val="0"/>
        </w:rPr>
        <w:t xml:space="preserve"> are ordered by median from highest to lowest.</w:t>
      </w:r>
      <w:r w:rsidR="00B10C35">
        <w:rPr>
          <w:b w:val="0"/>
          <w:bCs w:val="0"/>
        </w:rPr>
        <w:t xml:space="preserve"> </w:t>
      </w:r>
      <w:r w:rsidR="00425963" w:rsidRPr="00B1604C">
        <w:rPr>
          <w:b w:val="0"/>
          <w:bCs w:val="0"/>
        </w:rPr>
        <w:t>∆PSI</w:t>
      </w:r>
      <w:r w:rsidR="00425963">
        <w:rPr>
          <w:b w:val="0"/>
          <w:bCs w:val="0"/>
        </w:rPr>
        <w:t>, delta percent spliced in.</w:t>
      </w:r>
      <w:r w:rsidR="00425963" w:rsidRPr="00B1604C">
        <w:rPr>
          <w:noProof/>
        </w:rPr>
        <w:t xml:space="preserve"> </w:t>
      </w:r>
      <w:r w:rsidR="009162ED" w:rsidRPr="00B1604C">
        <w:rPr>
          <w:noProof/>
        </w:rPr>
        <w:br w:type="page"/>
      </w:r>
    </w:p>
    <w:p w14:paraId="5D6FA5E3" w14:textId="0A21E7A4" w:rsidR="009162ED" w:rsidRPr="00B1604C" w:rsidRDefault="00580081" w:rsidP="009162ED">
      <w:pPr>
        <w:keepNext/>
      </w:pPr>
      <w:r>
        <w:rPr>
          <w:noProof/>
          <w:lang w:val="en-IN" w:eastAsia="en-IN"/>
        </w:rPr>
        <w:drawing>
          <wp:inline distT="0" distB="0" distL="0" distR="0" wp14:anchorId="5B8B0134" wp14:editId="18E639E8">
            <wp:extent cx="5733416" cy="261302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4">
                      <a:extLst>
                        <a:ext uri="{28A0092B-C50C-407E-A947-70E740481C1C}">
                          <a14:useLocalDpi xmlns:a14="http://schemas.microsoft.com/office/drawing/2010/main" val="0"/>
                        </a:ext>
                      </a:extLst>
                    </a:blip>
                    <a:stretch>
                      <a:fillRect/>
                    </a:stretch>
                  </pic:blipFill>
                  <pic:spPr>
                    <a:xfrm>
                      <a:off x="0" y="0"/>
                      <a:ext cx="5733416" cy="2613025"/>
                    </a:xfrm>
                    <a:prstGeom prst="rect">
                      <a:avLst/>
                    </a:prstGeom>
                  </pic:spPr>
                </pic:pic>
              </a:graphicData>
            </a:graphic>
          </wp:inline>
        </w:drawing>
      </w:r>
    </w:p>
    <w:p w14:paraId="1F3BE543" w14:textId="668426B2" w:rsidR="009162ED" w:rsidRPr="00B1604C" w:rsidRDefault="00D44989" w:rsidP="009162ED">
      <w:pPr>
        <w:pStyle w:val="Caption"/>
      </w:pPr>
      <w:bookmarkStart w:id="19" w:name="_Ref44876369"/>
      <w:bookmarkStart w:id="20" w:name="_Ref45010215"/>
      <w:r>
        <w:t>Supplementary Fig.</w:t>
      </w:r>
      <w:r w:rsidR="009162ED" w:rsidRPr="00B1604C">
        <w:t xml:space="preserve"> </w:t>
      </w:r>
      <w:r>
        <w:fldChar w:fldCharType="begin"/>
      </w:r>
      <w:r>
        <w:instrText>SEQ Supplementary_Fig. \* ARABIC</w:instrText>
      </w:r>
      <w:r>
        <w:fldChar w:fldCharType="separate"/>
      </w:r>
      <w:r>
        <w:rPr>
          <w:noProof/>
        </w:rPr>
        <w:t>14</w:t>
      </w:r>
      <w:r>
        <w:fldChar w:fldCharType="end"/>
      </w:r>
      <w:bookmarkEnd w:id="19"/>
      <w:r w:rsidR="009162ED" w:rsidRPr="00B1604C">
        <w:t xml:space="preserve"> Defining replication across intron clusters and datasets.</w:t>
      </w:r>
      <w:bookmarkEnd w:id="20"/>
    </w:p>
    <w:p w14:paraId="6BA01914" w14:textId="68A8C760" w:rsidR="009162ED" w:rsidRPr="00B1604C" w:rsidRDefault="009162ED" w:rsidP="004F481F">
      <w:pPr>
        <w:pStyle w:val="Caption"/>
        <w:rPr>
          <w:b w:val="0"/>
          <w:bCs w:val="0"/>
        </w:rPr>
      </w:pPr>
      <w:r w:rsidRPr="00B1604C">
        <w:t>(a)</w:t>
      </w:r>
      <w:r w:rsidRPr="00B1604C">
        <w:rPr>
          <w:b w:val="0"/>
          <w:bCs w:val="0"/>
        </w:rPr>
        <w:t xml:space="preserve"> Cluster definitions across datasets may vary; thus, comparisons of cluster definitions between datasets can yield exact, partial or no matches (no matches not illustrated). An exact match is defined as an intron cluster that contains the same introns, as determined by their splice donor and acceptor sites, across both datasets. In replication analyses, only exact matches between our dataset and the replication dataset from recount2 (recount ID: SRP058181) were carried forward. </w:t>
      </w:r>
      <w:r w:rsidRPr="00B1604C">
        <w:t>(b)</w:t>
      </w:r>
      <w:r w:rsidRPr="00B1604C">
        <w:rPr>
          <w:b w:val="0"/>
          <w:bCs w:val="0"/>
        </w:rPr>
        <w:t xml:space="preserve"> Contingency table of differential splicing in our bulk-tissue RNA-sequencing and in the recount2 dataset, SRP058181. Only clusters that matched exactly across the two datasets were used to construct the contingency table. This yielded a total of 13,433 exactly matching intron clusters, </w:t>
      </w:r>
      <w:r w:rsidR="00AB6528" w:rsidRPr="00B1604C">
        <w:rPr>
          <w:b w:val="0"/>
          <w:bCs w:val="0"/>
        </w:rPr>
        <w:t>836</w:t>
      </w:r>
      <w:r w:rsidRPr="00B1604C">
        <w:rPr>
          <w:b w:val="0"/>
          <w:bCs w:val="0"/>
        </w:rPr>
        <w:t xml:space="preserve"> of which passed FDR &lt; 0.05 in the discovery dataset. Unadjusted p-values in the replication dataset for these </w:t>
      </w:r>
      <w:r w:rsidR="00AB6528" w:rsidRPr="00B1604C">
        <w:rPr>
          <w:b w:val="0"/>
          <w:bCs w:val="0"/>
        </w:rPr>
        <w:t xml:space="preserve">836 </w:t>
      </w:r>
      <w:r w:rsidRPr="00B1604C">
        <w:rPr>
          <w:b w:val="0"/>
          <w:bCs w:val="0"/>
        </w:rPr>
        <w:t xml:space="preserve">overlapping clusters were then FDR-corrected, and any of the </w:t>
      </w:r>
      <w:r w:rsidR="00AB6528" w:rsidRPr="00B1604C">
        <w:rPr>
          <w:b w:val="0"/>
          <w:bCs w:val="0"/>
        </w:rPr>
        <w:t xml:space="preserve">836 </w:t>
      </w:r>
      <w:r w:rsidRPr="00B1604C">
        <w:rPr>
          <w:b w:val="0"/>
          <w:bCs w:val="0"/>
        </w:rPr>
        <w:t xml:space="preserve">that passed FDR &lt; 0.05 in the replication dataset were considered validated. For gene-level analyses, only those validated intron clusters with </w:t>
      </w:r>
      <w:r w:rsidRPr="00B1604C">
        <w:rPr>
          <w:rFonts w:cs="Calibri"/>
          <w:b w:val="0"/>
          <w:bCs w:val="0"/>
        </w:rPr>
        <w:t>≥</w:t>
      </w:r>
      <w:r w:rsidRPr="00B1604C">
        <w:rPr>
          <w:b w:val="0"/>
          <w:bCs w:val="0"/>
        </w:rPr>
        <w:t xml:space="preserve"> 1 intron that shared the same direction of effect across both datasets were carried forward.</w:t>
      </w:r>
    </w:p>
    <w:p w14:paraId="77EF0388" w14:textId="77777777" w:rsidR="009162ED" w:rsidRPr="00B1604C" w:rsidRDefault="008406C9" w:rsidP="009162ED">
      <w:pPr>
        <w:keepNext/>
      </w:pPr>
      <w:r>
        <w:rPr>
          <w:noProof/>
          <w:lang w:val="en-IN" w:eastAsia="en-IN"/>
        </w:rPr>
        <w:drawing>
          <wp:inline distT="0" distB="0" distL="0" distR="0" wp14:anchorId="3D5AB642" wp14:editId="410FD03B">
            <wp:extent cx="5400675" cy="61150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5">
                      <a:extLst>
                        <a:ext uri="{28A0092B-C50C-407E-A947-70E740481C1C}">
                          <a14:useLocalDpi xmlns:a14="http://schemas.microsoft.com/office/drawing/2010/main" val="0"/>
                        </a:ext>
                      </a:extLst>
                    </a:blip>
                    <a:stretch>
                      <a:fillRect/>
                    </a:stretch>
                  </pic:blipFill>
                  <pic:spPr>
                    <a:xfrm>
                      <a:off x="0" y="0"/>
                      <a:ext cx="5400675" cy="6115050"/>
                    </a:xfrm>
                    <a:prstGeom prst="rect">
                      <a:avLst/>
                    </a:prstGeom>
                  </pic:spPr>
                </pic:pic>
              </a:graphicData>
            </a:graphic>
          </wp:inline>
        </w:drawing>
      </w:r>
    </w:p>
    <w:p w14:paraId="27676E92" w14:textId="4B45126A" w:rsidR="009162ED" w:rsidRPr="00B1604C" w:rsidRDefault="00D44989" w:rsidP="009162ED">
      <w:pPr>
        <w:pStyle w:val="Caption"/>
      </w:pPr>
      <w:bookmarkStart w:id="21" w:name="_Ref45010251"/>
      <w:r>
        <w:t>Supplementary Fig.</w:t>
      </w:r>
      <w:r w:rsidR="009162ED" w:rsidRPr="00B1604C">
        <w:t xml:space="preserve"> </w:t>
      </w:r>
      <w:r>
        <w:fldChar w:fldCharType="begin"/>
      </w:r>
      <w:r>
        <w:instrText>SEQ Supplementary_Fig. \* ARABIC</w:instrText>
      </w:r>
      <w:r>
        <w:fldChar w:fldCharType="separate"/>
      </w:r>
      <w:r>
        <w:rPr>
          <w:noProof/>
        </w:rPr>
        <w:t>15</w:t>
      </w:r>
      <w:r>
        <w:fldChar w:fldCharType="end"/>
      </w:r>
      <w:bookmarkEnd w:id="21"/>
      <w:r w:rsidR="009162ED" w:rsidRPr="00B1604C">
        <w:t xml:space="preserve"> Cell-type and pathway enrichment analyses of validated differentially spliced genes. </w:t>
      </w:r>
    </w:p>
    <w:p w14:paraId="119B8917" w14:textId="617D24E7" w:rsidR="00580081" w:rsidRPr="00B1604C" w:rsidRDefault="009162ED" w:rsidP="00DA41C1">
      <w:pPr>
        <w:pStyle w:val="Caption"/>
        <w:rPr>
          <w:b w:val="0"/>
          <w:bCs w:val="0"/>
        </w:rPr>
      </w:pPr>
      <w:r w:rsidRPr="00B1604C">
        <w:t>(a)</w:t>
      </w:r>
      <w:r w:rsidRPr="00B1604C">
        <w:rPr>
          <w:b w:val="0"/>
          <w:bCs w:val="0"/>
        </w:rPr>
        <w:t xml:space="preserve"> Enrichment of validated differentially spliced (DS) genes in cell types derived from each disease group. Enrichments were determined using </w:t>
      </w:r>
      <w:r w:rsidR="000D29FB">
        <w:rPr>
          <w:b w:val="0"/>
          <w:bCs w:val="0"/>
        </w:rPr>
        <w:t>expression-weighted cell-type enrichment (</w:t>
      </w:r>
      <w:r w:rsidRPr="00B1604C">
        <w:rPr>
          <w:b w:val="0"/>
          <w:bCs w:val="0"/>
        </w:rPr>
        <w:t>EWCE</w:t>
      </w:r>
      <w:r w:rsidR="000D29FB">
        <w:rPr>
          <w:b w:val="0"/>
          <w:bCs w:val="0"/>
        </w:rPr>
        <w:t>)</w:t>
      </w:r>
      <w:r w:rsidRPr="00B1604C">
        <w:rPr>
          <w:b w:val="0"/>
          <w:bCs w:val="0"/>
        </w:rPr>
        <w:t>. DS at a gene-level was considered validated provided intron clusters matched exactly between our bulk-tissue RNA-sequencing and the SRP058181 dataset, passed FDR &lt; 0.05 in both datasets, and at least one intron in the cluster shared the same direction of effect across both datasets. The x-axis denotes the groups compared in the differential splicing analysis, while the y-axis denotes the cell type and the disease status of specificity matrix from which it is derived. Standard deviations</w:t>
      </w:r>
      <w:r w:rsidR="00B10C35">
        <w:rPr>
          <w:b w:val="0"/>
          <w:bCs w:val="0"/>
        </w:rPr>
        <w:t xml:space="preserve"> (s.d.)</w:t>
      </w:r>
      <w:r w:rsidRPr="00B1604C">
        <w:rPr>
          <w:b w:val="0"/>
          <w:bCs w:val="0"/>
        </w:rPr>
        <w:t xml:space="preserve"> from the mean indicate the distance (in standard deviations) of the target list from the mean of the bootstrapped samples. </w:t>
      </w:r>
      <w:r w:rsidR="00765C3A" w:rsidRPr="00B1604C">
        <w:rPr>
          <w:b w:val="0"/>
          <w:bCs w:val="0"/>
        </w:rPr>
        <w:t>No results survived FDR correction (FDR &lt; 0.05); displayed are unadjusted p-values. Results with unadjusted p &gt; 0.05 were coloured white.</w:t>
      </w:r>
      <w:r w:rsidR="00D76B9C">
        <w:rPr>
          <w:b w:val="0"/>
          <w:bCs w:val="0"/>
        </w:rPr>
        <w:t xml:space="preserve"> </w:t>
      </w:r>
      <w:r w:rsidRPr="00B1604C">
        <w:t>(b)</w:t>
      </w:r>
      <w:r w:rsidRPr="00B1604C">
        <w:rPr>
          <w:b w:val="0"/>
          <w:bCs w:val="0"/>
        </w:rPr>
        <w:t xml:space="preserve"> </w:t>
      </w:r>
      <w:r w:rsidR="00FF2EDE" w:rsidRPr="00B1604C">
        <w:rPr>
          <w:b w:val="0"/>
          <w:bCs w:val="0"/>
        </w:rPr>
        <w:t>Reduced</w:t>
      </w:r>
      <w:r w:rsidR="000D29FB">
        <w:rPr>
          <w:b w:val="0"/>
          <w:bCs w:val="0"/>
        </w:rPr>
        <w:t xml:space="preserve"> gene ontology</w:t>
      </w:r>
      <w:r w:rsidR="00FF2EDE" w:rsidRPr="00B1604C">
        <w:rPr>
          <w:b w:val="0"/>
          <w:bCs w:val="0"/>
        </w:rPr>
        <w:t xml:space="preserve"> </w:t>
      </w:r>
      <w:r w:rsidR="000D29FB">
        <w:rPr>
          <w:b w:val="0"/>
          <w:bCs w:val="0"/>
        </w:rPr>
        <w:t>(</w:t>
      </w:r>
      <w:r w:rsidR="00BD0A66" w:rsidRPr="00B1604C">
        <w:rPr>
          <w:b w:val="0"/>
          <w:bCs w:val="0"/>
        </w:rPr>
        <w:t>GO</w:t>
      </w:r>
      <w:r w:rsidR="000D29FB">
        <w:rPr>
          <w:b w:val="0"/>
          <w:bCs w:val="0"/>
        </w:rPr>
        <w:t>)</w:t>
      </w:r>
      <w:r w:rsidRPr="00B1604C">
        <w:rPr>
          <w:b w:val="0"/>
          <w:bCs w:val="0"/>
        </w:rPr>
        <w:t xml:space="preserve"> terms associated with validated DS genes; the number of DS genes is indicated in parentheses on the x-axis. </w:t>
      </w:r>
      <w:r w:rsidR="008A2EE9" w:rsidRPr="00B1604C">
        <w:rPr>
          <w:b w:val="0"/>
          <w:bCs w:val="0"/>
        </w:rPr>
        <w:t>O</w:t>
      </w:r>
      <w:r w:rsidR="00EB6F6C" w:rsidRPr="00B1604C">
        <w:rPr>
          <w:b w:val="0"/>
          <w:bCs w:val="0"/>
        </w:rPr>
        <w:t>riginal GO term enrichments</w:t>
      </w:r>
      <w:r w:rsidR="008A2EE9" w:rsidRPr="00B1604C">
        <w:rPr>
          <w:b w:val="0"/>
          <w:bCs w:val="0"/>
        </w:rPr>
        <w:t xml:space="preserve"> (referred to as “child terms”)</w:t>
      </w:r>
      <w:r w:rsidR="00EB6F6C" w:rsidRPr="00B1604C">
        <w:rPr>
          <w:b w:val="0"/>
          <w:bCs w:val="0"/>
        </w:rPr>
        <w:t xml:space="preserve"> were grouped using semantic similarity. The number of enriched child GO terms assigned to each parent term across pairwise comparisons is indicated in parentheses on the y-axis.</w:t>
      </w:r>
      <w:r w:rsidR="00D76B9C">
        <w:rPr>
          <w:b w:val="0"/>
          <w:bCs w:val="0"/>
        </w:rPr>
        <w:t xml:space="preserve"> </w:t>
      </w:r>
      <w:r w:rsidR="00EB6F6C" w:rsidRPr="00B1604C">
        <w:rPr>
          <w:b w:val="0"/>
          <w:bCs w:val="0"/>
        </w:rPr>
        <w:t>Size of dot indicates the proportion</w:t>
      </w:r>
      <w:r w:rsidR="000D29FB">
        <w:rPr>
          <w:b w:val="0"/>
          <w:bCs w:val="0"/>
        </w:rPr>
        <w:t xml:space="preserve"> (prop.)</w:t>
      </w:r>
      <w:r w:rsidR="00EB6F6C" w:rsidRPr="00B1604C">
        <w:rPr>
          <w:b w:val="0"/>
          <w:bCs w:val="0"/>
        </w:rPr>
        <w:t xml:space="preserve"> of enriched child terms within a pairwise comparison, which is derived by dividing the number of enriched child terms by the total number of child terms assigned to a parent term. Fill of dot indicates the -log</w:t>
      </w:r>
      <w:r w:rsidR="00EB6F6C" w:rsidRPr="00B1604C">
        <w:rPr>
          <w:b w:val="0"/>
          <w:bCs w:val="0"/>
          <w:vertAlign w:val="subscript"/>
        </w:rPr>
        <w:t>10</w:t>
      </w:r>
      <w:r w:rsidR="00EB6F6C" w:rsidRPr="00B1604C">
        <w:rPr>
          <w:b w:val="0"/>
          <w:bCs w:val="0"/>
        </w:rPr>
        <w:t>(FDR) of the most significant child term associated with the parent term within that pairwise comparison.</w:t>
      </w:r>
      <w:r w:rsidRPr="00B1604C">
        <w:rPr>
          <w:b w:val="0"/>
          <w:bCs w:val="0"/>
        </w:rPr>
        <w:t xml:space="preserve"> </w:t>
      </w:r>
      <w:r w:rsidR="003B219C" w:rsidRPr="00B1604C">
        <w:rPr>
          <w:b w:val="0"/>
          <w:bCs w:val="0"/>
        </w:rPr>
        <w:t xml:space="preserve">Results of EWCE and pathway analyses are available in </w:t>
      </w:r>
      <w:r w:rsidR="003B219C" w:rsidRPr="00B1604C">
        <w:fldChar w:fldCharType="begin"/>
      </w:r>
      <w:r w:rsidR="003B219C" w:rsidRPr="00B1604C">
        <w:instrText xml:space="preserve"> REF _Ref44942633 \h  \* MERGEFORMAT </w:instrText>
      </w:r>
      <w:r w:rsidR="003B219C" w:rsidRPr="00B1604C">
        <w:fldChar w:fldCharType="separate"/>
      </w:r>
      <w:r w:rsidR="002B0885" w:rsidRPr="00B1604C">
        <w:t xml:space="preserve">Supplementary Table </w:t>
      </w:r>
      <w:r w:rsidR="002B0885" w:rsidRPr="00B1604C">
        <w:rPr>
          <w:noProof/>
        </w:rPr>
        <w:t>10</w:t>
      </w:r>
      <w:r w:rsidR="003B219C" w:rsidRPr="00B1604C">
        <w:fldChar w:fldCharType="end"/>
      </w:r>
      <w:r w:rsidR="003B219C" w:rsidRPr="00B1604C">
        <w:rPr>
          <w:b w:val="0"/>
          <w:bCs w:val="0"/>
        </w:rPr>
        <w:t xml:space="preserve"> and </w:t>
      </w:r>
      <w:r w:rsidR="003B219C" w:rsidRPr="00B1604C">
        <w:fldChar w:fldCharType="begin"/>
      </w:r>
      <w:r w:rsidR="003B219C" w:rsidRPr="00B1604C">
        <w:instrText xml:space="preserve"> REF _Ref44942653 \h  \* MERGEFORMAT </w:instrText>
      </w:r>
      <w:r w:rsidR="003B219C" w:rsidRPr="00B1604C">
        <w:fldChar w:fldCharType="separate"/>
      </w:r>
      <w:r w:rsidR="002B0885" w:rsidRPr="00B1604C">
        <w:t xml:space="preserve">Supplementary Table </w:t>
      </w:r>
      <w:r w:rsidR="002B0885" w:rsidRPr="00B1604C">
        <w:rPr>
          <w:noProof/>
        </w:rPr>
        <w:t>11</w:t>
      </w:r>
      <w:r w:rsidR="003B219C" w:rsidRPr="00B1604C">
        <w:fldChar w:fldCharType="end"/>
      </w:r>
      <w:r w:rsidR="003B219C" w:rsidRPr="00B1604C">
        <w:rPr>
          <w:b w:val="0"/>
          <w:bCs w:val="0"/>
        </w:rPr>
        <w:t>, respectively</w:t>
      </w:r>
      <w:r w:rsidR="00EB6F6C" w:rsidRPr="00B1604C">
        <w:rPr>
          <w:b w:val="0"/>
          <w:bCs w:val="0"/>
        </w:rPr>
        <w:t>.</w:t>
      </w:r>
      <w:r w:rsidR="000D29FB">
        <w:rPr>
          <w:b w:val="0"/>
          <w:bCs w:val="0"/>
        </w:rPr>
        <w:t xml:space="preserve"> OPC, oligodendrocyte precursor cell.</w:t>
      </w:r>
      <w:r w:rsidR="00580081" w:rsidRPr="00B1604C">
        <w:rPr>
          <w:b w:val="0"/>
          <w:bCs w:val="0"/>
        </w:rPr>
        <w:br w:type="page"/>
      </w:r>
    </w:p>
    <w:p w14:paraId="68E8A69C" w14:textId="51B7D4FD" w:rsidR="00394A85" w:rsidRPr="00B1604C" w:rsidRDefault="003A6058" w:rsidP="00394A85">
      <w:pPr>
        <w:pStyle w:val="Caption"/>
        <w:keepNext/>
      </w:pPr>
      <w:r>
        <w:rPr>
          <w:noProof/>
          <w:lang w:val="en-IN" w:eastAsia="en-IN"/>
        </w:rPr>
        <w:drawing>
          <wp:inline distT="0" distB="0" distL="0" distR="0" wp14:anchorId="67967FA0" wp14:editId="02954632">
            <wp:extent cx="5400040" cy="503808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26">
                      <a:extLst>
                        <a:ext uri="{28A0092B-C50C-407E-A947-70E740481C1C}">
                          <a14:useLocalDpi xmlns:a14="http://schemas.microsoft.com/office/drawing/2010/main" val="0"/>
                        </a:ext>
                      </a:extLst>
                    </a:blip>
                    <a:stretch>
                      <a:fillRect/>
                    </a:stretch>
                  </pic:blipFill>
                  <pic:spPr>
                    <a:xfrm>
                      <a:off x="0" y="0"/>
                      <a:ext cx="5400040" cy="5038088"/>
                    </a:xfrm>
                    <a:prstGeom prst="rect">
                      <a:avLst/>
                    </a:prstGeom>
                  </pic:spPr>
                </pic:pic>
              </a:graphicData>
            </a:graphic>
          </wp:inline>
        </w:drawing>
      </w:r>
    </w:p>
    <w:p w14:paraId="404CA74F" w14:textId="7DCC9766" w:rsidR="00394A85" w:rsidRPr="00B1604C" w:rsidRDefault="00D44989" w:rsidP="00394A85">
      <w:pPr>
        <w:pStyle w:val="Caption"/>
        <w:rPr>
          <w:b w:val="0"/>
          <w:bCs w:val="0"/>
        </w:rPr>
      </w:pPr>
      <w:bookmarkStart w:id="22" w:name="_Ref66809251"/>
      <w:r>
        <w:t>Supplementary Fig.</w:t>
      </w:r>
      <w:r w:rsidR="00394A85" w:rsidRPr="00B1604C">
        <w:t xml:space="preserve"> </w:t>
      </w:r>
      <w:r>
        <w:fldChar w:fldCharType="begin"/>
      </w:r>
      <w:r>
        <w:instrText>SEQ Supplementary_Fig. \* ARABIC</w:instrText>
      </w:r>
      <w:r>
        <w:fldChar w:fldCharType="separate"/>
      </w:r>
      <w:r>
        <w:rPr>
          <w:noProof/>
        </w:rPr>
        <w:t>16</w:t>
      </w:r>
      <w:r>
        <w:fldChar w:fldCharType="end"/>
      </w:r>
      <w:bookmarkEnd w:id="22"/>
      <w:r w:rsidR="006F2B1C" w:rsidRPr="00B1604C">
        <w:t xml:space="preserve"> Pathway </w:t>
      </w:r>
      <w:r w:rsidR="009053E1" w:rsidRPr="00B1604C">
        <w:t>sharing</w:t>
      </w:r>
      <w:r w:rsidR="006F2B1C" w:rsidRPr="00B1604C">
        <w:t xml:space="preserve"> </w:t>
      </w:r>
      <w:r w:rsidR="00AC5357" w:rsidRPr="00B1604C">
        <w:t>between</w:t>
      </w:r>
      <w:r w:rsidR="006F2B1C" w:rsidRPr="00B1604C">
        <w:t xml:space="preserve"> disease states.</w:t>
      </w:r>
      <w:r w:rsidR="006F2B1C" w:rsidRPr="00B1604C">
        <w:rPr>
          <w:b w:val="0"/>
          <w:bCs w:val="0"/>
        </w:rPr>
        <w:t xml:space="preserve"> </w:t>
      </w:r>
    </w:p>
    <w:p w14:paraId="365AD5FB" w14:textId="6F4B5E68" w:rsidR="00A81E0F" w:rsidRPr="00B1604C" w:rsidRDefault="004474B3" w:rsidP="00DA41C1">
      <w:pPr>
        <w:pStyle w:val="Caption"/>
        <w:rPr>
          <w:rFonts w:asciiTheme="minorHAnsi" w:hAnsiTheme="minorHAnsi" w:cstheme="minorHAnsi"/>
          <w:b w:val="0"/>
          <w:bCs w:val="0"/>
          <w:szCs w:val="22"/>
        </w:rPr>
      </w:pPr>
      <w:r w:rsidRPr="00B1604C">
        <w:rPr>
          <w:b w:val="0"/>
          <w:bCs w:val="0"/>
        </w:rPr>
        <w:t xml:space="preserve">Clustering of shared pathway enrichments using genes identified across the three main analyses (represented by grey bar entitled, “Analysis”). </w:t>
      </w:r>
      <w:r w:rsidR="009318BD" w:rsidRPr="00B1604C">
        <w:rPr>
          <w:b w:val="0"/>
          <w:bCs w:val="0"/>
        </w:rPr>
        <w:t xml:space="preserve">These included: bulk-tissue differential splicing (“Bulk DS”, </w:t>
      </w:r>
      <w:r w:rsidR="009318BD" w:rsidRPr="00B1604C">
        <w:fldChar w:fldCharType="begin"/>
      </w:r>
      <w:r w:rsidR="009318BD" w:rsidRPr="00B1604C">
        <w:instrText xml:space="preserve"> REF _Ref66801316 \h  \* MERGEFORMAT </w:instrText>
      </w:r>
      <w:r w:rsidR="009318BD" w:rsidRPr="00B1604C">
        <w:fldChar w:fldCharType="separate"/>
      </w:r>
      <w:r w:rsidR="002B0885">
        <w:t>Supplementary Fig.</w:t>
      </w:r>
      <w:r w:rsidR="002B0885" w:rsidRPr="00B1604C">
        <w:rPr>
          <w:noProof/>
        </w:rPr>
        <w:t xml:space="preserve"> </w:t>
      </w:r>
      <w:r w:rsidR="002B0885">
        <w:rPr>
          <w:noProof/>
        </w:rPr>
        <w:t>12</w:t>
      </w:r>
      <w:r w:rsidR="009318BD" w:rsidRPr="00B1604C">
        <w:fldChar w:fldCharType="end"/>
      </w:r>
      <w:r w:rsidR="009318BD" w:rsidRPr="00B1604C">
        <w:rPr>
          <w:b w:val="0"/>
          <w:bCs w:val="0"/>
        </w:rPr>
        <w:t xml:space="preserve">); gene contributions to </w:t>
      </w:r>
      <w:r w:rsidR="009318BD" w:rsidRPr="00B1604C">
        <w:rPr>
          <w:rFonts w:asciiTheme="minorHAnsi" w:hAnsiTheme="minorHAnsi" w:cstheme="minorHAnsi"/>
          <w:b w:val="0"/>
          <w:bCs w:val="0"/>
          <w:szCs w:val="22"/>
        </w:rPr>
        <w:t xml:space="preserve">bulk-tissue gene expression PC1 (“Bulk PC”, </w:t>
      </w:r>
      <w:r w:rsidR="009318BD" w:rsidRPr="00B1604C">
        <w:rPr>
          <w:rFonts w:asciiTheme="minorHAnsi" w:hAnsiTheme="minorHAnsi" w:cstheme="minorHAnsi"/>
          <w:szCs w:val="22"/>
        </w:rPr>
        <w:fldChar w:fldCharType="begin"/>
      </w:r>
      <w:r w:rsidR="009318BD" w:rsidRPr="00B1604C">
        <w:rPr>
          <w:rFonts w:asciiTheme="minorHAnsi" w:hAnsiTheme="minorHAnsi" w:cstheme="minorHAnsi"/>
          <w:szCs w:val="22"/>
        </w:rPr>
        <w:instrText xml:space="preserve"> REF _Ref56113919 \h  \* MERGEFORMAT </w:instrText>
      </w:r>
      <w:r w:rsidR="009318BD" w:rsidRPr="00B1604C">
        <w:rPr>
          <w:rFonts w:asciiTheme="minorHAnsi" w:hAnsiTheme="minorHAnsi" w:cstheme="minorHAnsi"/>
          <w:szCs w:val="22"/>
        </w:rPr>
      </w:r>
      <w:r w:rsidR="009318BD" w:rsidRPr="00B1604C">
        <w:rPr>
          <w:rFonts w:asciiTheme="minorHAnsi" w:hAnsiTheme="minorHAnsi" w:cstheme="minorHAnsi"/>
          <w:szCs w:val="22"/>
        </w:rPr>
        <w:fldChar w:fldCharType="separate"/>
      </w:r>
      <w:r w:rsidR="002B0885">
        <w:t>Supplementary Fig.</w:t>
      </w:r>
      <w:r w:rsidR="002B0885" w:rsidRPr="00B1604C">
        <w:rPr>
          <w:noProof/>
        </w:rPr>
        <w:t xml:space="preserve"> </w:t>
      </w:r>
      <w:r w:rsidR="002B0885">
        <w:rPr>
          <w:noProof/>
        </w:rPr>
        <w:t>6</w:t>
      </w:r>
      <w:r w:rsidR="009318BD" w:rsidRPr="00B1604C">
        <w:rPr>
          <w:rFonts w:asciiTheme="minorHAnsi" w:hAnsiTheme="minorHAnsi" w:cstheme="minorHAnsi"/>
          <w:szCs w:val="22"/>
        </w:rPr>
        <w:fldChar w:fldCharType="end"/>
      </w:r>
      <w:r w:rsidR="009318BD" w:rsidRPr="00B1604C">
        <w:rPr>
          <w:rFonts w:asciiTheme="minorHAnsi" w:hAnsiTheme="minorHAnsi" w:cstheme="minorHAnsi"/>
          <w:b w:val="0"/>
          <w:bCs w:val="0"/>
          <w:szCs w:val="22"/>
        </w:rPr>
        <w:t xml:space="preserve">); and single-nucleus differential expression (“snRNA DEG”, </w:t>
      </w:r>
      <w:r w:rsidR="009318BD" w:rsidRPr="00B1604C">
        <w:rPr>
          <w:rFonts w:asciiTheme="minorHAnsi" w:hAnsiTheme="minorHAnsi" w:cstheme="minorHAnsi"/>
          <w:szCs w:val="22"/>
        </w:rPr>
        <w:fldChar w:fldCharType="begin"/>
      </w:r>
      <w:r w:rsidR="009318BD" w:rsidRPr="00B1604C">
        <w:rPr>
          <w:rFonts w:asciiTheme="minorHAnsi" w:hAnsiTheme="minorHAnsi" w:cstheme="minorHAnsi"/>
          <w:szCs w:val="22"/>
        </w:rPr>
        <w:instrText xml:space="preserve"> REF _Ref44842719 \h  \* MERGEFORMAT </w:instrText>
      </w:r>
      <w:r w:rsidR="009318BD" w:rsidRPr="00B1604C">
        <w:rPr>
          <w:rFonts w:asciiTheme="minorHAnsi" w:hAnsiTheme="minorHAnsi" w:cstheme="minorHAnsi"/>
          <w:szCs w:val="22"/>
        </w:rPr>
      </w:r>
      <w:r w:rsidR="009318BD" w:rsidRPr="00B1604C">
        <w:rPr>
          <w:rFonts w:asciiTheme="minorHAnsi" w:hAnsiTheme="minorHAnsi" w:cstheme="minorHAnsi"/>
          <w:szCs w:val="22"/>
        </w:rPr>
        <w:fldChar w:fldCharType="separate"/>
      </w:r>
      <w:r w:rsidR="002B0885">
        <w:t>Fig.</w:t>
      </w:r>
      <w:r w:rsidR="002B0885" w:rsidRPr="00B1604C">
        <w:rPr>
          <w:noProof/>
        </w:rPr>
        <w:t xml:space="preserve"> </w:t>
      </w:r>
      <w:r w:rsidR="002B0885">
        <w:rPr>
          <w:noProof/>
        </w:rPr>
        <w:t>3</w:t>
      </w:r>
      <w:r w:rsidR="009318BD" w:rsidRPr="00B1604C">
        <w:rPr>
          <w:rFonts w:asciiTheme="minorHAnsi" w:hAnsiTheme="minorHAnsi" w:cstheme="minorHAnsi"/>
          <w:szCs w:val="22"/>
        </w:rPr>
        <w:fldChar w:fldCharType="end"/>
      </w:r>
      <w:r w:rsidR="009318BD" w:rsidRPr="00B1604C">
        <w:rPr>
          <w:rFonts w:asciiTheme="minorHAnsi" w:hAnsiTheme="minorHAnsi" w:cstheme="minorHAnsi"/>
          <w:b w:val="0"/>
          <w:bCs w:val="0"/>
          <w:szCs w:val="22"/>
        </w:rPr>
        <w:t>).</w:t>
      </w:r>
      <w:r w:rsidRPr="00B1604C">
        <w:rPr>
          <w:rFonts w:asciiTheme="minorHAnsi" w:hAnsiTheme="minorHAnsi" w:cstheme="minorHAnsi"/>
          <w:b w:val="0"/>
          <w:bCs w:val="0"/>
          <w:szCs w:val="22"/>
        </w:rPr>
        <w:t xml:space="preserve"> Pathways (in rows) from all three analyses were filtered to include only those that appear across more than one type of analysis. </w:t>
      </w:r>
      <w:r w:rsidR="00E606A8" w:rsidRPr="00B1604C">
        <w:rPr>
          <w:rFonts w:asciiTheme="minorHAnsi" w:hAnsiTheme="minorHAnsi" w:cstheme="minorHAnsi"/>
          <w:b w:val="0"/>
          <w:bCs w:val="0"/>
          <w:szCs w:val="22"/>
        </w:rPr>
        <w:t xml:space="preserve">Pathways are ordered from highest to lowest by the number of gene sets in which they are enriched (as displayed in the bar plot on the right-hand side). </w:t>
      </w:r>
      <w:r w:rsidRPr="00B1604C">
        <w:rPr>
          <w:rFonts w:asciiTheme="minorHAnsi" w:hAnsiTheme="minorHAnsi" w:cstheme="minorHAnsi"/>
          <w:b w:val="0"/>
          <w:bCs w:val="0"/>
          <w:szCs w:val="22"/>
        </w:rPr>
        <w:t>Gene sets (in columns) are clustered using hierarchical clustering on the Pearson correlation between gene sets (pathways were encoded with a binary 1 for “Present” or 0 for “Absent”, represented on the plot by black and white, respectively). Gene sets derived from differential splicing (Bulk DS) were collapsed across our own dataset and the validation dataset, resulting in one gene set (column) per pairwise comparison. Likewise, gene sets derived from up- and down-regulated single-nucleus DE gene sets were collapsed across cell types (represented by the coloured bar entitled, “Cell type”), such that each cell type was represented by a single column.</w:t>
      </w:r>
      <w:r w:rsidR="000D29FB">
        <w:rPr>
          <w:rFonts w:asciiTheme="minorHAnsi" w:hAnsiTheme="minorHAnsi" w:cstheme="minorHAnsi"/>
          <w:b w:val="0"/>
          <w:bCs w:val="0"/>
          <w:szCs w:val="22"/>
        </w:rPr>
        <w:t xml:space="preserve"> OPC, oligodendrocyte precursor cell.</w:t>
      </w:r>
      <w:r w:rsidR="00A81E0F" w:rsidRPr="00B1604C">
        <w:rPr>
          <w:rFonts w:asciiTheme="minorHAnsi" w:hAnsiTheme="minorHAnsi" w:cstheme="minorHAnsi"/>
          <w:b w:val="0"/>
          <w:bCs w:val="0"/>
          <w:szCs w:val="22"/>
        </w:rPr>
        <w:br w:type="page"/>
      </w:r>
    </w:p>
    <w:p w14:paraId="1F81527A" w14:textId="1FB6E2DA" w:rsidR="008307CA" w:rsidRPr="00187425" w:rsidRDefault="00BE4DEA" w:rsidP="0011451B">
      <w:pPr>
        <w:pStyle w:val="Heading1"/>
      </w:pPr>
      <w:bookmarkStart w:id="23" w:name="_Ref66452117"/>
      <w:bookmarkStart w:id="24" w:name="_Ref66965763"/>
      <w:bookmarkStart w:id="25" w:name="_GoBack"/>
      <w:bookmarkEnd w:id="25"/>
      <w:r w:rsidRPr="00187425">
        <w:t xml:space="preserve">Supplementary </w:t>
      </w:r>
      <w:r w:rsidR="00FB753E" w:rsidRPr="00187425">
        <w:t>N</w:t>
      </w:r>
      <w:r w:rsidRPr="00187425">
        <w:t>ote</w:t>
      </w:r>
      <w:bookmarkEnd w:id="23"/>
      <w:bookmarkEnd w:id="24"/>
    </w:p>
    <w:p w14:paraId="54AD21B6" w14:textId="1A258AA7" w:rsidR="00F97B82" w:rsidRPr="00B1604C" w:rsidRDefault="00F97B82" w:rsidP="0011451B">
      <w:pPr>
        <w:pStyle w:val="Heading2"/>
      </w:pPr>
      <w:r w:rsidRPr="00B1604C">
        <w:t>Validation of differentially spliced introns in GTEx</w:t>
      </w:r>
    </w:p>
    <w:p w14:paraId="2D44EECD" w14:textId="4423EDA1" w:rsidR="00F97B82" w:rsidRPr="00B1604C" w:rsidRDefault="00F97B82" w:rsidP="0011451B">
      <w:pPr>
        <w:pStyle w:val="Heading3"/>
      </w:pPr>
      <w:r w:rsidRPr="00B1604C">
        <w:t>Methods</w:t>
      </w:r>
    </w:p>
    <w:p w14:paraId="31601A26" w14:textId="68C8F861" w:rsidR="00F97B82" w:rsidRPr="00B1604C" w:rsidRDefault="00F97B82" w:rsidP="000D6FE9">
      <w:r w:rsidRPr="00B1604C">
        <w:t>Junction read counts from 99 GTEx-derived anterior cingulate cortex samples were accessed from recount2 (recount accession ID: SRP012682; GTEx v6)</w:t>
      </w:r>
      <w:r w:rsidR="00C11C10">
        <w:t xml:space="preserve"> </w:t>
      </w:r>
      <w:r w:rsidRPr="00B1604C">
        <w:fldChar w:fldCharType="begin" w:fldLock="1"/>
      </w:r>
      <w:r w:rsidR="00F900E9">
        <w:instrText>ADDIN CSL_CITATION {"citationItems":[{"id":"ITEM-1","itemData":{"DOI":"10.1126/science.1262110","ISBN":"0036-8075","ISSN":"1095-9203","PMID":"25954001","abstract":"Understanding the functional consequences of genetic variation, and how it affects complex human disease and quantitative traits, remains a critical challenge for biomedicine. We present an analysis of RNA sequencing data from 1641 samples across 43 tissues from 175 individuals, generated as part of the pilot phase of the Genotype-Tissue Expression (GTEx) project. We describe the landscape of gene expression across tissues, catalog thousands of tissue-specific and shared regulatory expression quantitative trait loci (eQTL) variants, describe complex network relationships, and identify signals from genome-wide association studies explained by eQTLs. These findings provide a systematic understanding of the cellular and biological consequences of human genetic variation and of the heterogeneity of such effects among a diverse set of human tissues.","author":[{"dropping-particle":"","family":"GTEx Consortium","given":"","non-dropping-particle":"","parse-names":false,"suffix":""}],"container-title":"Science (New York, N.Y.)","id":"ITEM-1","issue":"6235","issued":{"date-parts":[["2015","5","8"]]},"page":"648-60","title":"Human genomics. The Genotype-Tissue Expression (GTEx) pilot analysis: multitissue gene regulation in humans.","type":"article-journal","volume":"348"},"uris":["http://www.mendeley.com/documents/?uuid=e4220073-42c0-4294-b473-0da8fa297c81"]},{"id":"ITEM-2","itemData":{"DOI":"10.1038/nbt.3838","ISSN":"1087-0156","PMID":"28398307","author":[{"dropping-particle":"","family":"Collado-Torres","given":"Leonardo","non-dropping-particle":"","parse-names":false,"suffix":""},{"dropping-particle":"","family":"Nellore","given":"Abhinav","non-dropping-particle":"","parse-names":false,"suffix":""},{"dropping-particle":"","family":"Kammers","given":"Kai","non-dropping-particle":"","parse-names":false,"suffix":""},{"dropping-particle":"","family":"Ellis","given":"Shannon E","non-dropping-particle":"","parse-names":false,"suffix":""},{"dropping-particle":"","family":"Taub","given":"Margaret A","non-dropping-particle":"","parse-names":false,"suffix":""},{"dropping-particle":"","family":"Hansen","given":"Kasper D","non-dropping-particle":"","parse-names":false,"suffix":""},{"dropping-particle":"","family":"Jaffe","given":"Andrew E","non-dropping-particle":"","parse-names":false,"suffix":""},{"dropping-particle":"","family":"Langmead","given":"Ben","non-dropping-particle":"","parse-names":false,"suffix":""},{"dropping-particle":"","family":"Leek","given":"Jeffrey T","non-dropping-particle":"","parse-names":false,"suffix":""}],"container-title":"Nature Biotechnology","id":"ITEM-2","issue":"4","issued":{"date-parts":[["2017"]]},"page":"319-321","title":"Reproducible RNA-seq analysis using recount2","type":"article-journal","volume":"35"},"uris":["http://www.mendeley.com/documents/?uuid=9f5babfe-cc8b-4d77-89fc-117d372c7b03"]}],"mendeley":{"formattedCitation":"[98,111]","plainTextFormattedCitation":"[98,111]","previouslyFormattedCitation":"[97,110]"},"properties":{"noteIndex":0},"schema":"https://github.com/citation-style-language/schema/raw/master/csl-citation.json"}</w:instrText>
      </w:r>
      <w:r w:rsidRPr="00B1604C">
        <w:fldChar w:fldCharType="separate"/>
      </w:r>
      <w:r w:rsidR="00F900E9" w:rsidRPr="00F900E9">
        <w:rPr>
          <w:noProof/>
        </w:rPr>
        <w:t>[98,111]</w:t>
      </w:r>
      <w:r w:rsidRPr="00B1604C">
        <w:fldChar w:fldCharType="end"/>
      </w:r>
      <w:r w:rsidRPr="00B1604C">
        <w:t>. Paired-end 76-bp sequencing was applied to each sample, with a mean depth of 94.5 million read pairs per sample. All samples were of high quality with RIN values ranging from 5.5-8.9 and a median of 6.8. A DS intron was considered “detected in a GTEx sample” if its donor and acceptor splice sites precisely matched that of a junction with a count &gt; 0 in a GTEx sample. Thereafter, two proportions were calculated: (i) the proportion of DS introns not detected in a single GTEx sample and (ii) the proportion of GTEx samples in which a DS intron was detected. The first proportion was calculated separately for each pairwise comparison by dividing the number of undetected DS introns by the total number of DS introns within a category of splicing event. The second proportion was calculated separately for each intron in a pairwise comparison by dividing the number of GTEx samples in which the intron was detected by the total number of GTEx samples.</w:t>
      </w:r>
    </w:p>
    <w:p w14:paraId="7BE398FE" w14:textId="28DC5950" w:rsidR="00F97B82" w:rsidRPr="00B1604C" w:rsidRDefault="00F97B82" w:rsidP="0011451B">
      <w:pPr>
        <w:pStyle w:val="Heading3"/>
      </w:pPr>
      <w:r w:rsidRPr="00B1604C">
        <w:t>Results</w:t>
      </w:r>
    </w:p>
    <w:p w14:paraId="225D330E" w14:textId="2A569548" w:rsidR="008307CA" w:rsidRPr="00B1604C" w:rsidRDefault="008B1037" w:rsidP="009E033C">
      <w:r w:rsidRPr="00B1604C">
        <w:t>To determine whether DS introns were commonly observed in unaffected control tissue, a reference set of 99 control anterior cingulate cortex samples derived from the GTEx project was used. Across comparisons, between 3.8-5.4% of all DS introns went entirely undetected in GTEx samples. Detection rates varied</w:t>
      </w:r>
      <w:r w:rsidR="00DB0408">
        <w:t xml:space="preserve"> </w:t>
      </w:r>
      <w:r w:rsidRPr="00B1604C">
        <w:t>across different categories of splicing event. Depending on the category of splicing event, anything between 1.8-26% of DS introns assigned to the category went entirely undetected in GTEx samples (</w:t>
      </w:r>
      <w:r w:rsidRPr="00B1604C">
        <w:rPr>
          <w:b/>
          <w:bCs/>
        </w:rPr>
        <w:fldChar w:fldCharType="begin"/>
      </w:r>
      <w:r w:rsidRPr="00B1604C">
        <w:rPr>
          <w:b/>
          <w:bCs/>
        </w:rPr>
        <w:instrText xml:space="preserve"> REF _Ref44874183 \h  \* MERGEFORMAT </w:instrText>
      </w:r>
      <w:r w:rsidRPr="00B1604C">
        <w:rPr>
          <w:b/>
          <w:bCs/>
        </w:rPr>
      </w:r>
      <w:r w:rsidRPr="00B1604C">
        <w:rPr>
          <w:b/>
          <w:bCs/>
        </w:rPr>
        <w:fldChar w:fldCharType="separate"/>
      </w:r>
      <w:r w:rsidR="002B0885" w:rsidRPr="002B0885">
        <w:rPr>
          <w:b/>
          <w:bCs/>
        </w:rPr>
        <w:t>Supplementary Fig.</w:t>
      </w:r>
      <w:r w:rsidR="002B0885" w:rsidRPr="002B0885">
        <w:rPr>
          <w:b/>
          <w:bCs/>
          <w:noProof/>
        </w:rPr>
        <w:t xml:space="preserve"> 13</w:t>
      </w:r>
      <w:r w:rsidRPr="00B1604C">
        <w:rPr>
          <w:b/>
          <w:bCs/>
        </w:rPr>
        <w:fldChar w:fldCharType="end"/>
      </w:r>
      <w:r w:rsidRPr="00B1604C">
        <w:rPr>
          <w:b/>
          <w:bCs/>
        </w:rPr>
        <w:t>c</w:t>
      </w:r>
      <w:r w:rsidRPr="00B1604C">
        <w:t>). This proportion was lowest for annotated and highest for unannotated categories, as might be expected under the assumption that an event that does not exist in the reference transcriptome remains unannotated by virtue of the low likelihood of detecting it. Of those DS introns that were detected in GTEx samples, 50% of annotated, partially annotated and unannotated events were observed in greater than 85.9%, 28.3%, and 21.2% of GTEx samples, respectively (</w:t>
      </w:r>
      <w:r w:rsidRPr="00B1604C">
        <w:rPr>
          <w:b/>
          <w:bCs/>
        </w:rPr>
        <w:fldChar w:fldCharType="begin"/>
      </w:r>
      <w:r w:rsidRPr="00B1604C">
        <w:rPr>
          <w:b/>
          <w:bCs/>
        </w:rPr>
        <w:instrText xml:space="preserve"> REF _Ref44874183 \h  \* MERGEFORMAT </w:instrText>
      </w:r>
      <w:r w:rsidRPr="00B1604C">
        <w:rPr>
          <w:b/>
          <w:bCs/>
        </w:rPr>
      </w:r>
      <w:r w:rsidRPr="00B1604C">
        <w:rPr>
          <w:b/>
          <w:bCs/>
        </w:rPr>
        <w:fldChar w:fldCharType="separate"/>
      </w:r>
      <w:r w:rsidR="002B0885" w:rsidRPr="002B0885">
        <w:rPr>
          <w:b/>
          <w:bCs/>
        </w:rPr>
        <w:t>Supplementary Fig.</w:t>
      </w:r>
      <w:r w:rsidR="002B0885" w:rsidRPr="002B0885">
        <w:rPr>
          <w:b/>
          <w:bCs/>
          <w:noProof/>
        </w:rPr>
        <w:t xml:space="preserve"> 13</w:t>
      </w:r>
      <w:r w:rsidRPr="00B1604C">
        <w:rPr>
          <w:b/>
          <w:bCs/>
        </w:rPr>
        <w:fldChar w:fldCharType="end"/>
      </w:r>
      <w:r w:rsidRPr="00B1604C">
        <w:rPr>
          <w:b/>
          <w:bCs/>
        </w:rPr>
        <w:t>d</w:t>
      </w:r>
      <w:r w:rsidRPr="00B1604C">
        <w:t>). Thus, despite the relatively high proportion of partially annotated DS introns, the ability to detect these events in larger control cohorts suggested these were biologically relevant splicing events.</w:t>
      </w:r>
    </w:p>
    <w:p w14:paraId="0ECAFE9B" w14:textId="3F7CBF3B" w:rsidR="0066215C" w:rsidRPr="00B1604C" w:rsidRDefault="0066215C" w:rsidP="0011451B">
      <w:pPr>
        <w:pStyle w:val="Heading2"/>
      </w:pPr>
      <w:r w:rsidRPr="00B1604C">
        <w:t>Replication of differentially spliced introns in GTEx</w:t>
      </w:r>
    </w:p>
    <w:p w14:paraId="3A3E5D6D" w14:textId="7AF8917D" w:rsidR="00403EC8" w:rsidRPr="00B1604C" w:rsidRDefault="00403EC8" w:rsidP="0011451B">
      <w:pPr>
        <w:pStyle w:val="Heading3"/>
      </w:pPr>
      <w:r w:rsidRPr="00B1604C">
        <w:t>Methods</w:t>
      </w:r>
    </w:p>
    <w:p w14:paraId="7822A82B" w14:textId="312E6DEB" w:rsidR="00403EC8" w:rsidRPr="00B1604C" w:rsidRDefault="00403EC8" w:rsidP="00403EC8">
      <w:r w:rsidRPr="00B1604C">
        <w:t xml:space="preserve">Replication of differential splicing was performed using a replication dataset (see </w:t>
      </w:r>
      <w:r w:rsidRPr="009578B9">
        <w:rPr>
          <w:b/>
          <w:bCs/>
        </w:rPr>
        <w:fldChar w:fldCharType="begin"/>
      </w:r>
      <w:r w:rsidRPr="009578B9">
        <w:rPr>
          <w:b/>
          <w:bCs/>
        </w:rPr>
        <w:instrText xml:space="preserve"> REF _Ref43312288 \h  \* MERGEFORMAT </w:instrText>
      </w:r>
      <w:r w:rsidRPr="009578B9">
        <w:rPr>
          <w:b/>
          <w:bCs/>
        </w:rPr>
      </w:r>
      <w:r w:rsidRPr="009578B9">
        <w:rPr>
          <w:b/>
          <w:bCs/>
        </w:rPr>
        <w:fldChar w:fldCharType="separate"/>
      </w:r>
      <w:r w:rsidR="002B0885" w:rsidRPr="002B0885">
        <w:rPr>
          <w:b/>
          <w:bCs/>
        </w:rPr>
        <w:t>Processing of PD case-control replication dataset</w:t>
      </w:r>
      <w:r w:rsidRPr="009578B9">
        <w:rPr>
          <w:b/>
          <w:bCs/>
        </w:rPr>
        <w:fldChar w:fldCharType="end"/>
      </w:r>
      <w:r w:rsidRPr="00B1604C">
        <w:t>). Junction read counts were accessed from recount2, filtered to remove any regions that overlap ENCODE blacklist regions</w:t>
      </w:r>
      <w:r w:rsidR="00C11C10">
        <w:t xml:space="preserve"> </w:t>
      </w:r>
      <w:r w:rsidRPr="00B1604C">
        <w:fldChar w:fldCharType="begin" w:fldLock="1"/>
      </w:r>
      <w:r w:rsidR="00F900E9">
        <w:instrText>ADDIN CSL_CITATION {"citationItems":[{"id":"ITEM-1","itemData":{"DOI":"10.1038/s41598-019-45839-z","ISBN":"4159801945839","ISSN":"20452322","abstract":"Functional genomics assays based on high-throughput sequencing greatly expand our ability to understand the genome. Here, we define the ENCODE blacklist- a comprehensive set of regions in the human, mouse, worm, and fly genomes that have anomalous, unstructured, or high signal in next-generation sequencing experiments independent of cell line or experiment. The removal of the ENCODE blacklist is an essential quality measure when analyzing functional genomics data.","author":[{"dropping-particle":"","family":"Amemiya","given":"Haley M.","non-dropping-particle":"","parse-names":false,"suffix":""},{"dropping-particle":"","family":"Kundaje","given":"Anshul","non-dropping-particle":"","parse-names":false,"suffix":""},{"dropping-particle":"","family":"Boyle","given":"Alan P.","non-dropping-particle":"","parse-names":false,"suffix":""}],"container-title":"Scientific Reports","id":"ITEM-1","issue":"1","issued":{"date-parts":[["2019"]]},"page":"1-5","title":"The ENCODE Blacklist: Identification of Problematic Regions of the Genome","type":"article-journal","volume":"9"},"uris":["http://www.mendeley.com/documents/?uuid=a3b2c5b4-e2af-4034-89c4-7288e2020296"]}],"mendeley":{"formattedCitation":"[95]","plainTextFormattedCitation":"[95]","previouslyFormattedCitation":"[94]"},"properties":{"noteIndex":0},"schema":"https://github.com/citation-style-language/schema/raw/master/csl-citation.json"}</w:instrText>
      </w:r>
      <w:r w:rsidRPr="00B1604C">
        <w:fldChar w:fldCharType="separate"/>
      </w:r>
      <w:r w:rsidR="00F900E9" w:rsidRPr="00F900E9">
        <w:rPr>
          <w:noProof/>
        </w:rPr>
        <w:t>[95]</w:t>
      </w:r>
      <w:r w:rsidRPr="00B1604C">
        <w:fldChar w:fldCharType="end"/>
      </w:r>
      <w:r w:rsidRPr="00B1604C">
        <w:t>, and converted to .</w:t>
      </w:r>
      <w:r w:rsidRPr="00B1604C">
        <w:rPr>
          <w:rFonts w:ascii="Courier New" w:hAnsi="Courier New" w:cs="Courier New"/>
          <w:sz w:val="18"/>
          <w:szCs w:val="18"/>
        </w:rPr>
        <w:t xml:space="preserve">junc </w:t>
      </w:r>
      <w:r w:rsidRPr="00B1604C">
        <w:t>files. Intron clustering (which yielded 37,021 clusters encompassing 128,800 introns) and differential splicing were performed using the same parameters as above. As intron cluster definitions are dataset-dependent, only those intron clusters that matched exactly between the discovery and replication dataset were used for replication purposes. An exact match was defined as an intron cluster that contained the same introns, as determined by their splice donor and acceptor sites, across both datasets. This yielded a total of 13,433 exactly matching intron clusters, 836 of which passed FDR &lt; 0.05 in the discovery dataset. Unadjusted p-values in the replication dataset for these 836 overlapping clusters were then FDR-corrected, and any of the 836 that passed FDR &lt; 0.05 in the replication dataset were considered validated (</w:t>
      </w:r>
      <w:r w:rsidRPr="00B1604C">
        <w:rPr>
          <w:b/>
          <w:bCs/>
        </w:rPr>
        <w:fldChar w:fldCharType="begin"/>
      </w:r>
      <w:r w:rsidRPr="00B1604C">
        <w:rPr>
          <w:b/>
          <w:bCs/>
        </w:rPr>
        <w:instrText xml:space="preserve"> REF _Ref44876369 \h  \* MERGEFORMAT </w:instrText>
      </w:r>
      <w:r w:rsidRPr="00B1604C">
        <w:rPr>
          <w:b/>
          <w:bCs/>
        </w:rPr>
      </w:r>
      <w:r w:rsidRPr="00B1604C">
        <w:rPr>
          <w:b/>
          <w:bCs/>
        </w:rPr>
        <w:fldChar w:fldCharType="separate"/>
      </w:r>
      <w:r w:rsidR="002B0885" w:rsidRPr="002B0885">
        <w:rPr>
          <w:b/>
          <w:bCs/>
        </w:rPr>
        <w:t>Supplementary Fig.</w:t>
      </w:r>
      <w:r w:rsidR="002B0885" w:rsidRPr="002B0885">
        <w:rPr>
          <w:b/>
          <w:bCs/>
          <w:noProof/>
        </w:rPr>
        <w:t xml:space="preserve"> 14</w:t>
      </w:r>
      <w:r w:rsidRPr="00B1604C">
        <w:rPr>
          <w:b/>
          <w:bCs/>
        </w:rPr>
        <w:fldChar w:fldCharType="end"/>
      </w:r>
      <w:r w:rsidRPr="00B1604C">
        <w:t xml:space="preserve">). For gene-level analyses, only those validated intron clusters with </w:t>
      </w:r>
      <w:r w:rsidRPr="00B1604C">
        <w:rPr>
          <w:rFonts w:cs="Calibri"/>
        </w:rPr>
        <w:t>≥</w:t>
      </w:r>
      <w:r w:rsidRPr="00B1604C">
        <w:t xml:space="preserve"> 1 intron that shared the same direction of effect across both datasets were carried forward.</w:t>
      </w:r>
    </w:p>
    <w:p w14:paraId="4FE40FDF" w14:textId="02548C25" w:rsidR="00403EC8" w:rsidRPr="00B1604C" w:rsidRDefault="00403EC8" w:rsidP="0011451B">
      <w:pPr>
        <w:pStyle w:val="Heading3"/>
      </w:pPr>
      <w:r w:rsidRPr="00B1604C">
        <w:t>Results</w:t>
      </w:r>
    </w:p>
    <w:p w14:paraId="6ACD77C7" w14:textId="673BF4E4" w:rsidR="0066215C" w:rsidRPr="007773E1" w:rsidRDefault="001E3CB5" w:rsidP="009E033C">
      <w:r w:rsidRPr="00B1604C">
        <w:t>Replication of differential splicing was performed using the same external PD case-control bulk-tissue RNA-sequencing dataset used in replication of deconvolution results. Only those intron clusters that were found to exactly match between datasets were used for replication (n = 13,433 intron clusters). Of these, 836 and 765 were DS (in at least one pairwise comparison) in our dataset and the replication dataset, respectively, with 69 shared between both (p</w:t>
      </w:r>
      <w:r w:rsidR="00FF02A6">
        <w:t>-value</w:t>
      </w:r>
      <w:r w:rsidRPr="00B1604C">
        <w:t xml:space="preserve"> = 0.001956; odds ratio = 1.53; 95% CI = 1.17-1.99; Fisher’s exact test; </w:t>
      </w:r>
      <w:r w:rsidRPr="00D43239">
        <w:rPr>
          <w:b/>
          <w:bCs/>
        </w:rPr>
        <w:fldChar w:fldCharType="begin"/>
      </w:r>
      <w:r w:rsidRPr="00D43239">
        <w:rPr>
          <w:b/>
          <w:bCs/>
        </w:rPr>
        <w:instrText xml:space="preserve"> REF _Ref44876369 \h  \* MERGEFORMAT </w:instrText>
      </w:r>
      <w:r w:rsidRPr="00D43239">
        <w:rPr>
          <w:b/>
          <w:bCs/>
        </w:rPr>
      </w:r>
      <w:r w:rsidRPr="00D43239">
        <w:rPr>
          <w:b/>
          <w:bCs/>
        </w:rPr>
        <w:fldChar w:fldCharType="separate"/>
      </w:r>
      <w:r w:rsidR="002B0885" w:rsidRPr="002B0885">
        <w:rPr>
          <w:b/>
          <w:bCs/>
        </w:rPr>
        <w:t>Supplementary Fig.</w:t>
      </w:r>
      <w:r w:rsidR="002B0885" w:rsidRPr="002B0885">
        <w:rPr>
          <w:b/>
          <w:bCs/>
          <w:noProof/>
        </w:rPr>
        <w:t xml:space="preserve"> 14</w:t>
      </w:r>
      <w:r w:rsidRPr="00D43239">
        <w:rPr>
          <w:b/>
          <w:bCs/>
        </w:rPr>
        <w:fldChar w:fldCharType="end"/>
      </w:r>
      <w:r w:rsidRPr="00B1604C">
        <w:t>). We performed cell-type and pathway enrichments on genes containing a shared validated DS intron cluster with at least 1 intron with the same direction of effect in both datasets (</w:t>
      </w:r>
      <w:r w:rsidRPr="00B1604C">
        <w:rPr>
          <w:i/>
          <w:iCs/>
        </w:rPr>
        <w:t>n</w:t>
      </w:r>
      <w:r w:rsidRPr="00B1604C">
        <w:t xml:space="preserve"> unique = 15 genes). Among cell-type enrichment tests, no gene sets passed FDR correction. However, nominally significant enrichments were observed in oligodendrocytes using genes found DS in PDD compared </w:t>
      </w:r>
      <w:r w:rsidR="004024BD">
        <w:t>with</w:t>
      </w:r>
      <w:r w:rsidRPr="00B1604C">
        <w:t xml:space="preserve"> control, similar to what we observed with our own dataset (</w:t>
      </w:r>
      <w:bookmarkStart w:id="26" w:name="_Hlk66965792"/>
      <w:r w:rsidRPr="00B1604C">
        <w:rPr>
          <w:b/>
          <w:bCs/>
        </w:rPr>
        <w:fldChar w:fldCharType="begin"/>
      </w:r>
      <w:r w:rsidRPr="00D43239">
        <w:rPr>
          <w:b/>
          <w:bCs/>
        </w:rPr>
        <w:instrText xml:space="preserve"> REF _Ref45010251 \h  \* MERGEFORMAT </w:instrText>
      </w:r>
      <w:r w:rsidRPr="00B1604C">
        <w:rPr>
          <w:b/>
          <w:bCs/>
        </w:rPr>
      </w:r>
      <w:r w:rsidRPr="00B1604C">
        <w:rPr>
          <w:b/>
          <w:bCs/>
        </w:rPr>
        <w:fldChar w:fldCharType="separate"/>
      </w:r>
      <w:r w:rsidR="002B0885" w:rsidRPr="002B0885">
        <w:rPr>
          <w:b/>
          <w:bCs/>
        </w:rPr>
        <w:t>Supplementary Fig.</w:t>
      </w:r>
      <w:r w:rsidR="002B0885" w:rsidRPr="002B0885">
        <w:rPr>
          <w:b/>
          <w:bCs/>
          <w:noProof/>
        </w:rPr>
        <w:t xml:space="preserve"> 15</w:t>
      </w:r>
      <w:r w:rsidRPr="00B1604C">
        <w:rPr>
          <w:b/>
          <w:bCs/>
        </w:rPr>
        <w:fldChar w:fldCharType="end"/>
      </w:r>
      <w:r w:rsidRPr="00B1604C">
        <w:rPr>
          <w:b/>
          <w:bCs/>
        </w:rPr>
        <w:t>a</w:t>
      </w:r>
      <w:bookmarkEnd w:id="26"/>
      <w:r w:rsidRPr="00B1604C">
        <w:t>). Furthermore, several pathway enrichments observed were related to phospholipid binding, endosomes and GTPase activity (</w:t>
      </w:r>
      <w:r w:rsidRPr="00D43239">
        <w:rPr>
          <w:b/>
          <w:bCs/>
        </w:rPr>
        <w:fldChar w:fldCharType="begin"/>
      </w:r>
      <w:r w:rsidRPr="00D43239">
        <w:rPr>
          <w:b/>
          <w:bCs/>
        </w:rPr>
        <w:instrText xml:space="preserve"> REF _Ref45010251 \h  \* MERGEFORMAT </w:instrText>
      </w:r>
      <w:r w:rsidRPr="00D43239">
        <w:rPr>
          <w:b/>
          <w:bCs/>
        </w:rPr>
      </w:r>
      <w:r w:rsidRPr="00D43239">
        <w:rPr>
          <w:b/>
          <w:bCs/>
        </w:rPr>
        <w:fldChar w:fldCharType="separate"/>
      </w:r>
      <w:r w:rsidR="002B0885" w:rsidRPr="002B0885">
        <w:rPr>
          <w:b/>
          <w:bCs/>
        </w:rPr>
        <w:t>Supplementary Fig.</w:t>
      </w:r>
      <w:r w:rsidR="002B0885" w:rsidRPr="002B0885">
        <w:rPr>
          <w:b/>
          <w:bCs/>
          <w:noProof/>
        </w:rPr>
        <w:t xml:space="preserve"> 15</w:t>
      </w:r>
      <w:r w:rsidRPr="00D43239">
        <w:rPr>
          <w:b/>
          <w:bCs/>
        </w:rPr>
        <w:fldChar w:fldCharType="end"/>
      </w:r>
      <w:r w:rsidRPr="00D43239">
        <w:rPr>
          <w:b/>
          <w:bCs/>
        </w:rPr>
        <w:t>b</w:t>
      </w:r>
      <w:r w:rsidRPr="00B1604C">
        <w:t>).</w:t>
      </w:r>
      <w:r w:rsidRPr="007773E1">
        <w:t xml:space="preserve"> </w:t>
      </w:r>
    </w:p>
    <w:sectPr w:rsidR="0066215C" w:rsidRPr="007773E1" w:rsidSect="00CC6EB5">
      <w:footerReference w:type="default" r:id="rId27"/>
      <w:footnotePr>
        <w:pos w:val="beneathText"/>
      </w:footnotePr>
      <w:pgSz w:w="11909" w:h="16834"/>
      <w:pgMar w:top="1440" w:right="1440" w:bottom="1440" w:left="1440" w:header="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BA51A" w14:textId="77777777" w:rsidR="00727E5D" w:rsidRDefault="00727E5D">
      <w:pPr>
        <w:spacing w:after="0" w:line="240" w:lineRule="auto"/>
      </w:pPr>
      <w:r>
        <w:separator/>
      </w:r>
    </w:p>
  </w:endnote>
  <w:endnote w:type="continuationSeparator" w:id="0">
    <w:p w14:paraId="3129F995" w14:textId="77777777" w:rsidR="00727E5D" w:rsidRDefault="00727E5D">
      <w:pPr>
        <w:spacing w:after="0" w:line="240" w:lineRule="auto"/>
      </w:pPr>
      <w:r>
        <w:continuationSeparator/>
      </w:r>
    </w:p>
  </w:endnote>
  <w:endnote w:type="continuationNotice" w:id="1">
    <w:p w14:paraId="0954D09B" w14:textId="77777777" w:rsidR="00727E5D" w:rsidRDefault="00727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New Roman,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228618"/>
      <w:docPartObj>
        <w:docPartGallery w:val="Page Numbers (Bottom of Page)"/>
        <w:docPartUnique/>
      </w:docPartObj>
    </w:sdtPr>
    <w:sdtEndPr>
      <w:rPr>
        <w:noProof/>
      </w:rPr>
    </w:sdtEndPr>
    <w:sdtContent>
      <w:p w14:paraId="2E4FE69F" w14:textId="77777777" w:rsidR="00395133" w:rsidRDefault="0039513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A4F25F2" w14:textId="77777777" w:rsidR="00395133" w:rsidRDefault="003951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788DB" w14:textId="77777777" w:rsidR="00727E5D" w:rsidRDefault="00727E5D">
      <w:pPr>
        <w:spacing w:after="0" w:line="240" w:lineRule="auto"/>
      </w:pPr>
      <w:r>
        <w:separator/>
      </w:r>
    </w:p>
  </w:footnote>
  <w:footnote w:type="continuationSeparator" w:id="0">
    <w:p w14:paraId="12483CB4" w14:textId="77777777" w:rsidR="00727E5D" w:rsidRDefault="00727E5D">
      <w:pPr>
        <w:spacing w:after="0" w:line="240" w:lineRule="auto"/>
      </w:pPr>
      <w:r>
        <w:continuationSeparator/>
      </w:r>
    </w:p>
  </w:footnote>
  <w:footnote w:type="continuationNotice" w:id="1">
    <w:p w14:paraId="4EFA7021" w14:textId="77777777" w:rsidR="00727E5D" w:rsidRDefault="00727E5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A232B"/>
    <w:multiLevelType w:val="hybridMultilevel"/>
    <w:tmpl w:val="27E02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D6441"/>
    <w:multiLevelType w:val="hybridMultilevel"/>
    <w:tmpl w:val="A2CE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F095C"/>
    <w:multiLevelType w:val="hybridMultilevel"/>
    <w:tmpl w:val="CC4C0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D53AF5"/>
    <w:multiLevelType w:val="hybridMultilevel"/>
    <w:tmpl w:val="59D229A6"/>
    <w:lvl w:ilvl="0" w:tplc="3FC6EEA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576B7C"/>
    <w:multiLevelType w:val="hybridMultilevel"/>
    <w:tmpl w:val="A19E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71747"/>
    <w:multiLevelType w:val="hybridMultilevel"/>
    <w:tmpl w:val="82F2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2F034D"/>
    <w:multiLevelType w:val="hybridMultilevel"/>
    <w:tmpl w:val="9DDA6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90AB1"/>
    <w:multiLevelType w:val="hybridMultilevel"/>
    <w:tmpl w:val="BD14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A41F6"/>
    <w:multiLevelType w:val="hybridMultilevel"/>
    <w:tmpl w:val="8D6CF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33688"/>
    <w:multiLevelType w:val="hybridMultilevel"/>
    <w:tmpl w:val="9E082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000312"/>
    <w:multiLevelType w:val="hybridMultilevel"/>
    <w:tmpl w:val="3A66E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E54477"/>
    <w:multiLevelType w:val="hybridMultilevel"/>
    <w:tmpl w:val="9CFE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1800E5"/>
    <w:multiLevelType w:val="hybridMultilevel"/>
    <w:tmpl w:val="D924B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17A16"/>
    <w:multiLevelType w:val="multilevel"/>
    <w:tmpl w:val="DEE6C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F032A7"/>
    <w:multiLevelType w:val="hybridMultilevel"/>
    <w:tmpl w:val="DAC8A4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2EC6C21"/>
    <w:multiLevelType w:val="hybridMultilevel"/>
    <w:tmpl w:val="E8B28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54A25EC">
      <w:numFmt w:val="bullet"/>
      <w:lvlText w:val="-"/>
      <w:lvlJc w:val="left"/>
      <w:pPr>
        <w:ind w:left="2160" w:hanging="360"/>
      </w:pPr>
      <w:rPr>
        <w:rFonts w:ascii="Calibri" w:eastAsiaTheme="minorHAnsi" w:hAnsi="Calibri" w:cs="Calibri"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EC4C32"/>
    <w:multiLevelType w:val="hybridMultilevel"/>
    <w:tmpl w:val="CFE2C3D0"/>
    <w:lvl w:ilvl="0" w:tplc="B322CF6A">
      <w:start w:val="1"/>
      <w:numFmt w:val="decimal"/>
      <w:lvlText w:val="%1."/>
      <w:lvlJc w:val="left"/>
      <w:pPr>
        <w:ind w:left="720" w:hanging="360"/>
      </w:pPr>
      <w:rPr>
        <w:rFonts w:eastAsiaTheme="minorEastAsia"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AA24ED"/>
    <w:multiLevelType w:val="hybridMultilevel"/>
    <w:tmpl w:val="C2166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152E7"/>
    <w:multiLevelType w:val="hybridMultilevel"/>
    <w:tmpl w:val="55C27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3E5C62"/>
    <w:multiLevelType w:val="hybridMultilevel"/>
    <w:tmpl w:val="D1DA1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FD5EE5"/>
    <w:multiLevelType w:val="hybridMultilevel"/>
    <w:tmpl w:val="1422C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FF5223"/>
    <w:multiLevelType w:val="hybridMultilevel"/>
    <w:tmpl w:val="59D229A6"/>
    <w:lvl w:ilvl="0" w:tplc="3FC6EEA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B43F2B"/>
    <w:multiLevelType w:val="hybridMultilevel"/>
    <w:tmpl w:val="0EBC8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5"/>
  </w:num>
  <w:num w:numId="3">
    <w:abstractNumId w:val="0"/>
  </w:num>
  <w:num w:numId="4">
    <w:abstractNumId w:val="9"/>
  </w:num>
  <w:num w:numId="5">
    <w:abstractNumId w:val="1"/>
  </w:num>
  <w:num w:numId="6">
    <w:abstractNumId w:val="20"/>
  </w:num>
  <w:num w:numId="7">
    <w:abstractNumId w:val="7"/>
  </w:num>
  <w:num w:numId="8">
    <w:abstractNumId w:val="10"/>
  </w:num>
  <w:num w:numId="9">
    <w:abstractNumId w:val="14"/>
  </w:num>
  <w:num w:numId="10">
    <w:abstractNumId w:val="2"/>
  </w:num>
  <w:num w:numId="11">
    <w:abstractNumId w:val="13"/>
  </w:num>
  <w:num w:numId="12">
    <w:abstractNumId w:val="17"/>
  </w:num>
  <w:num w:numId="13">
    <w:abstractNumId w:val="5"/>
  </w:num>
  <w:num w:numId="14">
    <w:abstractNumId w:val="21"/>
  </w:num>
  <w:num w:numId="15">
    <w:abstractNumId w:val="3"/>
  </w:num>
  <w:num w:numId="16">
    <w:abstractNumId w:val="6"/>
  </w:num>
  <w:num w:numId="17">
    <w:abstractNumId w:val="11"/>
  </w:num>
  <w:num w:numId="18">
    <w:abstractNumId w:val="12"/>
  </w:num>
  <w:num w:numId="19">
    <w:abstractNumId w:val="8"/>
  </w:num>
  <w:num w:numId="20">
    <w:abstractNumId w:val="4"/>
  </w:num>
  <w:num w:numId="21">
    <w:abstractNumId w:val="16"/>
  </w:num>
  <w:num w:numId="22">
    <w:abstractNumId w:val="19"/>
  </w:num>
  <w:num w:numId="2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characterSpacingControl w:val="doNotCompress"/>
  <w:hdrShapeDefaults>
    <o:shapedefaults v:ext="edit" spidmax="6145"/>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8D4"/>
    <w:rsid w:val="00000467"/>
    <w:rsid w:val="000005B0"/>
    <w:rsid w:val="000005F5"/>
    <w:rsid w:val="00000707"/>
    <w:rsid w:val="00000837"/>
    <w:rsid w:val="00000917"/>
    <w:rsid w:val="00001661"/>
    <w:rsid w:val="000016B8"/>
    <w:rsid w:val="00001845"/>
    <w:rsid w:val="0000206D"/>
    <w:rsid w:val="000022E0"/>
    <w:rsid w:val="000027D7"/>
    <w:rsid w:val="000030C2"/>
    <w:rsid w:val="00003FEF"/>
    <w:rsid w:val="00004086"/>
    <w:rsid w:val="000041FA"/>
    <w:rsid w:val="000051B2"/>
    <w:rsid w:val="00005EED"/>
    <w:rsid w:val="000060F0"/>
    <w:rsid w:val="000061DD"/>
    <w:rsid w:val="00006A1A"/>
    <w:rsid w:val="00006E80"/>
    <w:rsid w:val="000072A7"/>
    <w:rsid w:val="00007666"/>
    <w:rsid w:val="00007E37"/>
    <w:rsid w:val="00007F7B"/>
    <w:rsid w:val="00007FAD"/>
    <w:rsid w:val="00010814"/>
    <w:rsid w:val="00010AD4"/>
    <w:rsid w:val="00010CDF"/>
    <w:rsid w:val="00011F8D"/>
    <w:rsid w:val="0001254E"/>
    <w:rsid w:val="00012948"/>
    <w:rsid w:val="00012BCC"/>
    <w:rsid w:val="00012DE5"/>
    <w:rsid w:val="000133B8"/>
    <w:rsid w:val="00013482"/>
    <w:rsid w:val="00013E56"/>
    <w:rsid w:val="00015D6B"/>
    <w:rsid w:val="0001647B"/>
    <w:rsid w:val="00016500"/>
    <w:rsid w:val="00016D6F"/>
    <w:rsid w:val="00017148"/>
    <w:rsid w:val="00017B6E"/>
    <w:rsid w:val="000205DE"/>
    <w:rsid w:val="0002069D"/>
    <w:rsid w:val="00020B9F"/>
    <w:rsid w:val="00020EA1"/>
    <w:rsid w:val="000214A6"/>
    <w:rsid w:val="00021729"/>
    <w:rsid w:val="00021DA5"/>
    <w:rsid w:val="00021E2E"/>
    <w:rsid w:val="00024BFD"/>
    <w:rsid w:val="00024D14"/>
    <w:rsid w:val="0002545F"/>
    <w:rsid w:val="00025AEE"/>
    <w:rsid w:val="00025D83"/>
    <w:rsid w:val="00025DE5"/>
    <w:rsid w:val="0002632A"/>
    <w:rsid w:val="00026812"/>
    <w:rsid w:val="00026D82"/>
    <w:rsid w:val="00030B7D"/>
    <w:rsid w:val="00030C6B"/>
    <w:rsid w:val="00030D5D"/>
    <w:rsid w:val="0003126D"/>
    <w:rsid w:val="00031C7E"/>
    <w:rsid w:val="00032001"/>
    <w:rsid w:val="000326EB"/>
    <w:rsid w:val="00033F3B"/>
    <w:rsid w:val="00033F8C"/>
    <w:rsid w:val="00034C0C"/>
    <w:rsid w:val="000359BC"/>
    <w:rsid w:val="000363D1"/>
    <w:rsid w:val="00036581"/>
    <w:rsid w:val="00036BF2"/>
    <w:rsid w:val="000378D6"/>
    <w:rsid w:val="00041419"/>
    <w:rsid w:val="000417D4"/>
    <w:rsid w:val="00041A30"/>
    <w:rsid w:val="00041EB2"/>
    <w:rsid w:val="00041F25"/>
    <w:rsid w:val="00042188"/>
    <w:rsid w:val="0004254B"/>
    <w:rsid w:val="00042E8A"/>
    <w:rsid w:val="00046776"/>
    <w:rsid w:val="0004693B"/>
    <w:rsid w:val="00046BA7"/>
    <w:rsid w:val="00046D47"/>
    <w:rsid w:val="000477A4"/>
    <w:rsid w:val="00050B98"/>
    <w:rsid w:val="00050FB1"/>
    <w:rsid w:val="00051716"/>
    <w:rsid w:val="00052286"/>
    <w:rsid w:val="00053E1E"/>
    <w:rsid w:val="00054401"/>
    <w:rsid w:val="00055213"/>
    <w:rsid w:val="00055846"/>
    <w:rsid w:val="00055847"/>
    <w:rsid w:val="00055911"/>
    <w:rsid w:val="000566EE"/>
    <w:rsid w:val="000603BC"/>
    <w:rsid w:val="000604DD"/>
    <w:rsid w:val="0006107E"/>
    <w:rsid w:val="000618A6"/>
    <w:rsid w:val="000618C3"/>
    <w:rsid w:val="00062E7D"/>
    <w:rsid w:val="00062F54"/>
    <w:rsid w:val="00063A2F"/>
    <w:rsid w:val="00063F5F"/>
    <w:rsid w:val="00064452"/>
    <w:rsid w:val="00065E76"/>
    <w:rsid w:val="00065EBC"/>
    <w:rsid w:val="000660EC"/>
    <w:rsid w:val="0006693B"/>
    <w:rsid w:val="00066A89"/>
    <w:rsid w:val="00066B4E"/>
    <w:rsid w:val="00067303"/>
    <w:rsid w:val="00071B33"/>
    <w:rsid w:val="00071D8E"/>
    <w:rsid w:val="000725A9"/>
    <w:rsid w:val="000728AB"/>
    <w:rsid w:val="0007318E"/>
    <w:rsid w:val="00073575"/>
    <w:rsid w:val="00073CAF"/>
    <w:rsid w:val="00074A49"/>
    <w:rsid w:val="00074CAD"/>
    <w:rsid w:val="000752CB"/>
    <w:rsid w:val="00075D3E"/>
    <w:rsid w:val="0007682A"/>
    <w:rsid w:val="00076DC8"/>
    <w:rsid w:val="000778A8"/>
    <w:rsid w:val="00081B00"/>
    <w:rsid w:val="00081FA2"/>
    <w:rsid w:val="00082199"/>
    <w:rsid w:val="0008221B"/>
    <w:rsid w:val="000823DE"/>
    <w:rsid w:val="000825C6"/>
    <w:rsid w:val="00083155"/>
    <w:rsid w:val="00083303"/>
    <w:rsid w:val="00083483"/>
    <w:rsid w:val="00083758"/>
    <w:rsid w:val="00083819"/>
    <w:rsid w:val="00083A7D"/>
    <w:rsid w:val="00083D49"/>
    <w:rsid w:val="00084288"/>
    <w:rsid w:val="00084949"/>
    <w:rsid w:val="00085EAD"/>
    <w:rsid w:val="000863AC"/>
    <w:rsid w:val="000878A1"/>
    <w:rsid w:val="00087B2F"/>
    <w:rsid w:val="00087DF5"/>
    <w:rsid w:val="00090B0D"/>
    <w:rsid w:val="00090CDB"/>
    <w:rsid w:val="0009101F"/>
    <w:rsid w:val="00091033"/>
    <w:rsid w:val="00091413"/>
    <w:rsid w:val="00091C10"/>
    <w:rsid w:val="00092DED"/>
    <w:rsid w:val="00093691"/>
    <w:rsid w:val="00093BE2"/>
    <w:rsid w:val="00093E5C"/>
    <w:rsid w:val="00093FF9"/>
    <w:rsid w:val="000941C4"/>
    <w:rsid w:val="0009455C"/>
    <w:rsid w:val="00095840"/>
    <w:rsid w:val="000959EF"/>
    <w:rsid w:val="00095D73"/>
    <w:rsid w:val="00097439"/>
    <w:rsid w:val="000976F9"/>
    <w:rsid w:val="00097EE7"/>
    <w:rsid w:val="000A1DF6"/>
    <w:rsid w:val="000A214D"/>
    <w:rsid w:val="000A2549"/>
    <w:rsid w:val="000A2BCF"/>
    <w:rsid w:val="000A41F7"/>
    <w:rsid w:val="000A4943"/>
    <w:rsid w:val="000A52F4"/>
    <w:rsid w:val="000A5412"/>
    <w:rsid w:val="000A587A"/>
    <w:rsid w:val="000A589A"/>
    <w:rsid w:val="000A675E"/>
    <w:rsid w:val="000A6967"/>
    <w:rsid w:val="000A6A8F"/>
    <w:rsid w:val="000B0181"/>
    <w:rsid w:val="000B06D1"/>
    <w:rsid w:val="000B075A"/>
    <w:rsid w:val="000B0824"/>
    <w:rsid w:val="000B1870"/>
    <w:rsid w:val="000B1D34"/>
    <w:rsid w:val="000B2EDF"/>
    <w:rsid w:val="000B35D0"/>
    <w:rsid w:val="000B3659"/>
    <w:rsid w:val="000B3C05"/>
    <w:rsid w:val="000B3DD4"/>
    <w:rsid w:val="000B5560"/>
    <w:rsid w:val="000B6659"/>
    <w:rsid w:val="000B6936"/>
    <w:rsid w:val="000B6982"/>
    <w:rsid w:val="000C1907"/>
    <w:rsid w:val="000C1C3C"/>
    <w:rsid w:val="000C240D"/>
    <w:rsid w:val="000C24FF"/>
    <w:rsid w:val="000C25F7"/>
    <w:rsid w:val="000C26A6"/>
    <w:rsid w:val="000C364F"/>
    <w:rsid w:val="000C5EF2"/>
    <w:rsid w:val="000C668F"/>
    <w:rsid w:val="000C6F19"/>
    <w:rsid w:val="000C7759"/>
    <w:rsid w:val="000C7B32"/>
    <w:rsid w:val="000D0F23"/>
    <w:rsid w:val="000D12D1"/>
    <w:rsid w:val="000D14BF"/>
    <w:rsid w:val="000D1C43"/>
    <w:rsid w:val="000D23AC"/>
    <w:rsid w:val="000D29FB"/>
    <w:rsid w:val="000D2CAB"/>
    <w:rsid w:val="000D30FA"/>
    <w:rsid w:val="000D336B"/>
    <w:rsid w:val="000D33EE"/>
    <w:rsid w:val="000D436A"/>
    <w:rsid w:val="000D4E7C"/>
    <w:rsid w:val="000D5166"/>
    <w:rsid w:val="000D551D"/>
    <w:rsid w:val="000D65D4"/>
    <w:rsid w:val="000D67B3"/>
    <w:rsid w:val="000D6A5B"/>
    <w:rsid w:val="000D6F39"/>
    <w:rsid w:val="000D6FE9"/>
    <w:rsid w:val="000D7067"/>
    <w:rsid w:val="000D7283"/>
    <w:rsid w:val="000D77BA"/>
    <w:rsid w:val="000D79D2"/>
    <w:rsid w:val="000E02CC"/>
    <w:rsid w:val="000E04EA"/>
    <w:rsid w:val="000E0C13"/>
    <w:rsid w:val="000E123D"/>
    <w:rsid w:val="000E1A83"/>
    <w:rsid w:val="000E2A25"/>
    <w:rsid w:val="000E3EAC"/>
    <w:rsid w:val="000E4227"/>
    <w:rsid w:val="000E4300"/>
    <w:rsid w:val="000E43EC"/>
    <w:rsid w:val="000E4A9D"/>
    <w:rsid w:val="000E4D3D"/>
    <w:rsid w:val="000E50FD"/>
    <w:rsid w:val="000E51B5"/>
    <w:rsid w:val="000E55DE"/>
    <w:rsid w:val="000E631C"/>
    <w:rsid w:val="000E63EA"/>
    <w:rsid w:val="000E69A4"/>
    <w:rsid w:val="000E7F36"/>
    <w:rsid w:val="000F02E6"/>
    <w:rsid w:val="000F0ECA"/>
    <w:rsid w:val="000F10DE"/>
    <w:rsid w:val="000F11B4"/>
    <w:rsid w:val="000F2C50"/>
    <w:rsid w:val="000F2EB0"/>
    <w:rsid w:val="000F33B5"/>
    <w:rsid w:val="000F4148"/>
    <w:rsid w:val="000F48E0"/>
    <w:rsid w:val="000F5C32"/>
    <w:rsid w:val="000F6C54"/>
    <w:rsid w:val="000F75A3"/>
    <w:rsid w:val="00100671"/>
    <w:rsid w:val="001006CA"/>
    <w:rsid w:val="00100A30"/>
    <w:rsid w:val="00100E59"/>
    <w:rsid w:val="00101762"/>
    <w:rsid w:val="001017EF"/>
    <w:rsid w:val="00101A7C"/>
    <w:rsid w:val="00102D8C"/>
    <w:rsid w:val="00102DB8"/>
    <w:rsid w:val="0010336A"/>
    <w:rsid w:val="00104E27"/>
    <w:rsid w:val="00107C55"/>
    <w:rsid w:val="00110D06"/>
    <w:rsid w:val="00110E73"/>
    <w:rsid w:val="00111FCE"/>
    <w:rsid w:val="0011204C"/>
    <w:rsid w:val="0011258F"/>
    <w:rsid w:val="00113B4D"/>
    <w:rsid w:val="0011451B"/>
    <w:rsid w:val="0011608E"/>
    <w:rsid w:val="0011780A"/>
    <w:rsid w:val="00117985"/>
    <w:rsid w:val="00117C36"/>
    <w:rsid w:val="00120244"/>
    <w:rsid w:val="00120EF5"/>
    <w:rsid w:val="0012115F"/>
    <w:rsid w:val="00121900"/>
    <w:rsid w:val="001220D1"/>
    <w:rsid w:val="001222EE"/>
    <w:rsid w:val="0012352A"/>
    <w:rsid w:val="0012587F"/>
    <w:rsid w:val="00125881"/>
    <w:rsid w:val="00125BC6"/>
    <w:rsid w:val="00125EF0"/>
    <w:rsid w:val="00126663"/>
    <w:rsid w:val="00127B16"/>
    <w:rsid w:val="001301A7"/>
    <w:rsid w:val="00130307"/>
    <w:rsid w:val="001303C9"/>
    <w:rsid w:val="0013087F"/>
    <w:rsid w:val="00130A32"/>
    <w:rsid w:val="001329CC"/>
    <w:rsid w:val="00132AFA"/>
    <w:rsid w:val="00132DF0"/>
    <w:rsid w:val="0013326C"/>
    <w:rsid w:val="0013346D"/>
    <w:rsid w:val="001336C8"/>
    <w:rsid w:val="0013474E"/>
    <w:rsid w:val="0013488D"/>
    <w:rsid w:val="00134AF5"/>
    <w:rsid w:val="00134FD7"/>
    <w:rsid w:val="00136484"/>
    <w:rsid w:val="00136ABA"/>
    <w:rsid w:val="001375CC"/>
    <w:rsid w:val="001422D2"/>
    <w:rsid w:val="00142366"/>
    <w:rsid w:val="00142B99"/>
    <w:rsid w:val="00143B17"/>
    <w:rsid w:val="00143F62"/>
    <w:rsid w:val="00144059"/>
    <w:rsid w:val="001455BE"/>
    <w:rsid w:val="001456C3"/>
    <w:rsid w:val="00145B39"/>
    <w:rsid w:val="00145B6A"/>
    <w:rsid w:val="00145BEF"/>
    <w:rsid w:val="00145F51"/>
    <w:rsid w:val="00145F75"/>
    <w:rsid w:val="00146457"/>
    <w:rsid w:val="001471AB"/>
    <w:rsid w:val="00150056"/>
    <w:rsid w:val="00150485"/>
    <w:rsid w:val="001510E9"/>
    <w:rsid w:val="0015238F"/>
    <w:rsid w:val="001535E5"/>
    <w:rsid w:val="0015360A"/>
    <w:rsid w:val="001536CD"/>
    <w:rsid w:val="00153FAA"/>
    <w:rsid w:val="001546DF"/>
    <w:rsid w:val="00154C14"/>
    <w:rsid w:val="001553A1"/>
    <w:rsid w:val="0015546D"/>
    <w:rsid w:val="0015575C"/>
    <w:rsid w:val="00155989"/>
    <w:rsid w:val="00155A16"/>
    <w:rsid w:val="00155DF5"/>
    <w:rsid w:val="001562BD"/>
    <w:rsid w:val="001571B4"/>
    <w:rsid w:val="001572F5"/>
    <w:rsid w:val="00157B92"/>
    <w:rsid w:val="00157FE1"/>
    <w:rsid w:val="00160225"/>
    <w:rsid w:val="00160E73"/>
    <w:rsid w:val="00162E34"/>
    <w:rsid w:val="00163E29"/>
    <w:rsid w:val="00163EA3"/>
    <w:rsid w:val="001647F5"/>
    <w:rsid w:val="00164A49"/>
    <w:rsid w:val="00165519"/>
    <w:rsid w:val="00165528"/>
    <w:rsid w:val="0016564C"/>
    <w:rsid w:val="00165664"/>
    <w:rsid w:val="00166818"/>
    <w:rsid w:val="00166B68"/>
    <w:rsid w:val="0016737D"/>
    <w:rsid w:val="001701AB"/>
    <w:rsid w:val="001703BF"/>
    <w:rsid w:val="00170F2D"/>
    <w:rsid w:val="00171790"/>
    <w:rsid w:val="0017187F"/>
    <w:rsid w:val="00171B2D"/>
    <w:rsid w:val="001722B6"/>
    <w:rsid w:val="001732D6"/>
    <w:rsid w:val="00173F0A"/>
    <w:rsid w:val="0017456D"/>
    <w:rsid w:val="00175444"/>
    <w:rsid w:val="00175DD3"/>
    <w:rsid w:val="00175EE4"/>
    <w:rsid w:val="00176A47"/>
    <w:rsid w:val="00177066"/>
    <w:rsid w:val="001813E3"/>
    <w:rsid w:val="00181463"/>
    <w:rsid w:val="00181FE8"/>
    <w:rsid w:val="0018278F"/>
    <w:rsid w:val="0018353B"/>
    <w:rsid w:val="001839F8"/>
    <w:rsid w:val="001851A1"/>
    <w:rsid w:val="001854F1"/>
    <w:rsid w:val="001858AB"/>
    <w:rsid w:val="00185F8F"/>
    <w:rsid w:val="00186262"/>
    <w:rsid w:val="001865C4"/>
    <w:rsid w:val="00186F5F"/>
    <w:rsid w:val="00186FED"/>
    <w:rsid w:val="00187425"/>
    <w:rsid w:val="00187455"/>
    <w:rsid w:val="00187B3C"/>
    <w:rsid w:val="00187ED7"/>
    <w:rsid w:val="00190105"/>
    <w:rsid w:val="001905A3"/>
    <w:rsid w:val="001912B1"/>
    <w:rsid w:val="00191389"/>
    <w:rsid w:val="001914A5"/>
    <w:rsid w:val="00191DCD"/>
    <w:rsid w:val="00191EB0"/>
    <w:rsid w:val="00192256"/>
    <w:rsid w:val="00193414"/>
    <w:rsid w:val="00193DEA"/>
    <w:rsid w:val="00193E16"/>
    <w:rsid w:val="001940A7"/>
    <w:rsid w:val="001951FF"/>
    <w:rsid w:val="00196031"/>
    <w:rsid w:val="0019609D"/>
    <w:rsid w:val="001963CC"/>
    <w:rsid w:val="001964C2"/>
    <w:rsid w:val="001A1261"/>
    <w:rsid w:val="001A16FE"/>
    <w:rsid w:val="001A19DF"/>
    <w:rsid w:val="001A1E3F"/>
    <w:rsid w:val="001A2120"/>
    <w:rsid w:val="001A2FF4"/>
    <w:rsid w:val="001A33EA"/>
    <w:rsid w:val="001A3D56"/>
    <w:rsid w:val="001A4CF4"/>
    <w:rsid w:val="001A5193"/>
    <w:rsid w:val="001A55D9"/>
    <w:rsid w:val="001A663D"/>
    <w:rsid w:val="001A6913"/>
    <w:rsid w:val="001A6E83"/>
    <w:rsid w:val="001A7BDA"/>
    <w:rsid w:val="001B0460"/>
    <w:rsid w:val="001B0F7B"/>
    <w:rsid w:val="001B192B"/>
    <w:rsid w:val="001B19AB"/>
    <w:rsid w:val="001B2289"/>
    <w:rsid w:val="001B2D03"/>
    <w:rsid w:val="001B3688"/>
    <w:rsid w:val="001B3B3F"/>
    <w:rsid w:val="001B40AF"/>
    <w:rsid w:val="001B4334"/>
    <w:rsid w:val="001B493F"/>
    <w:rsid w:val="001B4F80"/>
    <w:rsid w:val="001B53F9"/>
    <w:rsid w:val="001B5DA9"/>
    <w:rsid w:val="001B6E8B"/>
    <w:rsid w:val="001B738E"/>
    <w:rsid w:val="001B7959"/>
    <w:rsid w:val="001B79D6"/>
    <w:rsid w:val="001B7DB8"/>
    <w:rsid w:val="001B7E5D"/>
    <w:rsid w:val="001C0941"/>
    <w:rsid w:val="001C14EB"/>
    <w:rsid w:val="001C18A9"/>
    <w:rsid w:val="001C19D0"/>
    <w:rsid w:val="001C1BED"/>
    <w:rsid w:val="001C2F13"/>
    <w:rsid w:val="001C3D78"/>
    <w:rsid w:val="001C3F2B"/>
    <w:rsid w:val="001C4494"/>
    <w:rsid w:val="001C4F17"/>
    <w:rsid w:val="001C4FE3"/>
    <w:rsid w:val="001C5102"/>
    <w:rsid w:val="001C5F6B"/>
    <w:rsid w:val="001C6BE7"/>
    <w:rsid w:val="001C7B8D"/>
    <w:rsid w:val="001D04A1"/>
    <w:rsid w:val="001D07E5"/>
    <w:rsid w:val="001D085B"/>
    <w:rsid w:val="001D1AEC"/>
    <w:rsid w:val="001D1D4A"/>
    <w:rsid w:val="001D2B61"/>
    <w:rsid w:val="001D2F5C"/>
    <w:rsid w:val="001D338F"/>
    <w:rsid w:val="001D35FA"/>
    <w:rsid w:val="001D3954"/>
    <w:rsid w:val="001D45AD"/>
    <w:rsid w:val="001D47A0"/>
    <w:rsid w:val="001D4825"/>
    <w:rsid w:val="001D4DE5"/>
    <w:rsid w:val="001D5802"/>
    <w:rsid w:val="001D59B5"/>
    <w:rsid w:val="001D5D75"/>
    <w:rsid w:val="001D6334"/>
    <w:rsid w:val="001D63AF"/>
    <w:rsid w:val="001D69A3"/>
    <w:rsid w:val="001D6DAD"/>
    <w:rsid w:val="001D7740"/>
    <w:rsid w:val="001D7E75"/>
    <w:rsid w:val="001E2219"/>
    <w:rsid w:val="001E2353"/>
    <w:rsid w:val="001E29EB"/>
    <w:rsid w:val="001E2C01"/>
    <w:rsid w:val="001E3B20"/>
    <w:rsid w:val="001E3CB5"/>
    <w:rsid w:val="001E4A52"/>
    <w:rsid w:val="001E5654"/>
    <w:rsid w:val="001E56CC"/>
    <w:rsid w:val="001E795A"/>
    <w:rsid w:val="001F0149"/>
    <w:rsid w:val="001F0A1D"/>
    <w:rsid w:val="001F12A7"/>
    <w:rsid w:val="001F15A5"/>
    <w:rsid w:val="001F18EF"/>
    <w:rsid w:val="001F2D26"/>
    <w:rsid w:val="001F2FBD"/>
    <w:rsid w:val="001F3122"/>
    <w:rsid w:val="001F3894"/>
    <w:rsid w:val="001F5F72"/>
    <w:rsid w:val="001F6B8A"/>
    <w:rsid w:val="001F7B99"/>
    <w:rsid w:val="00200AF6"/>
    <w:rsid w:val="00200C41"/>
    <w:rsid w:val="0020107E"/>
    <w:rsid w:val="00202B18"/>
    <w:rsid w:val="00202ECC"/>
    <w:rsid w:val="00202EF2"/>
    <w:rsid w:val="0020378C"/>
    <w:rsid w:val="00204356"/>
    <w:rsid w:val="00204BF5"/>
    <w:rsid w:val="00204D46"/>
    <w:rsid w:val="00205A06"/>
    <w:rsid w:val="002063D7"/>
    <w:rsid w:val="0020672B"/>
    <w:rsid w:val="00206F03"/>
    <w:rsid w:val="002073DC"/>
    <w:rsid w:val="002076F2"/>
    <w:rsid w:val="002078C4"/>
    <w:rsid w:val="002104FF"/>
    <w:rsid w:val="00211566"/>
    <w:rsid w:val="00211EF3"/>
    <w:rsid w:val="00212E99"/>
    <w:rsid w:val="002131B7"/>
    <w:rsid w:val="00213404"/>
    <w:rsid w:val="00213A88"/>
    <w:rsid w:val="002144A9"/>
    <w:rsid w:val="0021464D"/>
    <w:rsid w:val="00214791"/>
    <w:rsid w:val="00214A16"/>
    <w:rsid w:val="00214D44"/>
    <w:rsid w:val="00214EEA"/>
    <w:rsid w:val="002151DE"/>
    <w:rsid w:val="002159FD"/>
    <w:rsid w:val="00215DD9"/>
    <w:rsid w:val="00215E70"/>
    <w:rsid w:val="00216653"/>
    <w:rsid w:val="00216B10"/>
    <w:rsid w:val="00216DA7"/>
    <w:rsid w:val="0021752F"/>
    <w:rsid w:val="002179BD"/>
    <w:rsid w:val="00221C3E"/>
    <w:rsid w:val="00222024"/>
    <w:rsid w:val="00222920"/>
    <w:rsid w:val="00222D15"/>
    <w:rsid w:val="00223771"/>
    <w:rsid w:val="0022416A"/>
    <w:rsid w:val="002245E1"/>
    <w:rsid w:val="0022542C"/>
    <w:rsid w:val="002255E4"/>
    <w:rsid w:val="00225FC3"/>
    <w:rsid w:val="00226356"/>
    <w:rsid w:val="00226360"/>
    <w:rsid w:val="002264E1"/>
    <w:rsid w:val="002267B0"/>
    <w:rsid w:val="002267C3"/>
    <w:rsid w:val="00226E71"/>
    <w:rsid w:val="002278EE"/>
    <w:rsid w:val="00227FC2"/>
    <w:rsid w:val="00230BEA"/>
    <w:rsid w:val="002312A4"/>
    <w:rsid w:val="002322D7"/>
    <w:rsid w:val="00232346"/>
    <w:rsid w:val="002333A9"/>
    <w:rsid w:val="002335F5"/>
    <w:rsid w:val="00233D73"/>
    <w:rsid w:val="0023457F"/>
    <w:rsid w:val="0023470C"/>
    <w:rsid w:val="00234B11"/>
    <w:rsid w:val="00234E2B"/>
    <w:rsid w:val="0023604C"/>
    <w:rsid w:val="00236A6D"/>
    <w:rsid w:val="0023744E"/>
    <w:rsid w:val="002376E9"/>
    <w:rsid w:val="00237791"/>
    <w:rsid w:val="00240972"/>
    <w:rsid w:val="00240C60"/>
    <w:rsid w:val="00241674"/>
    <w:rsid w:val="002424B4"/>
    <w:rsid w:val="0024253B"/>
    <w:rsid w:val="00242B13"/>
    <w:rsid w:val="00242BB5"/>
    <w:rsid w:val="00242E45"/>
    <w:rsid w:val="00244D84"/>
    <w:rsid w:val="00245184"/>
    <w:rsid w:val="00245A10"/>
    <w:rsid w:val="002462BD"/>
    <w:rsid w:val="00246A26"/>
    <w:rsid w:val="00246DC2"/>
    <w:rsid w:val="0024766F"/>
    <w:rsid w:val="002478F8"/>
    <w:rsid w:val="00250CE8"/>
    <w:rsid w:val="00251661"/>
    <w:rsid w:val="0025167D"/>
    <w:rsid w:val="00251790"/>
    <w:rsid w:val="00251C91"/>
    <w:rsid w:val="00252AA4"/>
    <w:rsid w:val="0025380C"/>
    <w:rsid w:val="00254672"/>
    <w:rsid w:val="00255CD6"/>
    <w:rsid w:val="0026022E"/>
    <w:rsid w:val="0026043D"/>
    <w:rsid w:val="00260963"/>
    <w:rsid w:val="00260964"/>
    <w:rsid w:val="0026119B"/>
    <w:rsid w:val="002611CB"/>
    <w:rsid w:val="00261320"/>
    <w:rsid w:val="00262513"/>
    <w:rsid w:val="00262948"/>
    <w:rsid w:val="00263B98"/>
    <w:rsid w:val="00263CE2"/>
    <w:rsid w:val="00263DAA"/>
    <w:rsid w:val="00263E62"/>
    <w:rsid w:val="0026408F"/>
    <w:rsid w:val="002643C7"/>
    <w:rsid w:val="002659C6"/>
    <w:rsid w:val="00267FA5"/>
    <w:rsid w:val="002708A5"/>
    <w:rsid w:val="00270B81"/>
    <w:rsid w:val="00271032"/>
    <w:rsid w:val="002713D3"/>
    <w:rsid w:val="00271656"/>
    <w:rsid w:val="00272695"/>
    <w:rsid w:val="00272904"/>
    <w:rsid w:val="002729DB"/>
    <w:rsid w:val="00273A2C"/>
    <w:rsid w:val="00274F78"/>
    <w:rsid w:val="002757A3"/>
    <w:rsid w:val="00275F32"/>
    <w:rsid w:val="00275F6B"/>
    <w:rsid w:val="002765F0"/>
    <w:rsid w:val="0027663D"/>
    <w:rsid w:val="002766D5"/>
    <w:rsid w:val="00276A44"/>
    <w:rsid w:val="00277704"/>
    <w:rsid w:val="00280464"/>
    <w:rsid w:val="0028087E"/>
    <w:rsid w:val="0028094D"/>
    <w:rsid w:val="0028102B"/>
    <w:rsid w:val="00281671"/>
    <w:rsid w:val="00282A32"/>
    <w:rsid w:val="002830D4"/>
    <w:rsid w:val="0028339F"/>
    <w:rsid w:val="00283533"/>
    <w:rsid w:val="00283D84"/>
    <w:rsid w:val="00284916"/>
    <w:rsid w:val="0028607A"/>
    <w:rsid w:val="0028680A"/>
    <w:rsid w:val="00286B72"/>
    <w:rsid w:val="00286F90"/>
    <w:rsid w:val="00287350"/>
    <w:rsid w:val="0028750B"/>
    <w:rsid w:val="00287C5C"/>
    <w:rsid w:val="00287E8A"/>
    <w:rsid w:val="0029206E"/>
    <w:rsid w:val="00292EA0"/>
    <w:rsid w:val="002932D9"/>
    <w:rsid w:val="00294039"/>
    <w:rsid w:val="0029498D"/>
    <w:rsid w:val="00294C77"/>
    <w:rsid w:val="00294EAA"/>
    <w:rsid w:val="00295B47"/>
    <w:rsid w:val="00296373"/>
    <w:rsid w:val="002963DD"/>
    <w:rsid w:val="002A18B0"/>
    <w:rsid w:val="002A1BEA"/>
    <w:rsid w:val="002A1C35"/>
    <w:rsid w:val="002A2D15"/>
    <w:rsid w:val="002A36D6"/>
    <w:rsid w:val="002A40AA"/>
    <w:rsid w:val="002A413A"/>
    <w:rsid w:val="002A41C7"/>
    <w:rsid w:val="002A4299"/>
    <w:rsid w:val="002A42C6"/>
    <w:rsid w:val="002A45CF"/>
    <w:rsid w:val="002A5133"/>
    <w:rsid w:val="002A54E7"/>
    <w:rsid w:val="002A5C83"/>
    <w:rsid w:val="002A75B8"/>
    <w:rsid w:val="002A7770"/>
    <w:rsid w:val="002B0339"/>
    <w:rsid w:val="002B084B"/>
    <w:rsid w:val="002B0885"/>
    <w:rsid w:val="002B0E6F"/>
    <w:rsid w:val="002B159F"/>
    <w:rsid w:val="002B2A31"/>
    <w:rsid w:val="002B3518"/>
    <w:rsid w:val="002B43C2"/>
    <w:rsid w:val="002B4F42"/>
    <w:rsid w:val="002B606B"/>
    <w:rsid w:val="002B6264"/>
    <w:rsid w:val="002B6C9A"/>
    <w:rsid w:val="002B784B"/>
    <w:rsid w:val="002B7E73"/>
    <w:rsid w:val="002C0136"/>
    <w:rsid w:val="002C0F18"/>
    <w:rsid w:val="002C0F29"/>
    <w:rsid w:val="002C2B3C"/>
    <w:rsid w:val="002C4841"/>
    <w:rsid w:val="002C4F67"/>
    <w:rsid w:val="002C53F9"/>
    <w:rsid w:val="002C540B"/>
    <w:rsid w:val="002C67D3"/>
    <w:rsid w:val="002C6CB4"/>
    <w:rsid w:val="002D0CA6"/>
    <w:rsid w:val="002D1708"/>
    <w:rsid w:val="002D1944"/>
    <w:rsid w:val="002D2609"/>
    <w:rsid w:val="002D284F"/>
    <w:rsid w:val="002D2F7D"/>
    <w:rsid w:val="002D2FC9"/>
    <w:rsid w:val="002D3EB4"/>
    <w:rsid w:val="002D4015"/>
    <w:rsid w:val="002D40E5"/>
    <w:rsid w:val="002D4E76"/>
    <w:rsid w:val="002D54BF"/>
    <w:rsid w:val="002D5A8F"/>
    <w:rsid w:val="002D67FA"/>
    <w:rsid w:val="002D6A54"/>
    <w:rsid w:val="002D6C01"/>
    <w:rsid w:val="002D7218"/>
    <w:rsid w:val="002D72FD"/>
    <w:rsid w:val="002D77AD"/>
    <w:rsid w:val="002D7C1D"/>
    <w:rsid w:val="002E0102"/>
    <w:rsid w:val="002E031B"/>
    <w:rsid w:val="002E04E8"/>
    <w:rsid w:val="002E100E"/>
    <w:rsid w:val="002E1FFD"/>
    <w:rsid w:val="002E2005"/>
    <w:rsid w:val="002E250C"/>
    <w:rsid w:val="002E2797"/>
    <w:rsid w:val="002E2924"/>
    <w:rsid w:val="002E3583"/>
    <w:rsid w:val="002E5B4F"/>
    <w:rsid w:val="002E61E2"/>
    <w:rsid w:val="002E63D5"/>
    <w:rsid w:val="002E66D8"/>
    <w:rsid w:val="002E6A81"/>
    <w:rsid w:val="002E721E"/>
    <w:rsid w:val="002E7D79"/>
    <w:rsid w:val="002F1108"/>
    <w:rsid w:val="002F1EC2"/>
    <w:rsid w:val="002F20EA"/>
    <w:rsid w:val="002F2133"/>
    <w:rsid w:val="002F22C3"/>
    <w:rsid w:val="002F2376"/>
    <w:rsid w:val="002F2B25"/>
    <w:rsid w:val="002F36B3"/>
    <w:rsid w:val="002F4491"/>
    <w:rsid w:val="002F4619"/>
    <w:rsid w:val="002F4861"/>
    <w:rsid w:val="002F4968"/>
    <w:rsid w:val="002F5071"/>
    <w:rsid w:val="002F591B"/>
    <w:rsid w:val="002F5962"/>
    <w:rsid w:val="002F6079"/>
    <w:rsid w:val="002F6EEC"/>
    <w:rsid w:val="002F7094"/>
    <w:rsid w:val="002F7280"/>
    <w:rsid w:val="002F7A62"/>
    <w:rsid w:val="00300378"/>
    <w:rsid w:val="00300798"/>
    <w:rsid w:val="0030147B"/>
    <w:rsid w:val="00301FB0"/>
    <w:rsid w:val="0030247D"/>
    <w:rsid w:val="00302E95"/>
    <w:rsid w:val="0030374E"/>
    <w:rsid w:val="00303D6E"/>
    <w:rsid w:val="0030405A"/>
    <w:rsid w:val="00304761"/>
    <w:rsid w:val="00304FC2"/>
    <w:rsid w:val="003053BD"/>
    <w:rsid w:val="00305B59"/>
    <w:rsid w:val="00305C88"/>
    <w:rsid w:val="00305FB3"/>
    <w:rsid w:val="00306E63"/>
    <w:rsid w:val="00306F56"/>
    <w:rsid w:val="003077B1"/>
    <w:rsid w:val="0030786B"/>
    <w:rsid w:val="00307931"/>
    <w:rsid w:val="00310247"/>
    <w:rsid w:val="003106EB"/>
    <w:rsid w:val="003115F2"/>
    <w:rsid w:val="003121A5"/>
    <w:rsid w:val="00312A1F"/>
    <w:rsid w:val="003130B4"/>
    <w:rsid w:val="003136A2"/>
    <w:rsid w:val="00313782"/>
    <w:rsid w:val="00314E40"/>
    <w:rsid w:val="00315355"/>
    <w:rsid w:val="003167D8"/>
    <w:rsid w:val="00316DBA"/>
    <w:rsid w:val="00316E91"/>
    <w:rsid w:val="003170F7"/>
    <w:rsid w:val="00317A78"/>
    <w:rsid w:val="00317AF6"/>
    <w:rsid w:val="00320171"/>
    <w:rsid w:val="00320B51"/>
    <w:rsid w:val="00320DBC"/>
    <w:rsid w:val="00321A4A"/>
    <w:rsid w:val="003226B7"/>
    <w:rsid w:val="003226E8"/>
    <w:rsid w:val="00322D53"/>
    <w:rsid w:val="00323213"/>
    <w:rsid w:val="003233F8"/>
    <w:rsid w:val="003234B3"/>
    <w:rsid w:val="003237C8"/>
    <w:rsid w:val="00324F67"/>
    <w:rsid w:val="0032532F"/>
    <w:rsid w:val="00325DF9"/>
    <w:rsid w:val="00326673"/>
    <w:rsid w:val="00327A13"/>
    <w:rsid w:val="00327D1E"/>
    <w:rsid w:val="00330AD9"/>
    <w:rsid w:val="003313AF"/>
    <w:rsid w:val="00331C88"/>
    <w:rsid w:val="00331EEC"/>
    <w:rsid w:val="003336BC"/>
    <w:rsid w:val="00333F53"/>
    <w:rsid w:val="003343EE"/>
    <w:rsid w:val="00334E82"/>
    <w:rsid w:val="00335E5E"/>
    <w:rsid w:val="00336F77"/>
    <w:rsid w:val="00336F82"/>
    <w:rsid w:val="00337B06"/>
    <w:rsid w:val="003405D6"/>
    <w:rsid w:val="00340D27"/>
    <w:rsid w:val="003418F6"/>
    <w:rsid w:val="00341C8E"/>
    <w:rsid w:val="003420B6"/>
    <w:rsid w:val="003422BA"/>
    <w:rsid w:val="00342542"/>
    <w:rsid w:val="00342743"/>
    <w:rsid w:val="003428B2"/>
    <w:rsid w:val="00343892"/>
    <w:rsid w:val="003438AA"/>
    <w:rsid w:val="00343EEE"/>
    <w:rsid w:val="00343F2B"/>
    <w:rsid w:val="00344FBA"/>
    <w:rsid w:val="00345DA1"/>
    <w:rsid w:val="0034653A"/>
    <w:rsid w:val="00346A27"/>
    <w:rsid w:val="00346FF9"/>
    <w:rsid w:val="00347464"/>
    <w:rsid w:val="00347C61"/>
    <w:rsid w:val="00347E3F"/>
    <w:rsid w:val="00350233"/>
    <w:rsid w:val="00350B4B"/>
    <w:rsid w:val="00350BBA"/>
    <w:rsid w:val="00350D83"/>
    <w:rsid w:val="003511B9"/>
    <w:rsid w:val="003514E5"/>
    <w:rsid w:val="0035261E"/>
    <w:rsid w:val="00354773"/>
    <w:rsid w:val="00354F65"/>
    <w:rsid w:val="003553B9"/>
    <w:rsid w:val="0035578E"/>
    <w:rsid w:val="003560AC"/>
    <w:rsid w:val="00356568"/>
    <w:rsid w:val="0035686A"/>
    <w:rsid w:val="003572D2"/>
    <w:rsid w:val="00357385"/>
    <w:rsid w:val="00357BE8"/>
    <w:rsid w:val="00357C1B"/>
    <w:rsid w:val="003600A9"/>
    <w:rsid w:val="00360714"/>
    <w:rsid w:val="00360920"/>
    <w:rsid w:val="00361493"/>
    <w:rsid w:val="00361C34"/>
    <w:rsid w:val="003624D8"/>
    <w:rsid w:val="003626A4"/>
    <w:rsid w:val="00362DD6"/>
    <w:rsid w:val="003630D4"/>
    <w:rsid w:val="0036324B"/>
    <w:rsid w:val="00363B61"/>
    <w:rsid w:val="00365D1B"/>
    <w:rsid w:val="00366063"/>
    <w:rsid w:val="00366095"/>
    <w:rsid w:val="0036778E"/>
    <w:rsid w:val="00367D3A"/>
    <w:rsid w:val="00367E70"/>
    <w:rsid w:val="003705C6"/>
    <w:rsid w:val="00370D3E"/>
    <w:rsid w:val="00371D07"/>
    <w:rsid w:val="0037207B"/>
    <w:rsid w:val="0037260C"/>
    <w:rsid w:val="00372CC2"/>
    <w:rsid w:val="00373E4D"/>
    <w:rsid w:val="00374123"/>
    <w:rsid w:val="003744B2"/>
    <w:rsid w:val="00374617"/>
    <w:rsid w:val="00374F4B"/>
    <w:rsid w:val="00375397"/>
    <w:rsid w:val="00376002"/>
    <w:rsid w:val="00376864"/>
    <w:rsid w:val="003806C5"/>
    <w:rsid w:val="00381970"/>
    <w:rsid w:val="00381995"/>
    <w:rsid w:val="00381D24"/>
    <w:rsid w:val="00381F23"/>
    <w:rsid w:val="00383E01"/>
    <w:rsid w:val="0038436D"/>
    <w:rsid w:val="00384E5C"/>
    <w:rsid w:val="00385A98"/>
    <w:rsid w:val="00386D72"/>
    <w:rsid w:val="00387059"/>
    <w:rsid w:val="003874FB"/>
    <w:rsid w:val="003874FE"/>
    <w:rsid w:val="00387CEE"/>
    <w:rsid w:val="00390663"/>
    <w:rsid w:val="003918D0"/>
    <w:rsid w:val="00391DC1"/>
    <w:rsid w:val="003921EC"/>
    <w:rsid w:val="00392409"/>
    <w:rsid w:val="00392647"/>
    <w:rsid w:val="0039328E"/>
    <w:rsid w:val="003936C2"/>
    <w:rsid w:val="00393BB4"/>
    <w:rsid w:val="0039414E"/>
    <w:rsid w:val="00394A85"/>
    <w:rsid w:val="00394FF1"/>
    <w:rsid w:val="00395133"/>
    <w:rsid w:val="003958B4"/>
    <w:rsid w:val="00396F39"/>
    <w:rsid w:val="003972B3"/>
    <w:rsid w:val="00397BF7"/>
    <w:rsid w:val="003A052E"/>
    <w:rsid w:val="003A19B5"/>
    <w:rsid w:val="003A217B"/>
    <w:rsid w:val="003A22AD"/>
    <w:rsid w:val="003A28BA"/>
    <w:rsid w:val="003A2B06"/>
    <w:rsid w:val="003A31F7"/>
    <w:rsid w:val="003A39AD"/>
    <w:rsid w:val="003A39ED"/>
    <w:rsid w:val="003A3A6C"/>
    <w:rsid w:val="003A409D"/>
    <w:rsid w:val="003A4530"/>
    <w:rsid w:val="003A49E3"/>
    <w:rsid w:val="003A51C4"/>
    <w:rsid w:val="003A51CD"/>
    <w:rsid w:val="003A54DF"/>
    <w:rsid w:val="003A57E4"/>
    <w:rsid w:val="003A5C58"/>
    <w:rsid w:val="003A5D37"/>
    <w:rsid w:val="003A5DDA"/>
    <w:rsid w:val="003A6058"/>
    <w:rsid w:val="003A6F55"/>
    <w:rsid w:val="003A73DE"/>
    <w:rsid w:val="003A7A99"/>
    <w:rsid w:val="003B0015"/>
    <w:rsid w:val="003B0135"/>
    <w:rsid w:val="003B0CEC"/>
    <w:rsid w:val="003B1431"/>
    <w:rsid w:val="003B219C"/>
    <w:rsid w:val="003B293F"/>
    <w:rsid w:val="003B319A"/>
    <w:rsid w:val="003B47C9"/>
    <w:rsid w:val="003B4D63"/>
    <w:rsid w:val="003B4EBD"/>
    <w:rsid w:val="003B4F18"/>
    <w:rsid w:val="003B510E"/>
    <w:rsid w:val="003B58A4"/>
    <w:rsid w:val="003B6367"/>
    <w:rsid w:val="003B6427"/>
    <w:rsid w:val="003B6A14"/>
    <w:rsid w:val="003B6E0B"/>
    <w:rsid w:val="003B72FD"/>
    <w:rsid w:val="003B7C89"/>
    <w:rsid w:val="003B7DDF"/>
    <w:rsid w:val="003C088D"/>
    <w:rsid w:val="003C1B12"/>
    <w:rsid w:val="003C1C49"/>
    <w:rsid w:val="003C249E"/>
    <w:rsid w:val="003C283F"/>
    <w:rsid w:val="003C292A"/>
    <w:rsid w:val="003C2D2C"/>
    <w:rsid w:val="003C3955"/>
    <w:rsid w:val="003C3C81"/>
    <w:rsid w:val="003C4ABF"/>
    <w:rsid w:val="003C4C30"/>
    <w:rsid w:val="003C4CBD"/>
    <w:rsid w:val="003C52A8"/>
    <w:rsid w:val="003C587E"/>
    <w:rsid w:val="003C59C6"/>
    <w:rsid w:val="003C5D07"/>
    <w:rsid w:val="003C5E1B"/>
    <w:rsid w:val="003C6147"/>
    <w:rsid w:val="003C6A2B"/>
    <w:rsid w:val="003C7A3B"/>
    <w:rsid w:val="003C7ADA"/>
    <w:rsid w:val="003D00FD"/>
    <w:rsid w:val="003D0627"/>
    <w:rsid w:val="003D0892"/>
    <w:rsid w:val="003D1165"/>
    <w:rsid w:val="003D1AC7"/>
    <w:rsid w:val="003D1F75"/>
    <w:rsid w:val="003D2EE7"/>
    <w:rsid w:val="003D39EC"/>
    <w:rsid w:val="003D3D42"/>
    <w:rsid w:val="003D4DB0"/>
    <w:rsid w:val="003D58A5"/>
    <w:rsid w:val="003D59D4"/>
    <w:rsid w:val="003D6C6D"/>
    <w:rsid w:val="003D6E1C"/>
    <w:rsid w:val="003D6E6A"/>
    <w:rsid w:val="003D6FF6"/>
    <w:rsid w:val="003D74F4"/>
    <w:rsid w:val="003E0403"/>
    <w:rsid w:val="003E0412"/>
    <w:rsid w:val="003E1D1F"/>
    <w:rsid w:val="003E25CD"/>
    <w:rsid w:val="003E2636"/>
    <w:rsid w:val="003E2740"/>
    <w:rsid w:val="003E29A1"/>
    <w:rsid w:val="003E36B0"/>
    <w:rsid w:val="003E3AB5"/>
    <w:rsid w:val="003E3DBC"/>
    <w:rsid w:val="003E4397"/>
    <w:rsid w:val="003E469C"/>
    <w:rsid w:val="003E4CCA"/>
    <w:rsid w:val="003E5038"/>
    <w:rsid w:val="003E5F0E"/>
    <w:rsid w:val="003E6BC7"/>
    <w:rsid w:val="003E77E9"/>
    <w:rsid w:val="003F030E"/>
    <w:rsid w:val="003F0A8C"/>
    <w:rsid w:val="003F11E4"/>
    <w:rsid w:val="003F26BB"/>
    <w:rsid w:val="003F3AA7"/>
    <w:rsid w:val="003F3AEC"/>
    <w:rsid w:val="003F563C"/>
    <w:rsid w:val="003F61ED"/>
    <w:rsid w:val="003F75F1"/>
    <w:rsid w:val="003F78CA"/>
    <w:rsid w:val="003F78FC"/>
    <w:rsid w:val="003F79A7"/>
    <w:rsid w:val="00400B44"/>
    <w:rsid w:val="00400D54"/>
    <w:rsid w:val="00400E8D"/>
    <w:rsid w:val="004019D7"/>
    <w:rsid w:val="00401E47"/>
    <w:rsid w:val="0040226E"/>
    <w:rsid w:val="004022E5"/>
    <w:rsid w:val="004024BD"/>
    <w:rsid w:val="004026CD"/>
    <w:rsid w:val="00402FC2"/>
    <w:rsid w:val="004031CE"/>
    <w:rsid w:val="00403486"/>
    <w:rsid w:val="004034BD"/>
    <w:rsid w:val="00403EC8"/>
    <w:rsid w:val="004042EE"/>
    <w:rsid w:val="0040431D"/>
    <w:rsid w:val="004043D6"/>
    <w:rsid w:val="0040462E"/>
    <w:rsid w:val="00404967"/>
    <w:rsid w:val="00404A97"/>
    <w:rsid w:val="00405429"/>
    <w:rsid w:val="0040555D"/>
    <w:rsid w:val="00407055"/>
    <w:rsid w:val="00410A4E"/>
    <w:rsid w:val="00410E69"/>
    <w:rsid w:val="00411A9D"/>
    <w:rsid w:val="00411EF1"/>
    <w:rsid w:val="00413F4A"/>
    <w:rsid w:val="004148B5"/>
    <w:rsid w:val="004149C1"/>
    <w:rsid w:val="00415436"/>
    <w:rsid w:val="00415581"/>
    <w:rsid w:val="00416038"/>
    <w:rsid w:val="00416741"/>
    <w:rsid w:val="00420885"/>
    <w:rsid w:val="00420F8B"/>
    <w:rsid w:val="00421482"/>
    <w:rsid w:val="004215BD"/>
    <w:rsid w:val="00421E35"/>
    <w:rsid w:val="004223D7"/>
    <w:rsid w:val="004224C7"/>
    <w:rsid w:val="0042306B"/>
    <w:rsid w:val="004230FD"/>
    <w:rsid w:val="00423C9F"/>
    <w:rsid w:val="00424561"/>
    <w:rsid w:val="004254C8"/>
    <w:rsid w:val="00425963"/>
    <w:rsid w:val="00425C81"/>
    <w:rsid w:val="00426138"/>
    <w:rsid w:val="00426789"/>
    <w:rsid w:val="00426CCB"/>
    <w:rsid w:val="00426D3F"/>
    <w:rsid w:val="00426F66"/>
    <w:rsid w:val="00427322"/>
    <w:rsid w:val="00427770"/>
    <w:rsid w:val="00427B9C"/>
    <w:rsid w:val="00427C8A"/>
    <w:rsid w:val="004309D7"/>
    <w:rsid w:val="00431360"/>
    <w:rsid w:val="00431615"/>
    <w:rsid w:val="0043222D"/>
    <w:rsid w:val="00433287"/>
    <w:rsid w:val="00433307"/>
    <w:rsid w:val="0043461B"/>
    <w:rsid w:val="00434D81"/>
    <w:rsid w:val="004352BD"/>
    <w:rsid w:val="0043645E"/>
    <w:rsid w:val="00436529"/>
    <w:rsid w:val="004367D9"/>
    <w:rsid w:val="00436988"/>
    <w:rsid w:val="00436FAA"/>
    <w:rsid w:val="00437136"/>
    <w:rsid w:val="00437463"/>
    <w:rsid w:val="004401CA"/>
    <w:rsid w:val="00440373"/>
    <w:rsid w:val="0044117A"/>
    <w:rsid w:val="00441934"/>
    <w:rsid w:val="00441BAA"/>
    <w:rsid w:val="0044209A"/>
    <w:rsid w:val="00442809"/>
    <w:rsid w:val="004431FB"/>
    <w:rsid w:val="0044334C"/>
    <w:rsid w:val="004453C2"/>
    <w:rsid w:val="00445A86"/>
    <w:rsid w:val="00446746"/>
    <w:rsid w:val="00446C83"/>
    <w:rsid w:val="00446EFD"/>
    <w:rsid w:val="00446F27"/>
    <w:rsid w:val="004470EB"/>
    <w:rsid w:val="00447410"/>
    <w:rsid w:val="004474B3"/>
    <w:rsid w:val="004476A3"/>
    <w:rsid w:val="004503C7"/>
    <w:rsid w:val="00450A6B"/>
    <w:rsid w:val="00451600"/>
    <w:rsid w:val="0045197E"/>
    <w:rsid w:val="0045496F"/>
    <w:rsid w:val="004551A4"/>
    <w:rsid w:val="004555AE"/>
    <w:rsid w:val="00455EE8"/>
    <w:rsid w:val="004561CD"/>
    <w:rsid w:val="00456943"/>
    <w:rsid w:val="00456998"/>
    <w:rsid w:val="00456B3A"/>
    <w:rsid w:val="00456D6F"/>
    <w:rsid w:val="004574EF"/>
    <w:rsid w:val="00460166"/>
    <w:rsid w:val="004607DE"/>
    <w:rsid w:val="00460BFB"/>
    <w:rsid w:val="00460F2C"/>
    <w:rsid w:val="004615B4"/>
    <w:rsid w:val="00461632"/>
    <w:rsid w:val="00461A3C"/>
    <w:rsid w:val="00461AF0"/>
    <w:rsid w:val="00461B64"/>
    <w:rsid w:val="00461B6E"/>
    <w:rsid w:val="00461D30"/>
    <w:rsid w:val="00461EAE"/>
    <w:rsid w:val="0046248E"/>
    <w:rsid w:val="004626E3"/>
    <w:rsid w:val="00462F70"/>
    <w:rsid w:val="004638CD"/>
    <w:rsid w:val="004638E0"/>
    <w:rsid w:val="00464610"/>
    <w:rsid w:val="00464679"/>
    <w:rsid w:val="004650E7"/>
    <w:rsid w:val="0046537F"/>
    <w:rsid w:val="00466403"/>
    <w:rsid w:val="00467744"/>
    <w:rsid w:val="00467C49"/>
    <w:rsid w:val="00467E98"/>
    <w:rsid w:val="00467EC9"/>
    <w:rsid w:val="00470C6A"/>
    <w:rsid w:val="00470D3E"/>
    <w:rsid w:val="00470E0B"/>
    <w:rsid w:val="004714AA"/>
    <w:rsid w:val="004716D0"/>
    <w:rsid w:val="00471C57"/>
    <w:rsid w:val="004724AD"/>
    <w:rsid w:val="00472C79"/>
    <w:rsid w:val="00472DBB"/>
    <w:rsid w:val="00473D68"/>
    <w:rsid w:val="004756E0"/>
    <w:rsid w:val="004760AE"/>
    <w:rsid w:val="00476E38"/>
    <w:rsid w:val="0047710E"/>
    <w:rsid w:val="00477756"/>
    <w:rsid w:val="00480B8A"/>
    <w:rsid w:val="0048256B"/>
    <w:rsid w:val="00482D85"/>
    <w:rsid w:val="00483C9C"/>
    <w:rsid w:val="00484768"/>
    <w:rsid w:val="00484C3C"/>
    <w:rsid w:val="00484CFF"/>
    <w:rsid w:val="0048547D"/>
    <w:rsid w:val="00485CD9"/>
    <w:rsid w:val="00485DA6"/>
    <w:rsid w:val="004865C8"/>
    <w:rsid w:val="0048794F"/>
    <w:rsid w:val="00487BF0"/>
    <w:rsid w:val="00490593"/>
    <w:rsid w:val="004905ED"/>
    <w:rsid w:val="00491C6E"/>
    <w:rsid w:val="004925E6"/>
    <w:rsid w:val="00492C39"/>
    <w:rsid w:val="00494659"/>
    <w:rsid w:val="00494B39"/>
    <w:rsid w:val="00494C81"/>
    <w:rsid w:val="004951EB"/>
    <w:rsid w:val="00495528"/>
    <w:rsid w:val="00495BB3"/>
    <w:rsid w:val="00495E9F"/>
    <w:rsid w:val="004975CE"/>
    <w:rsid w:val="00497CD0"/>
    <w:rsid w:val="00497FBA"/>
    <w:rsid w:val="004A065E"/>
    <w:rsid w:val="004A06DD"/>
    <w:rsid w:val="004A13A7"/>
    <w:rsid w:val="004A14A5"/>
    <w:rsid w:val="004A2193"/>
    <w:rsid w:val="004A2705"/>
    <w:rsid w:val="004A3D4E"/>
    <w:rsid w:val="004A3EA8"/>
    <w:rsid w:val="004A4446"/>
    <w:rsid w:val="004A62DA"/>
    <w:rsid w:val="004A690E"/>
    <w:rsid w:val="004A7278"/>
    <w:rsid w:val="004A7493"/>
    <w:rsid w:val="004A74E8"/>
    <w:rsid w:val="004A7A18"/>
    <w:rsid w:val="004B03FB"/>
    <w:rsid w:val="004B1834"/>
    <w:rsid w:val="004B2F75"/>
    <w:rsid w:val="004B32B3"/>
    <w:rsid w:val="004B339F"/>
    <w:rsid w:val="004B35FE"/>
    <w:rsid w:val="004B36C0"/>
    <w:rsid w:val="004B39E2"/>
    <w:rsid w:val="004B4343"/>
    <w:rsid w:val="004B4F49"/>
    <w:rsid w:val="004B509A"/>
    <w:rsid w:val="004B5105"/>
    <w:rsid w:val="004B52DA"/>
    <w:rsid w:val="004B5A37"/>
    <w:rsid w:val="004B64A4"/>
    <w:rsid w:val="004B6A19"/>
    <w:rsid w:val="004B6C95"/>
    <w:rsid w:val="004B79A9"/>
    <w:rsid w:val="004C062A"/>
    <w:rsid w:val="004C1076"/>
    <w:rsid w:val="004C1121"/>
    <w:rsid w:val="004C12E1"/>
    <w:rsid w:val="004C1A34"/>
    <w:rsid w:val="004C222B"/>
    <w:rsid w:val="004C256D"/>
    <w:rsid w:val="004C38CB"/>
    <w:rsid w:val="004C38DE"/>
    <w:rsid w:val="004C5422"/>
    <w:rsid w:val="004C5A03"/>
    <w:rsid w:val="004C635A"/>
    <w:rsid w:val="004C66E3"/>
    <w:rsid w:val="004C69B3"/>
    <w:rsid w:val="004C6A48"/>
    <w:rsid w:val="004C6CBC"/>
    <w:rsid w:val="004C6D75"/>
    <w:rsid w:val="004C7513"/>
    <w:rsid w:val="004D034D"/>
    <w:rsid w:val="004D03A2"/>
    <w:rsid w:val="004D0DDC"/>
    <w:rsid w:val="004D1B89"/>
    <w:rsid w:val="004D1EFE"/>
    <w:rsid w:val="004D2BF5"/>
    <w:rsid w:val="004D3254"/>
    <w:rsid w:val="004D32EB"/>
    <w:rsid w:val="004D3CEF"/>
    <w:rsid w:val="004D40B1"/>
    <w:rsid w:val="004D4672"/>
    <w:rsid w:val="004D47FB"/>
    <w:rsid w:val="004D4EF7"/>
    <w:rsid w:val="004D565D"/>
    <w:rsid w:val="004D5BA3"/>
    <w:rsid w:val="004D6322"/>
    <w:rsid w:val="004D7022"/>
    <w:rsid w:val="004D76CF"/>
    <w:rsid w:val="004E0236"/>
    <w:rsid w:val="004E0F45"/>
    <w:rsid w:val="004E17E3"/>
    <w:rsid w:val="004E1FA8"/>
    <w:rsid w:val="004E24A2"/>
    <w:rsid w:val="004E2961"/>
    <w:rsid w:val="004E2E5A"/>
    <w:rsid w:val="004E2EBB"/>
    <w:rsid w:val="004E374F"/>
    <w:rsid w:val="004E37CD"/>
    <w:rsid w:val="004E3C49"/>
    <w:rsid w:val="004E3E9C"/>
    <w:rsid w:val="004E4145"/>
    <w:rsid w:val="004E439E"/>
    <w:rsid w:val="004E4E67"/>
    <w:rsid w:val="004E5781"/>
    <w:rsid w:val="004E5B5E"/>
    <w:rsid w:val="004E62CF"/>
    <w:rsid w:val="004E6C4B"/>
    <w:rsid w:val="004E6CB1"/>
    <w:rsid w:val="004E7695"/>
    <w:rsid w:val="004E77AD"/>
    <w:rsid w:val="004F0C1A"/>
    <w:rsid w:val="004F1EC3"/>
    <w:rsid w:val="004F1EF7"/>
    <w:rsid w:val="004F237B"/>
    <w:rsid w:val="004F247C"/>
    <w:rsid w:val="004F27D3"/>
    <w:rsid w:val="004F2C9F"/>
    <w:rsid w:val="004F2EC6"/>
    <w:rsid w:val="004F406C"/>
    <w:rsid w:val="004F481F"/>
    <w:rsid w:val="004F48CF"/>
    <w:rsid w:val="004F4D60"/>
    <w:rsid w:val="004F4EFD"/>
    <w:rsid w:val="004F58FF"/>
    <w:rsid w:val="004F635E"/>
    <w:rsid w:val="004F6408"/>
    <w:rsid w:val="004F6480"/>
    <w:rsid w:val="004F6644"/>
    <w:rsid w:val="005010E9"/>
    <w:rsid w:val="00501D73"/>
    <w:rsid w:val="0050213D"/>
    <w:rsid w:val="0050281C"/>
    <w:rsid w:val="0050324C"/>
    <w:rsid w:val="00503EE7"/>
    <w:rsid w:val="0050485B"/>
    <w:rsid w:val="005054AF"/>
    <w:rsid w:val="00505A86"/>
    <w:rsid w:val="00506080"/>
    <w:rsid w:val="005060C0"/>
    <w:rsid w:val="005066E2"/>
    <w:rsid w:val="00506749"/>
    <w:rsid w:val="00507759"/>
    <w:rsid w:val="00507F0B"/>
    <w:rsid w:val="00510D0F"/>
    <w:rsid w:val="0051147F"/>
    <w:rsid w:val="00511F76"/>
    <w:rsid w:val="0051243B"/>
    <w:rsid w:val="00512793"/>
    <w:rsid w:val="00512D8E"/>
    <w:rsid w:val="0051314C"/>
    <w:rsid w:val="005135D5"/>
    <w:rsid w:val="005136E8"/>
    <w:rsid w:val="00513AC1"/>
    <w:rsid w:val="00513E6A"/>
    <w:rsid w:val="00514105"/>
    <w:rsid w:val="00514FAF"/>
    <w:rsid w:val="005156D9"/>
    <w:rsid w:val="005167F3"/>
    <w:rsid w:val="0052040E"/>
    <w:rsid w:val="00521830"/>
    <w:rsid w:val="00521E27"/>
    <w:rsid w:val="00521FB4"/>
    <w:rsid w:val="00522048"/>
    <w:rsid w:val="00522F66"/>
    <w:rsid w:val="0052426A"/>
    <w:rsid w:val="005248BA"/>
    <w:rsid w:val="005248BE"/>
    <w:rsid w:val="00525322"/>
    <w:rsid w:val="0052536D"/>
    <w:rsid w:val="00526018"/>
    <w:rsid w:val="005262CE"/>
    <w:rsid w:val="00526494"/>
    <w:rsid w:val="00526A12"/>
    <w:rsid w:val="005279C8"/>
    <w:rsid w:val="00527C16"/>
    <w:rsid w:val="00527F33"/>
    <w:rsid w:val="00532260"/>
    <w:rsid w:val="00532317"/>
    <w:rsid w:val="00532437"/>
    <w:rsid w:val="00532482"/>
    <w:rsid w:val="00533232"/>
    <w:rsid w:val="00533A2D"/>
    <w:rsid w:val="005346F3"/>
    <w:rsid w:val="00534D68"/>
    <w:rsid w:val="00534DBA"/>
    <w:rsid w:val="0053568F"/>
    <w:rsid w:val="0053587E"/>
    <w:rsid w:val="00535A48"/>
    <w:rsid w:val="00535AED"/>
    <w:rsid w:val="00536240"/>
    <w:rsid w:val="005362E4"/>
    <w:rsid w:val="00536D08"/>
    <w:rsid w:val="00537569"/>
    <w:rsid w:val="00537EA4"/>
    <w:rsid w:val="0054244B"/>
    <w:rsid w:val="00543C33"/>
    <w:rsid w:val="00544A17"/>
    <w:rsid w:val="00544CEA"/>
    <w:rsid w:val="00544D3D"/>
    <w:rsid w:val="00544DCF"/>
    <w:rsid w:val="005463B4"/>
    <w:rsid w:val="00546907"/>
    <w:rsid w:val="0054691E"/>
    <w:rsid w:val="00546D15"/>
    <w:rsid w:val="00547B6A"/>
    <w:rsid w:val="00552246"/>
    <w:rsid w:val="00552A6F"/>
    <w:rsid w:val="00552BFC"/>
    <w:rsid w:val="005538E7"/>
    <w:rsid w:val="005544F1"/>
    <w:rsid w:val="005548B9"/>
    <w:rsid w:val="005555EA"/>
    <w:rsid w:val="005567A5"/>
    <w:rsid w:val="00556AF1"/>
    <w:rsid w:val="00556E68"/>
    <w:rsid w:val="005570A7"/>
    <w:rsid w:val="00557511"/>
    <w:rsid w:val="005579E8"/>
    <w:rsid w:val="00557B61"/>
    <w:rsid w:val="005602D9"/>
    <w:rsid w:val="005610A7"/>
    <w:rsid w:val="005619BF"/>
    <w:rsid w:val="00561C4A"/>
    <w:rsid w:val="00563633"/>
    <w:rsid w:val="00564F46"/>
    <w:rsid w:val="00565713"/>
    <w:rsid w:val="00565C3B"/>
    <w:rsid w:val="00565CB5"/>
    <w:rsid w:val="00565EAA"/>
    <w:rsid w:val="00565F4E"/>
    <w:rsid w:val="00566EEA"/>
    <w:rsid w:val="005670B6"/>
    <w:rsid w:val="00567297"/>
    <w:rsid w:val="00567450"/>
    <w:rsid w:val="0056757C"/>
    <w:rsid w:val="0056C492"/>
    <w:rsid w:val="005702B4"/>
    <w:rsid w:val="005706D6"/>
    <w:rsid w:val="00570F52"/>
    <w:rsid w:val="00571174"/>
    <w:rsid w:val="00571472"/>
    <w:rsid w:val="00571FC7"/>
    <w:rsid w:val="00572022"/>
    <w:rsid w:val="00572217"/>
    <w:rsid w:val="005724CC"/>
    <w:rsid w:val="00573300"/>
    <w:rsid w:val="00575756"/>
    <w:rsid w:val="00575F0D"/>
    <w:rsid w:val="00575F91"/>
    <w:rsid w:val="00576EA9"/>
    <w:rsid w:val="00576FC6"/>
    <w:rsid w:val="0057791E"/>
    <w:rsid w:val="00580081"/>
    <w:rsid w:val="005814F3"/>
    <w:rsid w:val="0058255D"/>
    <w:rsid w:val="00582CCD"/>
    <w:rsid w:val="00583826"/>
    <w:rsid w:val="00583B41"/>
    <w:rsid w:val="00583ED6"/>
    <w:rsid w:val="005840E7"/>
    <w:rsid w:val="00584A23"/>
    <w:rsid w:val="00584E22"/>
    <w:rsid w:val="005865A8"/>
    <w:rsid w:val="00586714"/>
    <w:rsid w:val="00587009"/>
    <w:rsid w:val="00587F33"/>
    <w:rsid w:val="00590415"/>
    <w:rsid w:val="00590C76"/>
    <w:rsid w:val="0059133D"/>
    <w:rsid w:val="00591876"/>
    <w:rsid w:val="00591DB4"/>
    <w:rsid w:val="00591E17"/>
    <w:rsid w:val="00592024"/>
    <w:rsid w:val="0059219C"/>
    <w:rsid w:val="005931B8"/>
    <w:rsid w:val="005938F2"/>
    <w:rsid w:val="00593D97"/>
    <w:rsid w:val="005940A0"/>
    <w:rsid w:val="00594289"/>
    <w:rsid w:val="00594D0D"/>
    <w:rsid w:val="0059532D"/>
    <w:rsid w:val="005953F3"/>
    <w:rsid w:val="005954B6"/>
    <w:rsid w:val="005954E9"/>
    <w:rsid w:val="00595E4F"/>
    <w:rsid w:val="00595E54"/>
    <w:rsid w:val="00596695"/>
    <w:rsid w:val="0059690A"/>
    <w:rsid w:val="00596B23"/>
    <w:rsid w:val="00597021"/>
    <w:rsid w:val="00597A8C"/>
    <w:rsid w:val="00597C79"/>
    <w:rsid w:val="005A0157"/>
    <w:rsid w:val="005A0AF5"/>
    <w:rsid w:val="005A24E3"/>
    <w:rsid w:val="005A2DC7"/>
    <w:rsid w:val="005A3A0A"/>
    <w:rsid w:val="005A3F0D"/>
    <w:rsid w:val="005A3F32"/>
    <w:rsid w:val="005A536C"/>
    <w:rsid w:val="005A5486"/>
    <w:rsid w:val="005A5637"/>
    <w:rsid w:val="005A61D0"/>
    <w:rsid w:val="005A6FF5"/>
    <w:rsid w:val="005B02E7"/>
    <w:rsid w:val="005B0955"/>
    <w:rsid w:val="005B0BA2"/>
    <w:rsid w:val="005B10A0"/>
    <w:rsid w:val="005B17B7"/>
    <w:rsid w:val="005B19F1"/>
    <w:rsid w:val="005B2328"/>
    <w:rsid w:val="005B3189"/>
    <w:rsid w:val="005B33C9"/>
    <w:rsid w:val="005B3E54"/>
    <w:rsid w:val="005B4225"/>
    <w:rsid w:val="005B6333"/>
    <w:rsid w:val="005B6938"/>
    <w:rsid w:val="005B6B7D"/>
    <w:rsid w:val="005B7118"/>
    <w:rsid w:val="005B7625"/>
    <w:rsid w:val="005C018E"/>
    <w:rsid w:val="005C092E"/>
    <w:rsid w:val="005C099F"/>
    <w:rsid w:val="005C0A7A"/>
    <w:rsid w:val="005C0DD3"/>
    <w:rsid w:val="005C18EF"/>
    <w:rsid w:val="005C1FDA"/>
    <w:rsid w:val="005C2B01"/>
    <w:rsid w:val="005C3874"/>
    <w:rsid w:val="005C39F9"/>
    <w:rsid w:val="005C4034"/>
    <w:rsid w:val="005C4375"/>
    <w:rsid w:val="005C4997"/>
    <w:rsid w:val="005C533D"/>
    <w:rsid w:val="005C635F"/>
    <w:rsid w:val="005C6566"/>
    <w:rsid w:val="005C6765"/>
    <w:rsid w:val="005C6989"/>
    <w:rsid w:val="005C6A17"/>
    <w:rsid w:val="005C6B16"/>
    <w:rsid w:val="005C6D2D"/>
    <w:rsid w:val="005C722A"/>
    <w:rsid w:val="005D06FD"/>
    <w:rsid w:val="005D08C6"/>
    <w:rsid w:val="005D16C1"/>
    <w:rsid w:val="005D22C2"/>
    <w:rsid w:val="005D3030"/>
    <w:rsid w:val="005D3237"/>
    <w:rsid w:val="005D32A0"/>
    <w:rsid w:val="005D3353"/>
    <w:rsid w:val="005D3485"/>
    <w:rsid w:val="005D39E4"/>
    <w:rsid w:val="005D3C07"/>
    <w:rsid w:val="005D3C32"/>
    <w:rsid w:val="005D4011"/>
    <w:rsid w:val="005D423E"/>
    <w:rsid w:val="005D69C2"/>
    <w:rsid w:val="005D6E64"/>
    <w:rsid w:val="005D704A"/>
    <w:rsid w:val="005E0652"/>
    <w:rsid w:val="005E0839"/>
    <w:rsid w:val="005E1620"/>
    <w:rsid w:val="005E1EF1"/>
    <w:rsid w:val="005E2C7F"/>
    <w:rsid w:val="005E3735"/>
    <w:rsid w:val="005E392C"/>
    <w:rsid w:val="005E3F28"/>
    <w:rsid w:val="005E4881"/>
    <w:rsid w:val="005E48AE"/>
    <w:rsid w:val="005E4A52"/>
    <w:rsid w:val="005E5EE9"/>
    <w:rsid w:val="005E6DBE"/>
    <w:rsid w:val="005E7123"/>
    <w:rsid w:val="005E7E75"/>
    <w:rsid w:val="005F02F6"/>
    <w:rsid w:val="005F14E4"/>
    <w:rsid w:val="005F1CF9"/>
    <w:rsid w:val="005F1F33"/>
    <w:rsid w:val="005F2678"/>
    <w:rsid w:val="005F28D5"/>
    <w:rsid w:val="005F34C1"/>
    <w:rsid w:val="005F35B8"/>
    <w:rsid w:val="005F4B52"/>
    <w:rsid w:val="005F5B37"/>
    <w:rsid w:val="005F6C05"/>
    <w:rsid w:val="005F6F21"/>
    <w:rsid w:val="005F7193"/>
    <w:rsid w:val="005F783C"/>
    <w:rsid w:val="005F7A90"/>
    <w:rsid w:val="006005CA"/>
    <w:rsid w:val="00600DD5"/>
    <w:rsid w:val="00601196"/>
    <w:rsid w:val="00601BBF"/>
    <w:rsid w:val="0060263A"/>
    <w:rsid w:val="00602E5F"/>
    <w:rsid w:val="00605368"/>
    <w:rsid w:val="00605D9A"/>
    <w:rsid w:val="00606030"/>
    <w:rsid w:val="006079BF"/>
    <w:rsid w:val="00607DC7"/>
    <w:rsid w:val="00607EB9"/>
    <w:rsid w:val="00611341"/>
    <w:rsid w:val="006128D6"/>
    <w:rsid w:val="00612B69"/>
    <w:rsid w:val="0061312D"/>
    <w:rsid w:val="00614E5B"/>
    <w:rsid w:val="00615470"/>
    <w:rsid w:val="00615B08"/>
    <w:rsid w:val="0061641E"/>
    <w:rsid w:val="00616962"/>
    <w:rsid w:val="00617467"/>
    <w:rsid w:val="0061762E"/>
    <w:rsid w:val="00617879"/>
    <w:rsid w:val="00617D12"/>
    <w:rsid w:val="0062069D"/>
    <w:rsid w:val="00620917"/>
    <w:rsid w:val="00621704"/>
    <w:rsid w:val="00621740"/>
    <w:rsid w:val="00621902"/>
    <w:rsid w:val="00621AEB"/>
    <w:rsid w:val="00621F46"/>
    <w:rsid w:val="00622038"/>
    <w:rsid w:val="00622401"/>
    <w:rsid w:val="00622B31"/>
    <w:rsid w:val="00622D66"/>
    <w:rsid w:val="00622FDE"/>
    <w:rsid w:val="00623733"/>
    <w:rsid w:val="00624035"/>
    <w:rsid w:val="00624D7D"/>
    <w:rsid w:val="00625019"/>
    <w:rsid w:val="006250F3"/>
    <w:rsid w:val="006259D5"/>
    <w:rsid w:val="00625DB3"/>
    <w:rsid w:val="006261AF"/>
    <w:rsid w:val="0062670D"/>
    <w:rsid w:val="00627B51"/>
    <w:rsid w:val="00630604"/>
    <w:rsid w:val="00630B5D"/>
    <w:rsid w:val="00630D5A"/>
    <w:rsid w:val="00631843"/>
    <w:rsid w:val="00631B76"/>
    <w:rsid w:val="00632186"/>
    <w:rsid w:val="00632411"/>
    <w:rsid w:val="00632566"/>
    <w:rsid w:val="00633B86"/>
    <w:rsid w:val="00633F8A"/>
    <w:rsid w:val="00634677"/>
    <w:rsid w:val="00634910"/>
    <w:rsid w:val="00634E29"/>
    <w:rsid w:val="00634FB1"/>
    <w:rsid w:val="0063550E"/>
    <w:rsid w:val="006359FA"/>
    <w:rsid w:val="00636377"/>
    <w:rsid w:val="00636566"/>
    <w:rsid w:val="006369F3"/>
    <w:rsid w:val="00636C14"/>
    <w:rsid w:val="00636E7E"/>
    <w:rsid w:val="0063769C"/>
    <w:rsid w:val="00637B44"/>
    <w:rsid w:val="00637E7A"/>
    <w:rsid w:val="00640BA4"/>
    <w:rsid w:val="00640D91"/>
    <w:rsid w:val="0064247E"/>
    <w:rsid w:val="00642568"/>
    <w:rsid w:val="00643127"/>
    <w:rsid w:val="00643ACF"/>
    <w:rsid w:val="00643AFF"/>
    <w:rsid w:val="00643CDC"/>
    <w:rsid w:val="00643E60"/>
    <w:rsid w:val="00644C40"/>
    <w:rsid w:val="00644FA8"/>
    <w:rsid w:val="00645288"/>
    <w:rsid w:val="0064536E"/>
    <w:rsid w:val="006455F7"/>
    <w:rsid w:val="006455FE"/>
    <w:rsid w:val="00645A1A"/>
    <w:rsid w:val="00645B1C"/>
    <w:rsid w:val="00646CDF"/>
    <w:rsid w:val="00646F00"/>
    <w:rsid w:val="00647C67"/>
    <w:rsid w:val="00647CB8"/>
    <w:rsid w:val="00647FF2"/>
    <w:rsid w:val="0065030A"/>
    <w:rsid w:val="006505D0"/>
    <w:rsid w:val="006509E8"/>
    <w:rsid w:val="00650C18"/>
    <w:rsid w:val="006517F2"/>
    <w:rsid w:val="00651935"/>
    <w:rsid w:val="00651AE4"/>
    <w:rsid w:val="00651E3D"/>
    <w:rsid w:val="00651F7B"/>
    <w:rsid w:val="0065299E"/>
    <w:rsid w:val="00652A15"/>
    <w:rsid w:val="00653573"/>
    <w:rsid w:val="006536DD"/>
    <w:rsid w:val="0065380A"/>
    <w:rsid w:val="00653E6F"/>
    <w:rsid w:val="00656001"/>
    <w:rsid w:val="006570CC"/>
    <w:rsid w:val="00657260"/>
    <w:rsid w:val="0065737F"/>
    <w:rsid w:val="00657AEC"/>
    <w:rsid w:val="00660235"/>
    <w:rsid w:val="00660418"/>
    <w:rsid w:val="00660548"/>
    <w:rsid w:val="00660CC1"/>
    <w:rsid w:val="00660E3E"/>
    <w:rsid w:val="0066112E"/>
    <w:rsid w:val="0066215C"/>
    <w:rsid w:val="0066285E"/>
    <w:rsid w:val="00662910"/>
    <w:rsid w:val="00662C7A"/>
    <w:rsid w:val="00663269"/>
    <w:rsid w:val="00663CDA"/>
    <w:rsid w:val="00664286"/>
    <w:rsid w:val="00665F9D"/>
    <w:rsid w:val="006661DD"/>
    <w:rsid w:val="0066688F"/>
    <w:rsid w:val="006677F5"/>
    <w:rsid w:val="006679FC"/>
    <w:rsid w:val="00667C4F"/>
    <w:rsid w:val="006706DB"/>
    <w:rsid w:val="00670D19"/>
    <w:rsid w:val="00670DFF"/>
    <w:rsid w:val="006717D6"/>
    <w:rsid w:val="006720F8"/>
    <w:rsid w:val="006723D8"/>
    <w:rsid w:val="006726DC"/>
    <w:rsid w:val="006727C8"/>
    <w:rsid w:val="00672B05"/>
    <w:rsid w:val="00673616"/>
    <w:rsid w:val="006738EE"/>
    <w:rsid w:val="0067392F"/>
    <w:rsid w:val="0067599A"/>
    <w:rsid w:val="006759DE"/>
    <w:rsid w:val="0067626F"/>
    <w:rsid w:val="00676392"/>
    <w:rsid w:val="006768CE"/>
    <w:rsid w:val="00677344"/>
    <w:rsid w:val="00677776"/>
    <w:rsid w:val="00677969"/>
    <w:rsid w:val="00677E4D"/>
    <w:rsid w:val="00677FD6"/>
    <w:rsid w:val="00680408"/>
    <w:rsid w:val="00680480"/>
    <w:rsid w:val="00680495"/>
    <w:rsid w:val="00680735"/>
    <w:rsid w:val="006812BC"/>
    <w:rsid w:val="00681F12"/>
    <w:rsid w:val="00682B0A"/>
    <w:rsid w:val="00682C8A"/>
    <w:rsid w:val="00683854"/>
    <w:rsid w:val="00683916"/>
    <w:rsid w:val="00683ED2"/>
    <w:rsid w:val="00684084"/>
    <w:rsid w:val="0068437C"/>
    <w:rsid w:val="0068496B"/>
    <w:rsid w:val="00685960"/>
    <w:rsid w:val="006867A1"/>
    <w:rsid w:val="00686945"/>
    <w:rsid w:val="00686B18"/>
    <w:rsid w:val="00687875"/>
    <w:rsid w:val="00687F35"/>
    <w:rsid w:val="00687F46"/>
    <w:rsid w:val="00690AE5"/>
    <w:rsid w:val="00690B7E"/>
    <w:rsid w:val="00691197"/>
    <w:rsid w:val="006930CE"/>
    <w:rsid w:val="00694342"/>
    <w:rsid w:val="006958F2"/>
    <w:rsid w:val="00695912"/>
    <w:rsid w:val="006969CD"/>
    <w:rsid w:val="00696CC1"/>
    <w:rsid w:val="006A060E"/>
    <w:rsid w:val="006A1E9F"/>
    <w:rsid w:val="006A32F0"/>
    <w:rsid w:val="006A4FD6"/>
    <w:rsid w:val="006A5D37"/>
    <w:rsid w:val="006A63E9"/>
    <w:rsid w:val="006A6476"/>
    <w:rsid w:val="006A64FC"/>
    <w:rsid w:val="006A6BD5"/>
    <w:rsid w:val="006A7722"/>
    <w:rsid w:val="006B1D86"/>
    <w:rsid w:val="006B23E5"/>
    <w:rsid w:val="006B2E68"/>
    <w:rsid w:val="006B348B"/>
    <w:rsid w:val="006B3A37"/>
    <w:rsid w:val="006B3C10"/>
    <w:rsid w:val="006B5761"/>
    <w:rsid w:val="006B5840"/>
    <w:rsid w:val="006B59DE"/>
    <w:rsid w:val="006B5CFC"/>
    <w:rsid w:val="006B6331"/>
    <w:rsid w:val="006B64D6"/>
    <w:rsid w:val="006B6741"/>
    <w:rsid w:val="006B6811"/>
    <w:rsid w:val="006C02F9"/>
    <w:rsid w:val="006C0FC8"/>
    <w:rsid w:val="006C0FDD"/>
    <w:rsid w:val="006C1478"/>
    <w:rsid w:val="006C2412"/>
    <w:rsid w:val="006C292D"/>
    <w:rsid w:val="006C2C32"/>
    <w:rsid w:val="006C2F3D"/>
    <w:rsid w:val="006C2F3E"/>
    <w:rsid w:val="006C32C2"/>
    <w:rsid w:val="006C3649"/>
    <w:rsid w:val="006C3CD8"/>
    <w:rsid w:val="006C4AF6"/>
    <w:rsid w:val="006C50C4"/>
    <w:rsid w:val="006C5146"/>
    <w:rsid w:val="006C54DD"/>
    <w:rsid w:val="006C55AD"/>
    <w:rsid w:val="006C585F"/>
    <w:rsid w:val="006C58A6"/>
    <w:rsid w:val="006C603B"/>
    <w:rsid w:val="006C6711"/>
    <w:rsid w:val="006C6D9B"/>
    <w:rsid w:val="006C72B7"/>
    <w:rsid w:val="006C7E8E"/>
    <w:rsid w:val="006C7FA7"/>
    <w:rsid w:val="006D035B"/>
    <w:rsid w:val="006D0790"/>
    <w:rsid w:val="006D28AB"/>
    <w:rsid w:val="006D36B9"/>
    <w:rsid w:val="006D3C89"/>
    <w:rsid w:val="006D59DF"/>
    <w:rsid w:val="006D6469"/>
    <w:rsid w:val="006D679D"/>
    <w:rsid w:val="006D74A0"/>
    <w:rsid w:val="006D7A8B"/>
    <w:rsid w:val="006D7E49"/>
    <w:rsid w:val="006E1286"/>
    <w:rsid w:val="006E135D"/>
    <w:rsid w:val="006E1428"/>
    <w:rsid w:val="006E1579"/>
    <w:rsid w:val="006E172F"/>
    <w:rsid w:val="006E1935"/>
    <w:rsid w:val="006E2345"/>
    <w:rsid w:val="006E36AE"/>
    <w:rsid w:val="006E3749"/>
    <w:rsid w:val="006E37A9"/>
    <w:rsid w:val="006E4AEB"/>
    <w:rsid w:val="006E527A"/>
    <w:rsid w:val="006E570C"/>
    <w:rsid w:val="006E5823"/>
    <w:rsid w:val="006E606C"/>
    <w:rsid w:val="006E6527"/>
    <w:rsid w:val="006E667D"/>
    <w:rsid w:val="006E6AA5"/>
    <w:rsid w:val="006E6DAC"/>
    <w:rsid w:val="006E7370"/>
    <w:rsid w:val="006E7685"/>
    <w:rsid w:val="006E7956"/>
    <w:rsid w:val="006E7C93"/>
    <w:rsid w:val="006F0068"/>
    <w:rsid w:val="006F02ED"/>
    <w:rsid w:val="006F03EB"/>
    <w:rsid w:val="006F09E4"/>
    <w:rsid w:val="006F0DD5"/>
    <w:rsid w:val="006F15B2"/>
    <w:rsid w:val="006F18B9"/>
    <w:rsid w:val="006F26AB"/>
    <w:rsid w:val="006F2B1C"/>
    <w:rsid w:val="006F356C"/>
    <w:rsid w:val="006F4610"/>
    <w:rsid w:val="006F48AA"/>
    <w:rsid w:val="006F5A3A"/>
    <w:rsid w:val="006F5F95"/>
    <w:rsid w:val="006F6B4C"/>
    <w:rsid w:val="006F7E23"/>
    <w:rsid w:val="00700A18"/>
    <w:rsid w:val="00701C0B"/>
    <w:rsid w:val="007022B2"/>
    <w:rsid w:val="00703437"/>
    <w:rsid w:val="007039E0"/>
    <w:rsid w:val="00703A48"/>
    <w:rsid w:val="007062A3"/>
    <w:rsid w:val="0070660C"/>
    <w:rsid w:val="00706DC1"/>
    <w:rsid w:val="00707AA1"/>
    <w:rsid w:val="00710262"/>
    <w:rsid w:val="00710FB0"/>
    <w:rsid w:val="00711341"/>
    <w:rsid w:val="007119B5"/>
    <w:rsid w:val="007123A9"/>
    <w:rsid w:val="00712769"/>
    <w:rsid w:val="00712A52"/>
    <w:rsid w:val="00712F6C"/>
    <w:rsid w:val="0071343D"/>
    <w:rsid w:val="00713B03"/>
    <w:rsid w:val="00713B7F"/>
    <w:rsid w:val="0071435C"/>
    <w:rsid w:val="00714504"/>
    <w:rsid w:val="00714617"/>
    <w:rsid w:val="00714663"/>
    <w:rsid w:val="007149EF"/>
    <w:rsid w:val="007153B7"/>
    <w:rsid w:val="0071565C"/>
    <w:rsid w:val="00716ACE"/>
    <w:rsid w:val="00717670"/>
    <w:rsid w:val="007176C1"/>
    <w:rsid w:val="00720266"/>
    <w:rsid w:val="00720551"/>
    <w:rsid w:val="00720D7F"/>
    <w:rsid w:val="00721665"/>
    <w:rsid w:val="00722317"/>
    <w:rsid w:val="00722640"/>
    <w:rsid w:val="00722F76"/>
    <w:rsid w:val="00723555"/>
    <w:rsid w:val="007248BB"/>
    <w:rsid w:val="00724DB5"/>
    <w:rsid w:val="00725D69"/>
    <w:rsid w:val="00725EDB"/>
    <w:rsid w:val="00727E5D"/>
    <w:rsid w:val="00731832"/>
    <w:rsid w:val="007338A8"/>
    <w:rsid w:val="00733D90"/>
    <w:rsid w:val="00733E15"/>
    <w:rsid w:val="0073414E"/>
    <w:rsid w:val="00734701"/>
    <w:rsid w:val="0073505E"/>
    <w:rsid w:val="0073515A"/>
    <w:rsid w:val="00735200"/>
    <w:rsid w:val="00735924"/>
    <w:rsid w:val="00736C71"/>
    <w:rsid w:val="0073709F"/>
    <w:rsid w:val="00737584"/>
    <w:rsid w:val="00740DA3"/>
    <w:rsid w:val="00741014"/>
    <w:rsid w:val="00741216"/>
    <w:rsid w:val="00741695"/>
    <w:rsid w:val="00741D73"/>
    <w:rsid w:val="0074201E"/>
    <w:rsid w:val="00742090"/>
    <w:rsid w:val="007423A3"/>
    <w:rsid w:val="007424AD"/>
    <w:rsid w:val="0074320A"/>
    <w:rsid w:val="007442DF"/>
    <w:rsid w:val="0074534B"/>
    <w:rsid w:val="0074652D"/>
    <w:rsid w:val="00746BC7"/>
    <w:rsid w:val="007474A3"/>
    <w:rsid w:val="007474CD"/>
    <w:rsid w:val="0075003E"/>
    <w:rsid w:val="00750475"/>
    <w:rsid w:val="00751039"/>
    <w:rsid w:val="007515A1"/>
    <w:rsid w:val="00753AAE"/>
    <w:rsid w:val="00753AD5"/>
    <w:rsid w:val="00753E85"/>
    <w:rsid w:val="00754FD7"/>
    <w:rsid w:val="00755843"/>
    <w:rsid w:val="0075665B"/>
    <w:rsid w:val="00756787"/>
    <w:rsid w:val="00756B78"/>
    <w:rsid w:val="00757045"/>
    <w:rsid w:val="0076039F"/>
    <w:rsid w:val="00760735"/>
    <w:rsid w:val="00760E25"/>
    <w:rsid w:val="007613AE"/>
    <w:rsid w:val="0076232E"/>
    <w:rsid w:val="00763AC4"/>
    <w:rsid w:val="00763C3F"/>
    <w:rsid w:val="00763D31"/>
    <w:rsid w:val="007644E1"/>
    <w:rsid w:val="007647B6"/>
    <w:rsid w:val="00764F5A"/>
    <w:rsid w:val="007656B5"/>
    <w:rsid w:val="00765801"/>
    <w:rsid w:val="00765C3A"/>
    <w:rsid w:val="00765C59"/>
    <w:rsid w:val="007664C2"/>
    <w:rsid w:val="0076784B"/>
    <w:rsid w:val="0076794A"/>
    <w:rsid w:val="007700DA"/>
    <w:rsid w:val="00770130"/>
    <w:rsid w:val="007701D0"/>
    <w:rsid w:val="0077032F"/>
    <w:rsid w:val="00772006"/>
    <w:rsid w:val="00772D6D"/>
    <w:rsid w:val="00772E8E"/>
    <w:rsid w:val="00772F4C"/>
    <w:rsid w:val="0077447D"/>
    <w:rsid w:val="00775356"/>
    <w:rsid w:val="00775886"/>
    <w:rsid w:val="007764BA"/>
    <w:rsid w:val="0077662D"/>
    <w:rsid w:val="007768C2"/>
    <w:rsid w:val="0077717A"/>
    <w:rsid w:val="007773CE"/>
    <w:rsid w:val="007773E1"/>
    <w:rsid w:val="007776C0"/>
    <w:rsid w:val="0077771D"/>
    <w:rsid w:val="00777906"/>
    <w:rsid w:val="007779C1"/>
    <w:rsid w:val="00780BFA"/>
    <w:rsid w:val="00780C9F"/>
    <w:rsid w:val="007816C1"/>
    <w:rsid w:val="00781CA9"/>
    <w:rsid w:val="00781E20"/>
    <w:rsid w:val="007825F8"/>
    <w:rsid w:val="00782E69"/>
    <w:rsid w:val="00782EF3"/>
    <w:rsid w:val="00783CFD"/>
    <w:rsid w:val="00783D54"/>
    <w:rsid w:val="00784277"/>
    <w:rsid w:val="007842E3"/>
    <w:rsid w:val="007844B8"/>
    <w:rsid w:val="00785525"/>
    <w:rsid w:val="007869EA"/>
    <w:rsid w:val="007873BF"/>
    <w:rsid w:val="0078744A"/>
    <w:rsid w:val="00787F1B"/>
    <w:rsid w:val="00790149"/>
    <w:rsid w:val="0079158A"/>
    <w:rsid w:val="00791A60"/>
    <w:rsid w:val="00792798"/>
    <w:rsid w:val="00793FF8"/>
    <w:rsid w:val="007942B2"/>
    <w:rsid w:val="00795A74"/>
    <w:rsid w:val="00795CA3"/>
    <w:rsid w:val="00796656"/>
    <w:rsid w:val="007966B4"/>
    <w:rsid w:val="007968ED"/>
    <w:rsid w:val="00796E95"/>
    <w:rsid w:val="00796FB4"/>
    <w:rsid w:val="00797231"/>
    <w:rsid w:val="00797935"/>
    <w:rsid w:val="00797AA6"/>
    <w:rsid w:val="007A02DE"/>
    <w:rsid w:val="007A061D"/>
    <w:rsid w:val="007A08AB"/>
    <w:rsid w:val="007A16B4"/>
    <w:rsid w:val="007A1E6D"/>
    <w:rsid w:val="007A2094"/>
    <w:rsid w:val="007A3915"/>
    <w:rsid w:val="007A3D66"/>
    <w:rsid w:val="007A411C"/>
    <w:rsid w:val="007A460F"/>
    <w:rsid w:val="007A4DFC"/>
    <w:rsid w:val="007A6577"/>
    <w:rsid w:val="007A6AC8"/>
    <w:rsid w:val="007A6FB3"/>
    <w:rsid w:val="007A722A"/>
    <w:rsid w:val="007A7439"/>
    <w:rsid w:val="007A75CB"/>
    <w:rsid w:val="007A7B79"/>
    <w:rsid w:val="007A7E57"/>
    <w:rsid w:val="007A7F76"/>
    <w:rsid w:val="007B0DDD"/>
    <w:rsid w:val="007B14B9"/>
    <w:rsid w:val="007B185B"/>
    <w:rsid w:val="007B18D4"/>
    <w:rsid w:val="007B1EB2"/>
    <w:rsid w:val="007B21E5"/>
    <w:rsid w:val="007B29FC"/>
    <w:rsid w:val="007B2C7D"/>
    <w:rsid w:val="007B401E"/>
    <w:rsid w:val="007B4DAB"/>
    <w:rsid w:val="007B55CF"/>
    <w:rsid w:val="007B568C"/>
    <w:rsid w:val="007B62C1"/>
    <w:rsid w:val="007B62E2"/>
    <w:rsid w:val="007B6882"/>
    <w:rsid w:val="007B771F"/>
    <w:rsid w:val="007B7782"/>
    <w:rsid w:val="007B7B94"/>
    <w:rsid w:val="007C0072"/>
    <w:rsid w:val="007C059B"/>
    <w:rsid w:val="007C08D3"/>
    <w:rsid w:val="007C1389"/>
    <w:rsid w:val="007C159A"/>
    <w:rsid w:val="007C17AE"/>
    <w:rsid w:val="007C1A5A"/>
    <w:rsid w:val="007C217E"/>
    <w:rsid w:val="007C3193"/>
    <w:rsid w:val="007C367E"/>
    <w:rsid w:val="007C36BC"/>
    <w:rsid w:val="007C3726"/>
    <w:rsid w:val="007C386E"/>
    <w:rsid w:val="007C3D92"/>
    <w:rsid w:val="007C400C"/>
    <w:rsid w:val="007C456A"/>
    <w:rsid w:val="007C50D1"/>
    <w:rsid w:val="007C544F"/>
    <w:rsid w:val="007C5B99"/>
    <w:rsid w:val="007C5C51"/>
    <w:rsid w:val="007C5D52"/>
    <w:rsid w:val="007C60CA"/>
    <w:rsid w:val="007C6E4A"/>
    <w:rsid w:val="007C7135"/>
    <w:rsid w:val="007C7E25"/>
    <w:rsid w:val="007D028B"/>
    <w:rsid w:val="007D0B28"/>
    <w:rsid w:val="007D11F1"/>
    <w:rsid w:val="007D2B13"/>
    <w:rsid w:val="007D2E95"/>
    <w:rsid w:val="007D3BFE"/>
    <w:rsid w:val="007D46CE"/>
    <w:rsid w:val="007D58DB"/>
    <w:rsid w:val="007D5966"/>
    <w:rsid w:val="007D59FB"/>
    <w:rsid w:val="007D5B42"/>
    <w:rsid w:val="007D5F67"/>
    <w:rsid w:val="007D63AC"/>
    <w:rsid w:val="007D6768"/>
    <w:rsid w:val="007D6ACA"/>
    <w:rsid w:val="007D6E89"/>
    <w:rsid w:val="007D71C1"/>
    <w:rsid w:val="007D7C89"/>
    <w:rsid w:val="007E0178"/>
    <w:rsid w:val="007E04D6"/>
    <w:rsid w:val="007E1932"/>
    <w:rsid w:val="007E1D7B"/>
    <w:rsid w:val="007E202E"/>
    <w:rsid w:val="007E25DB"/>
    <w:rsid w:val="007E30DF"/>
    <w:rsid w:val="007E35AA"/>
    <w:rsid w:val="007E387D"/>
    <w:rsid w:val="007E4A35"/>
    <w:rsid w:val="007E4A59"/>
    <w:rsid w:val="007E6C4C"/>
    <w:rsid w:val="007E7254"/>
    <w:rsid w:val="007E78A1"/>
    <w:rsid w:val="007F063E"/>
    <w:rsid w:val="007F0D4D"/>
    <w:rsid w:val="007F0D5E"/>
    <w:rsid w:val="007F0FBD"/>
    <w:rsid w:val="007F1C3D"/>
    <w:rsid w:val="007F3300"/>
    <w:rsid w:val="007F33A9"/>
    <w:rsid w:val="007F3CCA"/>
    <w:rsid w:val="007F466B"/>
    <w:rsid w:val="007F48FA"/>
    <w:rsid w:val="007F645A"/>
    <w:rsid w:val="007F69C3"/>
    <w:rsid w:val="007F6B94"/>
    <w:rsid w:val="007F6BB6"/>
    <w:rsid w:val="007F760E"/>
    <w:rsid w:val="007F7D62"/>
    <w:rsid w:val="007F7DCC"/>
    <w:rsid w:val="008000B0"/>
    <w:rsid w:val="00801E08"/>
    <w:rsid w:val="00801F56"/>
    <w:rsid w:val="00802217"/>
    <w:rsid w:val="0080262C"/>
    <w:rsid w:val="0080278D"/>
    <w:rsid w:val="00803F6D"/>
    <w:rsid w:val="00805B62"/>
    <w:rsid w:val="00805DC6"/>
    <w:rsid w:val="0080732B"/>
    <w:rsid w:val="0080787F"/>
    <w:rsid w:val="008100BC"/>
    <w:rsid w:val="008109CC"/>
    <w:rsid w:val="00810BE7"/>
    <w:rsid w:val="00811709"/>
    <w:rsid w:val="00812C92"/>
    <w:rsid w:val="008134B8"/>
    <w:rsid w:val="00813678"/>
    <w:rsid w:val="008136FE"/>
    <w:rsid w:val="00813D00"/>
    <w:rsid w:val="00814262"/>
    <w:rsid w:val="00814734"/>
    <w:rsid w:val="008150C1"/>
    <w:rsid w:val="0081583A"/>
    <w:rsid w:val="008165F4"/>
    <w:rsid w:val="00816E57"/>
    <w:rsid w:val="008174E3"/>
    <w:rsid w:val="008177CD"/>
    <w:rsid w:val="00817B52"/>
    <w:rsid w:val="00820719"/>
    <w:rsid w:val="00820A96"/>
    <w:rsid w:val="00821357"/>
    <w:rsid w:val="00821947"/>
    <w:rsid w:val="00822461"/>
    <w:rsid w:val="00822463"/>
    <w:rsid w:val="00822575"/>
    <w:rsid w:val="00822D29"/>
    <w:rsid w:val="00822D85"/>
    <w:rsid w:val="008233FE"/>
    <w:rsid w:val="0082393A"/>
    <w:rsid w:val="00823EC7"/>
    <w:rsid w:val="00823EF0"/>
    <w:rsid w:val="0082463E"/>
    <w:rsid w:val="00824946"/>
    <w:rsid w:val="008252C4"/>
    <w:rsid w:val="00825551"/>
    <w:rsid w:val="00825F1B"/>
    <w:rsid w:val="00826D95"/>
    <w:rsid w:val="00827667"/>
    <w:rsid w:val="00827760"/>
    <w:rsid w:val="008307CA"/>
    <w:rsid w:val="00830C7C"/>
    <w:rsid w:val="00831048"/>
    <w:rsid w:val="00831673"/>
    <w:rsid w:val="008321B7"/>
    <w:rsid w:val="0083222B"/>
    <w:rsid w:val="00832FF2"/>
    <w:rsid w:val="008334F8"/>
    <w:rsid w:val="00833A20"/>
    <w:rsid w:val="0083486D"/>
    <w:rsid w:val="00834D8D"/>
    <w:rsid w:val="0083513A"/>
    <w:rsid w:val="00835823"/>
    <w:rsid w:val="00835E97"/>
    <w:rsid w:val="00836208"/>
    <w:rsid w:val="00837232"/>
    <w:rsid w:val="00837C19"/>
    <w:rsid w:val="00840620"/>
    <w:rsid w:val="008406C9"/>
    <w:rsid w:val="00840AC0"/>
    <w:rsid w:val="00840B42"/>
    <w:rsid w:val="00842529"/>
    <w:rsid w:val="008427C6"/>
    <w:rsid w:val="008436D9"/>
    <w:rsid w:val="00843B52"/>
    <w:rsid w:val="00843F65"/>
    <w:rsid w:val="00844058"/>
    <w:rsid w:val="0084423D"/>
    <w:rsid w:val="008443AD"/>
    <w:rsid w:val="0084452F"/>
    <w:rsid w:val="00845633"/>
    <w:rsid w:val="0084563B"/>
    <w:rsid w:val="00845892"/>
    <w:rsid w:val="00845F90"/>
    <w:rsid w:val="008461FE"/>
    <w:rsid w:val="00846654"/>
    <w:rsid w:val="00846AE1"/>
    <w:rsid w:val="008473A4"/>
    <w:rsid w:val="0084760C"/>
    <w:rsid w:val="00847D02"/>
    <w:rsid w:val="00847F71"/>
    <w:rsid w:val="00850463"/>
    <w:rsid w:val="0085129A"/>
    <w:rsid w:val="00851E43"/>
    <w:rsid w:val="00851F00"/>
    <w:rsid w:val="00852DF2"/>
    <w:rsid w:val="00853C62"/>
    <w:rsid w:val="00854005"/>
    <w:rsid w:val="00854883"/>
    <w:rsid w:val="00854A46"/>
    <w:rsid w:val="00854FD4"/>
    <w:rsid w:val="00855284"/>
    <w:rsid w:val="008552E5"/>
    <w:rsid w:val="00855583"/>
    <w:rsid w:val="008558E1"/>
    <w:rsid w:val="00856210"/>
    <w:rsid w:val="00856B6F"/>
    <w:rsid w:val="00856BE1"/>
    <w:rsid w:val="00856D56"/>
    <w:rsid w:val="00857269"/>
    <w:rsid w:val="00857369"/>
    <w:rsid w:val="00857D1F"/>
    <w:rsid w:val="00857DF6"/>
    <w:rsid w:val="00860318"/>
    <w:rsid w:val="00860700"/>
    <w:rsid w:val="008608C7"/>
    <w:rsid w:val="00861AA8"/>
    <w:rsid w:val="00861B86"/>
    <w:rsid w:val="00862871"/>
    <w:rsid w:val="00862F0B"/>
    <w:rsid w:val="008631EE"/>
    <w:rsid w:val="008632A2"/>
    <w:rsid w:val="008636A5"/>
    <w:rsid w:val="00863E55"/>
    <w:rsid w:val="00864039"/>
    <w:rsid w:val="008648FC"/>
    <w:rsid w:val="00864FAC"/>
    <w:rsid w:val="00865436"/>
    <w:rsid w:val="00865E9A"/>
    <w:rsid w:val="00866211"/>
    <w:rsid w:val="00866411"/>
    <w:rsid w:val="00866518"/>
    <w:rsid w:val="008666DE"/>
    <w:rsid w:val="00867371"/>
    <w:rsid w:val="008674FF"/>
    <w:rsid w:val="00867719"/>
    <w:rsid w:val="008701D7"/>
    <w:rsid w:val="00871637"/>
    <w:rsid w:val="008727DB"/>
    <w:rsid w:val="0087290B"/>
    <w:rsid w:val="00872B36"/>
    <w:rsid w:val="00872BC3"/>
    <w:rsid w:val="00873B4D"/>
    <w:rsid w:val="00874D1E"/>
    <w:rsid w:val="008758E9"/>
    <w:rsid w:val="008759D5"/>
    <w:rsid w:val="00875B41"/>
    <w:rsid w:val="00875BE4"/>
    <w:rsid w:val="00876532"/>
    <w:rsid w:val="00876BF5"/>
    <w:rsid w:val="00876E13"/>
    <w:rsid w:val="00877920"/>
    <w:rsid w:val="00877E96"/>
    <w:rsid w:val="008814E3"/>
    <w:rsid w:val="00881BCA"/>
    <w:rsid w:val="00882F2F"/>
    <w:rsid w:val="00882F39"/>
    <w:rsid w:val="0088407D"/>
    <w:rsid w:val="0088413A"/>
    <w:rsid w:val="00884D27"/>
    <w:rsid w:val="008855D9"/>
    <w:rsid w:val="0088571D"/>
    <w:rsid w:val="0088579B"/>
    <w:rsid w:val="008857FF"/>
    <w:rsid w:val="00886349"/>
    <w:rsid w:val="008864BB"/>
    <w:rsid w:val="00886773"/>
    <w:rsid w:val="0088722E"/>
    <w:rsid w:val="00887A35"/>
    <w:rsid w:val="00887B19"/>
    <w:rsid w:val="00887C81"/>
    <w:rsid w:val="00887CD6"/>
    <w:rsid w:val="00887E73"/>
    <w:rsid w:val="00887F5E"/>
    <w:rsid w:val="00890A6A"/>
    <w:rsid w:val="00891798"/>
    <w:rsid w:val="008919CB"/>
    <w:rsid w:val="0089296D"/>
    <w:rsid w:val="00892CF0"/>
    <w:rsid w:val="00892F4C"/>
    <w:rsid w:val="008930F8"/>
    <w:rsid w:val="00893308"/>
    <w:rsid w:val="00893459"/>
    <w:rsid w:val="00893563"/>
    <w:rsid w:val="0089357A"/>
    <w:rsid w:val="008939AB"/>
    <w:rsid w:val="008942BD"/>
    <w:rsid w:val="00894307"/>
    <w:rsid w:val="0089448D"/>
    <w:rsid w:val="00894BC6"/>
    <w:rsid w:val="00895B77"/>
    <w:rsid w:val="00895BC7"/>
    <w:rsid w:val="008962D8"/>
    <w:rsid w:val="008A0798"/>
    <w:rsid w:val="008A1425"/>
    <w:rsid w:val="008A187C"/>
    <w:rsid w:val="008A2EE9"/>
    <w:rsid w:val="008A39CE"/>
    <w:rsid w:val="008A3AE6"/>
    <w:rsid w:val="008A4567"/>
    <w:rsid w:val="008A49A1"/>
    <w:rsid w:val="008A51BA"/>
    <w:rsid w:val="008A725B"/>
    <w:rsid w:val="008A7537"/>
    <w:rsid w:val="008A79DB"/>
    <w:rsid w:val="008A7C23"/>
    <w:rsid w:val="008A7EC6"/>
    <w:rsid w:val="008B092E"/>
    <w:rsid w:val="008B1037"/>
    <w:rsid w:val="008B16BB"/>
    <w:rsid w:val="008B25F2"/>
    <w:rsid w:val="008B2D24"/>
    <w:rsid w:val="008B31AB"/>
    <w:rsid w:val="008B3312"/>
    <w:rsid w:val="008B39F2"/>
    <w:rsid w:val="008B3C9C"/>
    <w:rsid w:val="008B472F"/>
    <w:rsid w:val="008B57EE"/>
    <w:rsid w:val="008B5A95"/>
    <w:rsid w:val="008B5F15"/>
    <w:rsid w:val="008B62F1"/>
    <w:rsid w:val="008B67EF"/>
    <w:rsid w:val="008B75BC"/>
    <w:rsid w:val="008B77ED"/>
    <w:rsid w:val="008C0407"/>
    <w:rsid w:val="008C0815"/>
    <w:rsid w:val="008C0ACE"/>
    <w:rsid w:val="008C0AFA"/>
    <w:rsid w:val="008C0B24"/>
    <w:rsid w:val="008C3833"/>
    <w:rsid w:val="008C3AEF"/>
    <w:rsid w:val="008C403F"/>
    <w:rsid w:val="008C4200"/>
    <w:rsid w:val="008C4A51"/>
    <w:rsid w:val="008C4F19"/>
    <w:rsid w:val="008C5AD8"/>
    <w:rsid w:val="008C5EEE"/>
    <w:rsid w:val="008C72F6"/>
    <w:rsid w:val="008C7AC4"/>
    <w:rsid w:val="008C7E0B"/>
    <w:rsid w:val="008C7F7B"/>
    <w:rsid w:val="008D056E"/>
    <w:rsid w:val="008D140B"/>
    <w:rsid w:val="008D2A74"/>
    <w:rsid w:val="008D2D7C"/>
    <w:rsid w:val="008D2DE9"/>
    <w:rsid w:val="008D2E96"/>
    <w:rsid w:val="008D33F9"/>
    <w:rsid w:val="008D3CDE"/>
    <w:rsid w:val="008D4362"/>
    <w:rsid w:val="008D50F0"/>
    <w:rsid w:val="008D617A"/>
    <w:rsid w:val="008D6F2C"/>
    <w:rsid w:val="008D7251"/>
    <w:rsid w:val="008D75CA"/>
    <w:rsid w:val="008E0091"/>
    <w:rsid w:val="008E0568"/>
    <w:rsid w:val="008E2124"/>
    <w:rsid w:val="008E213C"/>
    <w:rsid w:val="008E2711"/>
    <w:rsid w:val="008E2ADF"/>
    <w:rsid w:val="008E2FBC"/>
    <w:rsid w:val="008E3276"/>
    <w:rsid w:val="008E556E"/>
    <w:rsid w:val="008E61E9"/>
    <w:rsid w:val="008E6253"/>
    <w:rsid w:val="008E6604"/>
    <w:rsid w:val="008E78A4"/>
    <w:rsid w:val="008E7EFF"/>
    <w:rsid w:val="008F0C18"/>
    <w:rsid w:val="008F23B0"/>
    <w:rsid w:val="008F23DF"/>
    <w:rsid w:val="008F24B3"/>
    <w:rsid w:val="008F382B"/>
    <w:rsid w:val="008F4427"/>
    <w:rsid w:val="008F51A9"/>
    <w:rsid w:val="008F5A72"/>
    <w:rsid w:val="008F5A84"/>
    <w:rsid w:val="008F6B39"/>
    <w:rsid w:val="008F76F0"/>
    <w:rsid w:val="009000B8"/>
    <w:rsid w:val="00901073"/>
    <w:rsid w:val="009010E5"/>
    <w:rsid w:val="00901371"/>
    <w:rsid w:val="009013F9"/>
    <w:rsid w:val="00901705"/>
    <w:rsid w:val="009018F2"/>
    <w:rsid w:val="00902246"/>
    <w:rsid w:val="0090266F"/>
    <w:rsid w:val="0090301B"/>
    <w:rsid w:val="009039AB"/>
    <w:rsid w:val="00903C70"/>
    <w:rsid w:val="00904F9C"/>
    <w:rsid w:val="00905351"/>
    <w:rsid w:val="009053E1"/>
    <w:rsid w:val="00905764"/>
    <w:rsid w:val="00905D96"/>
    <w:rsid w:val="00905E05"/>
    <w:rsid w:val="009066C5"/>
    <w:rsid w:val="0090706D"/>
    <w:rsid w:val="009076AF"/>
    <w:rsid w:val="0090780B"/>
    <w:rsid w:val="009079A2"/>
    <w:rsid w:val="00911E7D"/>
    <w:rsid w:val="009122B0"/>
    <w:rsid w:val="00912634"/>
    <w:rsid w:val="0091287B"/>
    <w:rsid w:val="00912DA1"/>
    <w:rsid w:val="00913843"/>
    <w:rsid w:val="00913C3B"/>
    <w:rsid w:val="009140F2"/>
    <w:rsid w:val="00914A53"/>
    <w:rsid w:val="00915445"/>
    <w:rsid w:val="009161AD"/>
    <w:rsid w:val="009162ED"/>
    <w:rsid w:val="00916959"/>
    <w:rsid w:val="00916AC1"/>
    <w:rsid w:val="009207CA"/>
    <w:rsid w:val="00920972"/>
    <w:rsid w:val="00920B5E"/>
    <w:rsid w:val="00920C5A"/>
    <w:rsid w:val="00920E2E"/>
    <w:rsid w:val="00920E75"/>
    <w:rsid w:val="00920F20"/>
    <w:rsid w:val="00921460"/>
    <w:rsid w:val="00921828"/>
    <w:rsid w:val="00921A30"/>
    <w:rsid w:val="009222A3"/>
    <w:rsid w:val="009222B8"/>
    <w:rsid w:val="009230F7"/>
    <w:rsid w:val="00923AED"/>
    <w:rsid w:val="009247CD"/>
    <w:rsid w:val="00924863"/>
    <w:rsid w:val="00925702"/>
    <w:rsid w:val="00925E54"/>
    <w:rsid w:val="009262B5"/>
    <w:rsid w:val="009265D2"/>
    <w:rsid w:val="00926D48"/>
    <w:rsid w:val="00927FA7"/>
    <w:rsid w:val="00930ACD"/>
    <w:rsid w:val="009318BD"/>
    <w:rsid w:val="009318C2"/>
    <w:rsid w:val="009323A2"/>
    <w:rsid w:val="009328BF"/>
    <w:rsid w:val="00932D03"/>
    <w:rsid w:val="00932DDA"/>
    <w:rsid w:val="00932EDD"/>
    <w:rsid w:val="009342E8"/>
    <w:rsid w:val="00934CDF"/>
    <w:rsid w:val="009359C2"/>
    <w:rsid w:val="0093650E"/>
    <w:rsid w:val="00936C88"/>
    <w:rsid w:val="00937221"/>
    <w:rsid w:val="009375B3"/>
    <w:rsid w:val="00937C09"/>
    <w:rsid w:val="009407C7"/>
    <w:rsid w:val="00941150"/>
    <w:rsid w:val="00941355"/>
    <w:rsid w:val="00941A98"/>
    <w:rsid w:val="00942152"/>
    <w:rsid w:val="00942B88"/>
    <w:rsid w:val="00943647"/>
    <w:rsid w:val="00943B78"/>
    <w:rsid w:val="00943E0D"/>
    <w:rsid w:val="009465A8"/>
    <w:rsid w:val="00946A56"/>
    <w:rsid w:val="0094762F"/>
    <w:rsid w:val="00950F70"/>
    <w:rsid w:val="00951E15"/>
    <w:rsid w:val="00952580"/>
    <w:rsid w:val="009529F1"/>
    <w:rsid w:val="00952E73"/>
    <w:rsid w:val="00952F6C"/>
    <w:rsid w:val="00952FFD"/>
    <w:rsid w:val="009530A1"/>
    <w:rsid w:val="0095325A"/>
    <w:rsid w:val="009537BF"/>
    <w:rsid w:val="0095472E"/>
    <w:rsid w:val="00954B36"/>
    <w:rsid w:val="0095524B"/>
    <w:rsid w:val="0095530D"/>
    <w:rsid w:val="009554BD"/>
    <w:rsid w:val="00955925"/>
    <w:rsid w:val="00955BC6"/>
    <w:rsid w:val="00955D53"/>
    <w:rsid w:val="00955EF9"/>
    <w:rsid w:val="00955F0C"/>
    <w:rsid w:val="009568BA"/>
    <w:rsid w:val="00957109"/>
    <w:rsid w:val="00957256"/>
    <w:rsid w:val="0095734C"/>
    <w:rsid w:val="009578B9"/>
    <w:rsid w:val="00957F91"/>
    <w:rsid w:val="00960022"/>
    <w:rsid w:val="0096093F"/>
    <w:rsid w:val="0096134A"/>
    <w:rsid w:val="009615F4"/>
    <w:rsid w:val="00961869"/>
    <w:rsid w:val="00962184"/>
    <w:rsid w:val="0096301F"/>
    <w:rsid w:val="0096386D"/>
    <w:rsid w:val="00963B00"/>
    <w:rsid w:val="009642AB"/>
    <w:rsid w:val="00964E44"/>
    <w:rsid w:val="00964FE5"/>
    <w:rsid w:val="00965097"/>
    <w:rsid w:val="009658EA"/>
    <w:rsid w:val="009666A9"/>
    <w:rsid w:val="0096728A"/>
    <w:rsid w:val="0096784A"/>
    <w:rsid w:val="00967BAE"/>
    <w:rsid w:val="009709C6"/>
    <w:rsid w:val="00971074"/>
    <w:rsid w:val="0097158E"/>
    <w:rsid w:val="0097191E"/>
    <w:rsid w:val="00972F4F"/>
    <w:rsid w:val="00973718"/>
    <w:rsid w:val="00973E27"/>
    <w:rsid w:val="009742C4"/>
    <w:rsid w:val="00974575"/>
    <w:rsid w:val="00974C4F"/>
    <w:rsid w:val="009751E9"/>
    <w:rsid w:val="00975951"/>
    <w:rsid w:val="009760D0"/>
    <w:rsid w:val="00976D3B"/>
    <w:rsid w:val="009802A8"/>
    <w:rsid w:val="0098051F"/>
    <w:rsid w:val="00980604"/>
    <w:rsid w:val="009807AC"/>
    <w:rsid w:val="00981457"/>
    <w:rsid w:val="009820F0"/>
    <w:rsid w:val="009824CE"/>
    <w:rsid w:val="0098252A"/>
    <w:rsid w:val="00982732"/>
    <w:rsid w:val="009828AD"/>
    <w:rsid w:val="00982C90"/>
    <w:rsid w:val="00982FA8"/>
    <w:rsid w:val="00984A13"/>
    <w:rsid w:val="00984A93"/>
    <w:rsid w:val="00984D0C"/>
    <w:rsid w:val="00985132"/>
    <w:rsid w:val="00985A32"/>
    <w:rsid w:val="009861CF"/>
    <w:rsid w:val="00986DD6"/>
    <w:rsid w:val="00987A62"/>
    <w:rsid w:val="00987C37"/>
    <w:rsid w:val="00987E18"/>
    <w:rsid w:val="00990253"/>
    <w:rsid w:val="009907A9"/>
    <w:rsid w:val="00990896"/>
    <w:rsid w:val="009909A0"/>
    <w:rsid w:val="009913CE"/>
    <w:rsid w:val="00991B90"/>
    <w:rsid w:val="00992B60"/>
    <w:rsid w:val="00992C91"/>
    <w:rsid w:val="0099324C"/>
    <w:rsid w:val="009932E6"/>
    <w:rsid w:val="00993750"/>
    <w:rsid w:val="00993B14"/>
    <w:rsid w:val="00993D75"/>
    <w:rsid w:val="00994478"/>
    <w:rsid w:val="0099525E"/>
    <w:rsid w:val="0099553D"/>
    <w:rsid w:val="00995AB7"/>
    <w:rsid w:val="00995AE1"/>
    <w:rsid w:val="0099694B"/>
    <w:rsid w:val="00997259"/>
    <w:rsid w:val="009A00D8"/>
    <w:rsid w:val="009A0316"/>
    <w:rsid w:val="009A04D3"/>
    <w:rsid w:val="009A0C64"/>
    <w:rsid w:val="009A12DF"/>
    <w:rsid w:val="009A161B"/>
    <w:rsid w:val="009A1F14"/>
    <w:rsid w:val="009A2538"/>
    <w:rsid w:val="009A2623"/>
    <w:rsid w:val="009A3291"/>
    <w:rsid w:val="009A3864"/>
    <w:rsid w:val="009A3E0D"/>
    <w:rsid w:val="009A3FC2"/>
    <w:rsid w:val="009A4967"/>
    <w:rsid w:val="009A5C95"/>
    <w:rsid w:val="009A5E64"/>
    <w:rsid w:val="009A5EAE"/>
    <w:rsid w:val="009A63E4"/>
    <w:rsid w:val="009A6CE3"/>
    <w:rsid w:val="009A7140"/>
    <w:rsid w:val="009A71F4"/>
    <w:rsid w:val="009A72A9"/>
    <w:rsid w:val="009A7E86"/>
    <w:rsid w:val="009B0CC6"/>
    <w:rsid w:val="009B0DEA"/>
    <w:rsid w:val="009B12CC"/>
    <w:rsid w:val="009B13CE"/>
    <w:rsid w:val="009B1694"/>
    <w:rsid w:val="009B2042"/>
    <w:rsid w:val="009B26F2"/>
    <w:rsid w:val="009B2D2A"/>
    <w:rsid w:val="009B37E2"/>
    <w:rsid w:val="009B3D6D"/>
    <w:rsid w:val="009B4B85"/>
    <w:rsid w:val="009B4C4B"/>
    <w:rsid w:val="009B5326"/>
    <w:rsid w:val="009B57F5"/>
    <w:rsid w:val="009B6103"/>
    <w:rsid w:val="009B62DF"/>
    <w:rsid w:val="009B66ED"/>
    <w:rsid w:val="009B6AF1"/>
    <w:rsid w:val="009B6FD6"/>
    <w:rsid w:val="009B7E0B"/>
    <w:rsid w:val="009C0782"/>
    <w:rsid w:val="009C096B"/>
    <w:rsid w:val="009C15B6"/>
    <w:rsid w:val="009C19BB"/>
    <w:rsid w:val="009C35EF"/>
    <w:rsid w:val="009C4103"/>
    <w:rsid w:val="009C4372"/>
    <w:rsid w:val="009C4719"/>
    <w:rsid w:val="009C4CE3"/>
    <w:rsid w:val="009C524E"/>
    <w:rsid w:val="009C6428"/>
    <w:rsid w:val="009C710B"/>
    <w:rsid w:val="009D0534"/>
    <w:rsid w:val="009D09BE"/>
    <w:rsid w:val="009D09E0"/>
    <w:rsid w:val="009D1140"/>
    <w:rsid w:val="009D26F1"/>
    <w:rsid w:val="009D3714"/>
    <w:rsid w:val="009D504C"/>
    <w:rsid w:val="009D52BB"/>
    <w:rsid w:val="009D6042"/>
    <w:rsid w:val="009E033C"/>
    <w:rsid w:val="009E19B0"/>
    <w:rsid w:val="009E25FB"/>
    <w:rsid w:val="009E29EF"/>
    <w:rsid w:val="009E31B9"/>
    <w:rsid w:val="009E32B6"/>
    <w:rsid w:val="009E37BF"/>
    <w:rsid w:val="009E3AD5"/>
    <w:rsid w:val="009E5150"/>
    <w:rsid w:val="009E538E"/>
    <w:rsid w:val="009E6129"/>
    <w:rsid w:val="009E63AE"/>
    <w:rsid w:val="009E7218"/>
    <w:rsid w:val="009E75A9"/>
    <w:rsid w:val="009E7645"/>
    <w:rsid w:val="009E7831"/>
    <w:rsid w:val="009E7C63"/>
    <w:rsid w:val="009E7E60"/>
    <w:rsid w:val="009F0309"/>
    <w:rsid w:val="009F0988"/>
    <w:rsid w:val="009F0E43"/>
    <w:rsid w:val="009F1B7C"/>
    <w:rsid w:val="009F1BC8"/>
    <w:rsid w:val="009F1C1F"/>
    <w:rsid w:val="009F335D"/>
    <w:rsid w:val="009F3DB8"/>
    <w:rsid w:val="009F4D09"/>
    <w:rsid w:val="009F4D9B"/>
    <w:rsid w:val="009F4EE8"/>
    <w:rsid w:val="009F57BC"/>
    <w:rsid w:val="009F585B"/>
    <w:rsid w:val="009F5CBD"/>
    <w:rsid w:val="009F5FC9"/>
    <w:rsid w:val="009F67C5"/>
    <w:rsid w:val="00A002DA"/>
    <w:rsid w:val="00A0060B"/>
    <w:rsid w:val="00A0140B"/>
    <w:rsid w:val="00A0156B"/>
    <w:rsid w:val="00A01BF7"/>
    <w:rsid w:val="00A02B20"/>
    <w:rsid w:val="00A02CC0"/>
    <w:rsid w:val="00A034A2"/>
    <w:rsid w:val="00A03948"/>
    <w:rsid w:val="00A03D9B"/>
    <w:rsid w:val="00A03F36"/>
    <w:rsid w:val="00A04070"/>
    <w:rsid w:val="00A0409D"/>
    <w:rsid w:val="00A04514"/>
    <w:rsid w:val="00A04594"/>
    <w:rsid w:val="00A0511C"/>
    <w:rsid w:val="00A05CF3"/>
    <w:rsid w:val="00A0624F"/>
    <w:rsid w:val="00A0673B"/>
    <w:rsid w:val="00A06BCD"/>
    <w:rsid w:val="00A07007"/>
    <w:rsid w:val="00A0747E"/>
    <w:rsid w:val="00A100B4"/>
    <w:rsid w:val="00A10A0B"/>
    <w:rsid w:val="00A11008"/>
    <w:rsid w:val="00A119A8"/>
    <w:rsid w:val="00A1295A"/>
    <w:rsid w:val="00A12FBC"/>
    <w:rsid w:val="00A142BE"/>
    <w:rsid w:val="00A14456"/>
    <w:rsid w:val="00A146FF"/>
    <w:rsid w:val="00A148AC"/>
    <w:rsid w:val="00A14F4D"/>
    <w:rsid w:val="00A15528"/>
    <w:rsid w:val="00A15AAE"/>
    <w:rsid w:val="00A15CD8"/>
    <w:rsid w:val="00A17376"/>
    <w:rsid w:val="00A2032B"/>
    <w:rsid w:val="00A206D4"/>
    <w:rsid w:val="00A206DE"/>
    <w:rsid w:val="00A207AE"/>
    <w:rsid w:val="00A20D2B"/>
    <w:rsid w:val="00A20DEE"/>
    <w:rsid w:val="00A21310"/>
    <w:rsid w:val="00A21FB4"/>
    <w:rsid w:val="00A22204"/>
    <w:rsid w:val="00A23B6D"/>
    <w:rsid w:val="00A2427B"/>
    <w:rsid w:val="00A24EB5"/>
    <w:rsid w:val="00A259F2"/>
    <w:rsid w:val="00A2670C"/>
    <w:rsid w:val="00A26D34"/>
    <w:rsid w:val="00A26E0D"/>
    <w:rsid w:val="00A2753F"/>
    <w:rsid w:val="00A27713"/>
    <w:rsid w:val="00A30427"/>
    <w:rsid w:val="00A30A36"/>
    <w:rsid w:val="00A30CD3"/>
    <w:rsid w:val="00A315A9"/>
    <w:rsid w:val="00A31BB9"/>
    <w:rsid w:val="00A31DBF"/>
    <w:rsid w:val="00A328A6"/>
    <w:rsid w:val="00A32FBF"/>
    <w:rsid w:val="00A3303F"/>
    <w:rsid w:val="00A3383F"/>
    <w:rsid w:val="00A33BFD"/>
    <w:rsid w:val="00A34941"/>
    <w:rsid w:val="00A34970"/>
    <w:rsid w:val="00A3526A"/>
    <w:rsid w:val="00A37B18"/>
    <w:rsid w:val="00A37FBC"/>
    <w:rsid w:val="00A403B3"/>
    <w:rsid w:val="00A40F70"/>
    <w:rsid w:val="00A41298"/>
    <w:rsid w:val="00A4146B"/>
    <w:rsid w:val="00A41831"/>
    <w:rsid w:val="00A41F74"/>
    <w:rsid w:val="00A420B3"/>
    <w:rsid w:val="00A42147"/>
    <w:rsid w:val="00A422C5"/>
    <w:rsid w:val="00A4248B"/>
    <w:rsid w:val="00A427B6"/>
    <w:rsid w:val="00A43ABC"/>
    <w:rsid w:val="00A44123"/>
    <w:rsid w:val="00A442F8"/>
    <w:rsid w:val="00A45316"/>
    <w:rsid w:val="00A47505"/>
    <w:rsid w:val="00A47586"/>
    <w:rsid w:val="00A47C53"/>
    <w:rsid w:val="00A47C82"/>
    <w:rsid w:val="00A50375"/>
    <w:rsid w:val="00A5039F"/>
    <w:rsid w:val="00A5150B"/>
    <w:rsid w:val="00A52D13"/>
    <w:rsid w:val="00A52D7E"/>
    <w:rsid w:val="00A53F85"/>
    <w:rsid w:val="00A540F5"/>
    <w:rsid w:val="00A54DCB"/>
    <w:rsid w:val="00A54DE5"/>
    <w:rsid w:val="00A550E3"/>
    <w:rsid w:val="00A56130"/>
    <w:rsid w:val="00A56727"/>
    <w:rsid w:val="00A56B8C"/>
    <w:rsid w:val="00A574C9"/>
    <w:rsid w:val="00A579B1"/>
    <w:rsid w:val="00A57DF7"/>
    <w:rsid w:val="00A6060B"/>
    <w:rsid w:val="00A606F0"/>
    <w:rsid w:val="00A6093A"/>
    <w:rsid w:val="00A60BA5"/>
    <w:rsid w:val="00A60E1D"/>
    <w:rsid w:val="00A617D6"/>
    <w:rsid w:val="00A620CB"/>
    <w:rsid w:val="00A64511"/>
    <w:rsid w:val="00A64656"/>
    <w:rsid w:val="00A646DE"/>
    <w:rsid w:val="00A64A61"/>
    <w:rsid w:val="00A64D1A"/>
    <w:rsid w:val="00A651EC"/>
    <w:rsid w:val="00A65999"/>
    <w:rsid w:val="00A65C66"/>
    <w:rsid w:val="00A65CE5"/>
    <w:rsid w:val="00A66003"/>
    <w:rsid w:val="00A66075"/>
    <w:rsid w:val="00A7038B"/>
    <w:rsid w:val="00A7051A"/>
    <w:rsid w:val="00A71665"/>
    <w:rsid w:val="00A719F0"/>
    <w:rsid w:val="00A71BB6"/>
    <w:rsid w:val="00A71ED5"/>
    <w:rsid w:val="00A7252A"/>
    <w:rsid w:val="00A72C38"/>
    <w:rsid w:val="00A72CF9"/>
    <w:rsid w:val="00A730D2"/>
    <w:rsid w:val="00A73665"/>
    <w:rsid w:val="00A73D59"/>
    <w:rsid w:val="00A74796"/>
    <w:rsid w:val="00A74C3E"/>
    <w:rsid w:val="00A74F94"/>
    <w:rsid w:val="00A75500"/>
    <w:rsid w:val="00A75AD0"/>
    <w:rsid w:val="00A76808"/>
    <w:rsid w:val="00A8012A"/>
    <w:rsid w:val="00A8087E"/>
    <w:rsid w:val="00A80E76"/>
    <w:rsid w:val="00A817E7"/>
    <w:rsid w:val="00A81B79"/>
    <w:rsid w:val="00A81E0F"/>
    <w:rsid w:val="00A81E6A"/>
    <w:rsid w:val="00A82D07"/>
    <w:rsid w:val="00A82E6D"/>
    <w:rsid w:val="00A82FFE"/>
    <w:rsid w:val="00A83A0C"/>
    <w:rsid w:val="00A83C5F"/>
    <w:rsid w:val="00A84AD6"/>
    <w:rsid w:val="00A85D63"/>
    <w:rsid w:val="00A86540"/>
    <w:rsid w:val="00A8692B"/>
    <w:rsid w:val="00A86DD0"/>
    <w:rsid w:val="00A8732F"/>
    <w:rsid w:val="00A87F54"/>
    <w:rsid w:val="00A9019E"/>
    <w:rsid w:val="00A90493"/>
    <w:rsid w:val="00A906BB"/>
    <w:rsid w:val="00A90A78"/>
    <w:rsid w:val="00A90E33"/>
    <w:rsid w:val="00A9156B"/>
    <w:rsid w:val="00A91E0D"/>
    <w:rsid w:val="00A922AF"/>
    <w:rsid w:val="00A9292C"/>
    <w:rsid w:val="00A93027"/>
    <w:rsid w:val="00A9373B"/>
    <w:rsid w:val="00A944CB"/>
    <w:rsid w:val="00A94694"/>
    <w:rsid w:val="00A95091"/>
    <w:rsid w:val="00A96BDC"/>
    <w:rsid w:val="00A971C4"/>
    <w:rsid w:val="00AA1603"/>
    <w:rsid w:val="00AA17BF"/>
    <w:rsid w:val="00AA1939"/>
    <w:rsid w:val="00AA1B26"/>
    <w:rsid w:val="00AA1E54"/>
    <w:rsid w:val="00AA2B89"/>
    <w:rsid w:val="00AA3149"/>
    <w:rsid w:val="00AA3B3F"/>
    <w:rsid w:val="00AA3C06"/>
    <w:rsid w:val="00AA3E1B"/>
    <w:rsid w:val="00AA4514"/>
    <w:rsid w:val="00AA4D60"/>
    <w:rsid w:val="00AA5342"/>
    <w:rsid w:val="00AA57A9"/>
    <w:rsid w:val="00AA57C7"/>
    <w:rsid w:val="00AA5E64"/>
    <w:rsid w:val="00AA65B1"/>
    <w:rsid w:val="00AA664D"/>
    <w:rsid w:val="00AA6CB9"/>
    <w:rsid w:val="00AA6FD8"/>
    <w:rsid w:val="00AA7F65"/>
    <w:rsid w:val="00AB00A2"/>
    <w:rsid w:val="00AB029D"/>
    <w:rsid w:val="00AB0537"/>
    <w:rsid w:val="00AB07E6"/>
    <w:rsid w:val="00AB07E7"/>
    <w:rsid w:val="00AB097C"/>
    <w:rsid w:val="00AB0BB4"/>
    <w:rsid w:val="00AB1BB6"/>
    <w:rsid w:val="00AB1DF9"/>
    <w:rsid w:val="00AB1E9E"/>
    <w:rsid w:val="00AB20B0"/>
    <w:rsid w:val="00AB27BF"/>
    <w:rsid w:val="00AB2D14"/>
    <w:rsid w:val="00AB2D70"/>
    <w:rsid w:val="00AB2E99"/>
    <w:rsid w:val="00AB37A1"/>
    <w:rsid w:val="00AB4565"/>
    <w:rsid w:val="00AB5FC5"/>
    <w:rsid w:val="00AB5FE2"/>
    <w:rsid w:val="00AB6528"/>
    <w:rsid w:val="00AB699E"/>
    <w:rsid w:val="00AB6EA5"/>
    <w:rsid w:val="00AB7601"/>
    <w:rsid w:val="00AC1675"/>
    <w:rsid w:val="00AC1706"/>
    <w:rsid w:val="00AC19C3"/>
    <w:rsid w:val="00AC2496"/>
    <w:rsid w:val="00AC29F0"/>
    <w:rsid w:val="00AC2AF3"/>
    <w:rsid w:val="00AC2FA5"/>
    <w:rsid w:val="00AC3FEF"/>
    <w:rsid w:val="00AC40CC"/>
    <w:rsid w:val="00AC445B"/>
    <w:rsid w:val="00AC499B"/>
    <w:rsid w:val="00AC5357"/>
    <w:rsid w:val="00AC552E"/>
    <w:rsid w:val="00AC6B09"/>
    <w:rsid w:val="00AC787A"/>
    <w:rsid w:val="00AC7C14"/>
    <w:rsid w:val="00AD02F3"/>
    <w:rsid w:val="00AD07A9"/>
    <w:rsid w:val="00AD1D68"/>
    <w:rsid w:val="00AD2359"/>
    <w:rsid w:val="00AD2C62"/>
    <w:rsid w:val="00AD3039"/>
    <w:rsid w:val="00AD3CDE"/>
    <w:rsid w:val="00AD459B"/>
    <w:rsid w:val="00AD46BD"/>
    <w:rsid w:val="00AD4A58"/>
    <w:rsid w:val="00AD55BE"/>
    <w:rsid w:val="00AD59C5"/>
    <w:rsid w:val="00AD5CDA"/>
    <w:rsid w:val="00AD5E85"/>
    <w:rsid w:val="00AD6432"/>
    <w:rsid w:val="00AD75E8"/>
    <w:rsid w:val="00AD7C92"/>
    <w:rsid w:val="00AE023C"/>
    <w:rsid w:val="00AE10A4"/>
    <w:rsid w:val="00AE219B"/>
    <w:rsid w:val="00AE2B4C"/>
    <w:rsid w:val="00AE3615"/>
    <w:rsid w:val="00AE3836"/>
    <w:rsid w:val="00AE4210"/>
    <w:rsid w:val="00AE4794"/>
    <w:rsid w:val="00AE66E9"/>
    <w:rsid w:val="00AE6A45"/>
    <w:rsid w:val="00AE6CA1"/>
    <w:rsid w:val="00AE6DB4"/>
    <w:rsid w:val="00AE6DB6"/>
    <w:rsid w:val="00AE718D"/>
    <w:rsid w:val="00AE789A"/>
    <w:rsid w:val="00AE7A8F"/>
    <w:rsid w:val="00AE7DA0"/>
    <w:rsid w:val="00AE7ED3"/>
    <w:rsid w:val="00AF0694"/>
    <w:rsid w:val="00AF0D80"/>
    <w:rsid w:val="00AF142C"/>
    <w:rsid w:val="00AF1B29"/>
    <w:rsid w:val="00AF28F0"/>
    <w:rsid w:val="00AF3350"/>
    <w:rsid w:val="00AF349F"/>
    <w:rsid w:val="00AF48D0"/>
    <w:rsid w:val="00AF4B86"/>
    <w:rsid w:val="00AF4DB3"/>
    <w:rsid w:val="00AF6664"/>
    <w:rsid w:val="00AF672B"/>
    <w:rsid w:val="00AF6911"/>
    <w:rsid w:val="00AF6A13"/>
    <w:rsid w:val="00AF6F87"/>
    <w:rsid w:val="00AF7487"/>
    <w:rsid w:val="00AF7571"/>
    <w:rsid w:val="00B00215"/>
    <w:rsid w:val="00B00A07"/>
    <w:rsid w:val="00B00BF1"/>
    <w:rsid w:val="00B00C7B"/>
    <w:rsid w:val="00B00DD4"/>
    <w:rsid w:val="00B00ED8"/>
    <w:rsid w:val="00B00F3E"/>
    <w:rsid w:val="00B02A29"/>
    <w:rsid w:val="00B02D6A"/>
    <w:rsid w:val="00B03ACE"/>
    <w:rsid w:val="00B03CC8"/>
    <w:rsid w:val="00B0412E"/>
    <w:rsid w:val="00B04672"/>
    <w:rsid w:val="00B05DB1"/>
    <w:rsid w:val="00B07424"/>
    <w:rsid w:val="00B07A09"/>
    <w:rsid w:val="00B10780"/>
    <w:rsid w:val="00B10C35"/>
    <w:rsid w:val="00B1189B"/>
    <w:rsid w:val="00B12671"/>
    <w:rsid w:val="00B12B4F"/>
    <w:rsid w:val="00B12DA4"/>
    <w:rsid w:val="00B12DDB"/>
    <w:rsid w:val="00B131B9"/>
    <w:rsid w:val="00B13D85"/>
    <w:rsid w:val="00B1569D"/>
    <w:rsid w:val="00B1588C"/>
    <w:rsid w:val="00B15CED"/>
    <w:rsid w:val="00B1604C"/>
    <w:rsid w:val="00B166B7"/>
    <w:rsid w:val="00B16746"/>
    <w:rsid w:val="00B1790B"/>
    <w:rsid w:val="00B17C4F"/>
    <w:rsid w:val="00B214A7"/>
    <w:rsid w:val="00B214FC"/>
    <w:rsid w:val="00B2323A"/>
    <w:rsid w:val="00B2345A"/>
    <w:rsid w:val="00B23864"/>
    <w:rsid w:val="00B244DF"/>
    <w:rsid w:val="00B2493E"/>
    <w:rsid w:val="00B24E26"/>
    <w:rsid w:val="00B25070"/>
    <w:rsid w:val="00B257CE"/>
    <w:rsid w:val="00B2694E"/>
    <w:rsid w:val="00B26A92"/>
    <w:rsid w:val="00B27CBE"/>
    <w:rsid w:val="00B300AF"/>
    <w:rsid w:val="00B31397"/>
    <w:rsid w:val="00B3163D"/>
    <w:rsid w:val="00B3221D"/>
    <w:rsid w:val="00B3285E"/>
    <w:rsid w:val="00B33BEA"/>
    <w:rsid w:val="00B3411D"/>
    <w:rsid w:val="00B348C4"/>
    <w:rsid w:val="00B3605A"/>
    <w:rsid w:val="00B36D24"/>
    <w:rsid w:val="00B37AB5"/>
    <w:rsid w:val="00B40128"/>
    <w:rsid w:val="00B40351"/>
    <w:rsid w:val="00B41C10"/>
    <w:rsid w:val="00B42B39"/>
    <w:rsid w:val="00B438B5"/>
    <w:rsid w:val="00B43BCA"/>
    <w:rsid w:val="00B43F80"/>
    <w:rsid w:val="00B44B94"/>
    <w:rsid w:val="00B4533C"/>
    <w:rsid w:val="00B45873"/>
    <w:rsid w:val="00B4590E"/>
    <w:rsid w:val="00B459CD"/>
    <w:rsid w:val="00B45F21"/>
    <w:rsid w:val="00B4629B"/>
    <w:rsid w:val="00B4643F"/>
    <w:rsid w:val="00B46631"/>
    <w:rsid w:val="00B46655"/>
    <w:rsid w:val="00B467C4"/>
    <w:rsid w:val="00B46B8A"/>
    <w:rsid w:val="00B47064"/>
    <w:rsid w:val="00B4715C"/>
    <w:rsid w:val="00B47BB7"/>
    <w:rsid w:val="00B50073"/>
    <w:rsid w:val="00B514E1"/>
    <w:rsid w:val="00B52289"/>
    <w:rsid w:val="00B52675"/>
    <w:rsid w:val="00B52828"/>
    <w:rsid w:val="00B53108"/>
    <w:rsid w:val="00B53B12"/>
    <w:rsid w:val="00B53B76"/>
    <w:rsid w:val="00B5441B"/>
    <w:rsid w:val="00B54919"/>
    <w:rsid w:val="00B54E6E"/>
    <w:rsid w:val="00B55930"/>
    <w:rsid w:val="00B56349"/>
    <w:rsid w:val="00B56EB1"/>
    <w:rsid w:val="00B57037"/>
    <w:rsid w:val="00B57468"/>
    <w:rsid w:val="00B61127"/>
    <w:rsid w:val="00B616A1"/>
    <w:rsid w:val="00B61786"/>
    <w:rsid w:val="00B62EB1"/>
    <w:rsid w:val="00B63539"/>
    <w:rsid w:val="00B63D40"/>
    <w:rsid w:val="00B6445A"/>
    <w:rsid w:val="00B65BB2"/>
    <w:rsid w:val="00B664C9"/>
    <w:rsid w:val="00B66793"/>
    <w:rsid w:val="00B672F3"/>
    <w:rsid w:val="00B674E4"/>
    <w:rsid w:val="00B675E0"/>
    <w:rsid w:val="00B67EBE"/>
    <w:rsid w:val="00B70172"/>
    <w:rsid w:val="00B70B4C"/>
    <w:rsid w:val="00B71476"/>
    <w:rsid w:val="00B71B6E"/>
    <w:rsid w:val="00B725A1"/>
    <w:rsid w:val="00B7299F"/>
    <w:rsid w:val="00B730D4"/>
    <w:rsid w:val="00B731E8"/>
    <w:rsid w:val="00B747D7"/>
    <w:rsid w:val="00B7496A"/>
    <w:rsid w:val="00B752DB"/>
    <w:rsid w:val="00B755E2"/>
    <w:rsid w:val="00B7562F"/>
    <w:rsid w:val="00B763FD"/>
    <w:rsid w:val="00B767A8"/>
    <w:rsid w:val="00B76CEF"/>
    <w:rsid w:val="00B777BD"/>
    <w:rsid w:val="00B77D03"/>
    <w:rsid w:val="00B80575"/>
    <w:rsid w:val="00B80E75"/>
    <w:rsid w:val="00B841C6"/>
    <w:rsid w:val="00B84BF9"/>
    <w:rsid w:val="00B84F02"/>
    <w:rsid w:val="00B84F39"/>
    <w:rsid w:val="00B85394"/>
    <w:rsid w:val="00B85F0C"/>
    <w:rsid w:val="00B8639F"/>
    <w:rsid w:val="00B904CE"/>
    <w:rsid w:val="00B909E6"/>
    <w:rsid w:val="00B90A44"/>
    <w:rsid w:val="00B90B29"/>
    <w:rsid w:val="00B91D1A"/>
    <w:rsid w:val="00B9205C"/>
    <w:rsid w:val="00B92D84"/>
    <w:rsid w:val="00B93596"/>
    <w:rsid w:val="00B936DD"/>
    <w:rsid w:val="00B93865"/>
    <w:rsid w:val="00B9387C"/>
    <w:rsid w:val="00B93D87"/>
    <w:rsid w:val="00B940B6"/>
    <w:rsid w:val="00B94FEB"/>
    <w:rsid w:val="00B95416"/>
    <w:rsid w:val="00B958BC"/>
    <w:rsid w:val="00B95D65"/>
    <w:rsid w:val="00B962D5"/>
    <w:rsid w:val="00B96643"/>
    <w:rsid w:val="00BA0D70"/>
    <w:rsid w:val="00BA105D"/>
    <w:rsid w:val="00BA10FF"/>
    <w:rsid w:val="00BA14AB"/>
    <w:rsid w:val="00BA15C0"/>
    <w:rsid w:val="00BA1DF8"/>
    <w:rsid w:val="00BA1EFD"/>
    <w:rsid w:val="00BA2CF1"/>
    <w:rsid w:val="00BA2DBA"/>
    <w:rsid w:val="00BA2F7F"/>
    <w:rsid w:val="00BA3CA0"/>
    <w:rsid w:val="00BA4270"/>
    <w:rsid w:val="00BA7349"/>
    <w:rsid w:val="00BA73A5"/>
    <w:rsid w:val="00BA73CE"/>
    <w:rsid w:val="00BB0183"/>
    <w:rsid w:val="00BB04E1"/>
    <w:rsid w:val="00BB1AA4"/>
    <w:rsid w:val="00BB2059"/>
    <w:rsid w:val="00BB3737"/>
    <w:rsid w:val="00BB3C5B"/>
    <w:rsid w:val="00BB43BC"/>
    <w:rsid w:val="00BB4F11"/>
    <w:rsid w:val="00BB5019"/>
    <w:rsid w:val="00BB54AC"/>
    <w:rsid w:val="00BB65B0"/>
    <w:rsid w:val="00BB7ADF"/>
    <w:rsid w:val="00BB7E73"/>
    <w:rsid w:val="00BC009C"/>
    <w:rsid w:val="00BC0D96"/>
    <w:rsid w:val="00BC1354"/>
    <w:rsid w:val="00BC14C1"/>
    <w:rsid w:val="00BC23D6"/>
    <w:rsid w:val="00BC258F"/>
    <w:rsid w:val="00BC2CAF"/>
    <w:rsid w:val="00BC36CF"/>
    <w:rsid w:val="00BC3880"/>
    <w:rsid w:val="00BC3E0D"/>
    <w:rsid w:val="00BC4265"/>
    <w:rsid w:val="00BC43D9"/>
    <w:rsid w:val="00BC441E"/>
    <w:rsid w:val="00BC4668"/>
    <w:rsid w:val="00BC4926"/>
    <w:rsid w:val="00BC4A0F"/>
    <w:rsid w:val="00BC4B0B"/>
    <w:rsid w:val="00BC556E"/>
    <w:rsid w:val="00BC5600"/>
    <w:rsid w:val="00BC5923"/>
    <w:rsid w:val="00BC5EF3"/>
    <w:rsid w:val="00BC601C"/>
    <w:rsid w:val="00BC690A"/>
    <w:rsid w:val="00BC6C2E"/>
    <w:rsid w:val="00BC7B3D"/>
    <w:rsid w:val="00BC7C80"/>
    <w:rsid w:val="00BD047D"/>
    <w:rsid w:val="00BD0A66"/>
    <w:rsid w:val="00BD13DD"/>
    <w:rsid w:val="00BD1F43"/>
    <w:rsid w:val="00BD2062"/>
    <w:rsid w:val="00BD25CD"/>
    <w:rsid w:val="00BD2C6C"/>
    <w:rsid w:val="00BD2DC6"/>
    <w:rsid w:val="00BD30AA"/>
    <w:rsid w:val="00BD3595"/>
    <w:rsid w:val="00BD4112"/>
    <w:rsid w:val="00BD5750"/>
    <w:rsid w:val="00BD5AD0"/>
    <w:rsid w:val="00BD5D39"/>
    <w:rsid w:val="00BD66A8"/>
    <w:rsid w:val="00BD6C10"/>
    <w:rsid w:val="00BD7041"/>
    <w:rsid w:val="00BD787A"/>
    <w:rsid w:val="00BD78C5"/>
    <w:rsid w:val="00BD78D6"/>
    <w:rsid w:val="00BD7A76"/>
    <w:rsid w:val="00BE0362"/>
    <w:rsid w:val="00BE0429"/>
    <w:rsid w:val="00BE067C"/>
    <w:rsid w:val="00BE0E76"/>
    <w:rsid w:val="00BE1027"/>
    <w:rsid w:val="00BE117A"/>
    <w:rsid w:val="00BE18D1"/>
    <w:rsid w:val="00BE1FA6"/>
    <w:rsid w:val="00BE2522"/>
    <w:rsid w:val="00BE25DA"/>
    <w:rsid w:val="00BE37A7"/>
    <w:rsid w:val="00BE42B2"/>
    <w:rsid w:val="00BE46A1"/>
    <w:rsid w:val="00BE4859"/>
    <w:rsid w:val="00BE4B8B"/>
    <w:rsid w:val="00BE4DAB"/>
    <w:rsid w:val="00BE4DEA"/>
    <w:rsid w:val="00BE56FE"/>
    <w:rsid w:val="00BE5CCB"/>
    <w:rsid w:val="00BE6399"/>
    <w:rsid w:val="00BE6587"/>
    <w:rsid w:val="00BE7500"/>
    <w:rsid w:val="00BE75E5"/>
    <w:rsid w:val="00BE7BEB"/>
    <w:rsid w:val="00BE7C62"/>
    <w:rsid w:val="00BE7D6E"/>
    <w:rsid w:val="00BF09A7"/>
    <w:rsid w:val="00BF1AF2"/>
    <w:rsid w:val="00BF1C17"/>
    <w:rsid w:val="00BF23F9"/>
    <w:rsid w:val="00BF2799"/>
    <w:rsid w:val="00BF3212"/>
    <w:rsid w:val="00BF382F"/>
    <w:rsid w:val="00BF41D2"/>
    <w:rsid w:val="00BF46D2"/>
    <w:rsid w:val="00BF4728"/>
    <w:rsid w:val="00BF4A3C"/>
    <w:rsid w:val="00BF5027"/>
    <w:rsid w:val="00BF568B"/>
    <w:rsid w:val="00BF56F5"/>
    <w:rsid w:val="00BF7095"/>
    <w:rsid w:val="00BF7D22"/>
    <w:rsid w:val="00C00814"/>
    <w:rsid w:val="00C00E10"/>
    <w:rsid w:val="00C00FC9"/>
    <w:rsid w:val="00C013FF"/>
    <w:rsid w:val="00C01483"/>
    <w:rsid w:val="00C021B5"/>
    <w:rsid w:val="00C024BB"/>
    <w:rsid w:val="00C02C4B"/>
    <w:rsid w:val="00C02DF3"/>
    <w:rsid w:val="00C03849"/>
    <w:rsid w:val="00C03F4B"/>
    <w:rsid w:val="00C045C5"/>
    <w:rsid w:val="00C0504B"/>
    <w:rsid w:val="00C050D9"/>
    <w:rsid w:val="00C055B1"/>
    <w:rsid w:val="00C06DF7"/>
    <w:rsid w:val="00C104D4"/>
    <w:rsid w:val="00C10A54"/>
    <w:rsid w:val="00C10AE9"/>
    <w:rsid w:val="00C11A93"/>
    <w:rsid w:val="00C11C10"/>
    <w:rsid w:val="00C11C93"/>
    <w:rsid w:val="00C11E1C"/>
    <w:rsid w:val="00C11ECC"/>
    <w:rsid w:val="00C121AB"/>
    <w:rsid w:val="00C13DB0"/>
    <w:rsid w:val="00C141F5"/>
    <w:rsid w:val="00C14599"/>
    <w:rsid w:val="00C14D83"/>
    <w:rsid w:val="00C15199"/>
    <w:rsid w:val="00C1520D"/>
    <w:rsid w:val="00C15809"/>
    <w:rsid w:val="00C1776E"/>
    <w:rsid w:val="00C2009A"/>
    <w:rsid w:val="00C20147"/>
    <w:rsid w:val="00C209A6"/>
    <w:rsid w:val="00C20BBB"/>
    <w:rsid w:val="00C20CC9"/>
    <w:rsid w:val="00C20CD8"/>
    <w:rsid w:val="00C20CE8"/>
    <w:rsid w:val="00C20DE4"/>
    <w:rsid w:val="00C21847"/>
    <w:rsid w:val="00C21D67"/>
    <w:rsid w:val="00C21F49"/>
    <w:rsid w:val="00C22405"/>
    <w:rsid w:val="00C2262B"/>
    <w:rsid w:val="00C22761"/>
    <w:rsid w:val="00C22A7C"/>
    <w:rsid w:val="00C22B1F"/>
    <w:rsid w:val="00C23151"/>
    <w:rsid w:val="00C23174"/>
    <w:rsid w:val="00C23D2F"/>
    <w:rsid w:val="00C24B60"/>
    <w:rsid w:val="00C25941"/>
    <w:rsid w:val="00C25C45"/>
    <w:rsid w:val="00C26519"/>
    <w:rsid w:val="00C26733"/>
    <w:rsid w:val="00C2686C"/>
    <w:rsid w:val="00C270F3"/>
    <w:rsid w:val="00C2747A"/>
    <w:rsid w:val="00C30026"/>
    <w:rsid w:val="00C305AF"/>
    <w:rsid w:val="00C3186E"/>
    <w:rsid w:val="00C3257E"/>
    <w:rsid w:val="00C3322F"/>
    <w:rsid w:val="00C33388"/>
    <w:rsid w:val="00C345FC"/>
    <w:rsid w:val="00C3497A"/>
    <w:rsid w:val="00C351F7"/>
    <w:rsid w:val="00C35BD7"/>
    <w:rsid w:val="00C364D5"/>
    <w:rsid w:val="00C37330"/>
    <w:rsid w:val="00C373EC"/>
    <w:rsid w:val="00C37B88"/>
    <w:rsid w:val="00C37CD5"/>
    <w:rsid w:val="00C40202"/>
    <w:rsid w:val="00C40912"/>
    <w:rsid w:val="00C4093D"/>
    <w:rsid w:val="00C40C47"/>
    <w:rsid w:val="00C40F9D"/>
    <w:rsid w:val="00C41821"/>
    <w:rsid w:val="00C41845"/>
    <w:rsid w:val="00C4220E"/>
    <w:rsid w:val="00C425BD"/>
    <w:rsid w:val="00C4397C"/>
    <w:rsid w:val="00C43E9F"/>
    <w:rsid w:val="00C446A5"/>
    <w:rsid w:val="00C44729"/>
    <w:rsid w:val="00C45027"/>
    <w:rsid w:val="00C45154"/>
    <w:rsid w:val="00C4589E"/>
    <w:rsid w:val="00C45E3C"/>
    <w:rsid w:val="00C46E31"/>
    <w:rsid w:val="00C475E2"/>
    <w:rsid w:val="00C479AD"/>
    <w:rsid w:val="00C501D7"/>
    <w:rsid w:val="00C501DA"/>
    <w:rsid w:val="00C5065D"/>
    <w:rsid w:val="00C5079C"/>
    <w:rsid w:val="00C50ABE"/>
    <w:rsid w:val="00C51250"/>
    <w:rsid w:val="00C5200E"/>
    <w:rsid w:val="00C52636"/>
    <w:rsid w:val="00C5339B"/>
    <w:rsid w:val="00C537C9"/>
    <w:rsid w:val="00C538E7"/>
    <w:rsid w:val="00C546D0"/>
    <w:rsid w:val="00C54A89"/>
    <w:rsid w:val="00C56574"/>
    <w:rsid w:val="00C56698"/>
    <w:rsid w:val="00C569D9"/>
    <w:rsid w:val="00C56C51"/>
    <w:rsid w:val="00C570A1"/>
    <w:rsid w:val="00C602C7"/>
    <w:rsid w:val="00C6093E"/>
    <w:rsid w:val="00C60C3E"/>
    <w:rsid w:val="00C60C9D"/>
    <w:rsid w:val="00C6282F"/>
    <w:rsid w:val="00C64A4E"/>
    <w:rsid w:val="00C64DC3"/>
    <w:rsid w:val="00C65094"/>
    <w:rsid w:val="00C651C1"/>
    <w:rsid w:val="00C6526C"/>
    <w:rsid w:val="00C65639"/>
    <w:rsid w:val="00C65A4C"/>
    <w:rsid w:val="00C65B4F"/>
    <w:rsid w:val="00C65C8B"/>
    <w:rsid w:val="00C65F03"/>
    <w:rsid w:val="00C669E8"/>
    <w:rsid w:val="00C66B7D"/>
    <w:rsid w:val="00C670BB"/>
    <w:rsid w:val="00C677B2"/>
    <w:rsid w:val="00C67C07"/>
    <w:rsid w:val="00C7002D"/>
    <w:rsid w:val="00C70BB7"/>
    <w:rsid w:val="00C70CAD"/>
    <w:rsid w:val="00C70FD8"/>
    <w:rsid w:val="00C71948"/>
    <w:rsid w:val="00C71EF1"/>
    <w:rsid w:val="00C7445B"/>
    <w:rsid w:val="00C74937"/>
    <w:rsid w:val="00C74DBE"/>
    <w:rsid w:val="00C750DC"/>
    <w:rsid w:val="00C75F8C"/>
    <w:rsid w:val="00C76121"/>
    <w:rsid w:val="00C77123"/>
    <w:rsid w:val="00C77D9B"/>
    <w:rsid w:val="00C8084E"/>
    <w:rsid w:val="00C80ABB"/>
    <w:rsid w:val="00C81147"/>
    <w:rsid w:val="00C81621"/>
    <w:rsid w:val="00C81F55"/>
    <w:rsid w:val="00C8231F"/>
    <w:rsid w:val="00C82638"/>
    <w:rsid w:val="00C82B20"/>
    <w:rsid w:val="00C8300A"/>
    <w:rsid w:val="00C8315D"/>
    <w:rsid w:val="00C83369"/>
    <w:rsid w:val="00C84AB1"/>
    <w:rsid w:val="00C84E3B"/>
    <w:rsid w:val="00C8529C"/>
    <w:rsid w:val="00C85B8A"/>
    <w:rsid w:val="00C85C42"/>
    <w:rsid w:val="00C86EDC"/>
    <w:rsid w:val="00C9144C"/>
    <w:rsid w:val="00C914A6"/>
    <w:rsid w:val="00C93B61"/>
    <w:rsid w:val="00C93ED2"/>
    <w:rsid w:val="00C94EC5"/>
    <w:rsid w:val="00C9510A"/>
    <w:rsid w:val="00C95772"/>
    <w:rsid w:val="00C95AAE"/>
    <w:rsid w:val="00C95E56"/>
    <w:rsid w:val="00C966BB"/>
    <w:rsid w:val="00C96710"/>
    <w:rsid w:val="00C967B7"/>
    <w:rsid w:val="00CA024D"/>
    <w:rsid w:val="00CA0398"/>
    <w:rsid w:val="00CA2578"/>
    <w:rsid w:val="00CA26DB"/>
    <w:rsid w:val="00CA3E46"/>
    <w:rsid w:val="00CA4CD6"/>
    <w:rsid w:val="00CA5A8C"/>
    <w:rsid w:val="00CA606B"/>
    <w:rsid w:val="00CA6D60"/>
    <w:rsid w:val="00CA6FA4"/>
    <w:rsid w:val="00CA74C7"/>
    <w:rsid w:val="00CA76AD"/>
    <w:rsid w:val="00CA7B00"/>
    <w:rsid w:val="00CA7CBC"/>
    <w:rsid w:val="00CA7F2C"/>
    <w:rsid w:val="00CB0467"/>
    <w:rsid w:val="00CB0504"/>
    <w:rsid w:val="00CB0F04"/>
    <w:rsid w:val="00CB1C4A"/>
    <w:rsid w:val="00CB2236"/>
    <w:rsid w:val="00CB3880"/>
    <w:rsid w:val="00CB3E6C"/>
    <w:rsid w:val="00CB48AE"/>
    <w:rsid w:val="00CB5723"/>
    <w:rsid w:val="00CB6254"/>
    <w:rsid w:val="00CB68DF"/>
    <w:rsid w:val="00CB7C07"/>
    <w:rsid w:val="00CB7C41"/>
    <w:rsid w:val="00CC019F"/>
    <w:rsid w:val="00CC037F"/>
    <w:rsid w:val="00CC101B"/>
    <w:rsid w:val="00CC140F"/>
    <w:rsid w:val="00CC1421"/>
    <w:rsid w:val="00CC1765"/>
    <w:rsid w:val="00CC2984"/>
    <w:rsid w:val="00CC2B80"/>
    <w:rsid w:val="00CC2E4D"/>
    <w:rsid w:val="00CC3389"/>
    <w:rsid w:val="00CC3534"/>
    <w:rsid w:val="00CC3AD4"/>
    <w:rsid w:val="00CC4779"/>
    <w:rsid w:val="00CC546C"/>
    <w:rsid w:val="00CC602B"/>
    <w:rsid w:val="00CC6CD8"/>
    <w:rsid w:val="00CC6EB5"/>
    <w:rsid w:val="00CC7268"/>
    <w:rsid w:val="00CD005A"/>
    <w:rsid w:val="00CD0D49"/>
    <w:rsid w:val="00CD1A82"/>
    <w:rsid w:val="00CD1DCA"/>
    <w:rsid w:val="00CD232E"/>
    <w:rsid w:val="00CD3A71"/>
    <w:rsid w:val="00CD4C17"/>
    <w:rsid w:val="00CD5E13"/>
    <w:rsid w:val="00CD6280"/>
    <w:rsid w:val="00CD6C15"/>
    <w:rsid w:val="00CD6FB7"/>
    <w:rsid w:val="00CD73D9"/>
    <w:rsid w:val="00CE0084"/>
    <w:rsid w:val="00CE0AF0"/>
    <w:rsid w:val="00CE1194"/>
    <w:rsid w:val="00CE1C03"/>
    <w:rsid w:val="00CE29BF"/>
    <w:rsid w:val="00CE304F"/>
    <w:rsid w:val="00CE55A8"/>
    <w:rsid w:val="00CE55B5"/>
    <w:rsid w:val="00CE55D2"/>
    <w:rsid w:val="00CE5C53"/>
    <w:rsid w:val="00CE5F54"/>
    <w:rsid w:val="00CE6609"/>
    <w:rsid w:val="00CE6B2C"/>
    <w:rsid w:val="00CE779F"/>
    <w:rsid w:val="00CE77A3"/>
    <w:rsid w:val="00CE7ACF"/>
    <w:rsid w:val="00CE7AF0"/>
    <w:rsid w:val="00CE7F84"/>
    <w:rsid w:val="00CF0B46"/>
    <w:rsid w:val="00CF1FC0"/>
    <w:rsid w:val="00CF20BE"/>
    <w:rsid w:val="00CF2A85"/>
    <w:rsid w:val="00CF3017"/>
    <w:rsid w:val="00CF3AA6"/>
    <w:rsid w:val="00CF40EF"/>
    <w:rsid w:val="00CF4203"/>
    <w:rsid w:val="00CF428D"/>
    <w:rsid w:val="00CF460B"/>
    <w:rsid w:val="00CF4C11"/>
    <w:rsid w:val="00CF4DB3"/>
    <w:rsid w:val="00CF579E"/>
    <w:rsid w:val="00CF5F29"/>
    <w:rsid w:val="00CF63B2"/>
    <w:rsid w:val="00CF71F7"/>
    <w:rsid w:val="00D003A0"/>
    <w:rsid w:val="00D008B2"/>
    <w:rsid w:val="00D00C73"/>
    <w:rsid w:val="00D014CC"/>
    <w:rsid w:val="00D0251D"/>
    <w:rsid w:val="00D031C3"/>
    <w:rsid w:val="00D032CB"/>
    <w:rsid w:val="00D04C0D"/>
    <w:rsid w:val="00D0690C"/>
    <w:rsid w:val="00D06CDB"/>
    <w:rsid w:val="00D1032B"/>
    <w:rsid w:val="00D10921"/>
    <w:rsid w:val="00D10A73"/>
    <w:rsid w:val="00D13037"/>
    <w:rsid w:val="00D13620"/>
    <w:rsid w:val="00D143A5"/>
    <w:rsid w:val="00D143A7"/>
    <w:rsid w:val="00D15B76"/>
    <w:rsid w:val="00D15F62"/>
    <w:rsid w:val="00D15FD3"/>
    <w:rsid w:val="00D16F48"/>
    <w:rsid w:val="00D20B44"/>
    <w:rsid w:val="00D214A1"/>
    <w:rsid w:val="00D217CF"/>
    <w:rsid w:val="00D21879"/>
    <w:rsid w:val="00D21883"/>
    <w:rsid w:val="00D21D01"/>
    <w:rsid w:val="00D21DD5"/>
    <w:rsid w:val="00D22072"/>
    <w:rsid w:val="00D22922"/>
    <w:rsid w:val="00D23082"/>
    <w:rsid w:val="00D23090"/>
    <w:rsid w:val="00D23109"/>
    <w:rsid w:val="00D231AB"/>
    <w:rsid w:val="00D245DE"/>
    <w:rsid w:val="00D24976"/>
    <w:rsid w:val="00D24A11"/>
    <w:rsid w:val="00D24B01"/>
    <w:rsid w:val="00D24C9A"/>
    <w:rsid w:val="00D2520B"/>
    <w:rsid w:val="00D2568A"/>
    <w:rsid w:val="00D25ACC"/>
    <w:rsid w:val="00D25D28"/>
    <w:rsid w:val="00D26A73"/>
    <w:rsid w:val="00D273FD"/>
    <w:rsid w:val="00D2749C"/>
    <w:rsid w:val="00D275EA"/>
    <w:rsid w:val="00D27773"/>
    <w:rsid w:val="00D27EB5"/>
    <w:rsid w:val="00D3004D"/>
    <w:rsid w:val="00D318A9"/>
    <w:rsid w:val="00D31D78"/>
    <w:rsid w:val="00D31E9C"/>
    <w:rsid w:val="00D31EB7"/>
    <w:rsid w:val="00D32EF7"/>
    <w:rsid w:val="00D35312"/>
    <w:rsid w:val="00D353D0"/>
    <w:rsid w:val="00D35AE0"/>
    <w:rsid w:val="00D35CC2"/>
    <w:rsid w:val="00D35CF8"/>
    <w:rsid w:val="00D35FA2"/>
    <w:rsid w:val="00D3640E"/>
    <w:rsid w:val="00D36668"/>
    <w:rsid w:val="00D36BF4"/>
    <w:rsid w:val="00D375FB"/>
    <w:rsid w:val="00D37AD3"/>
    <w:rsid w:val="00D37FB8"/>
    <w:rsid w:val="00D4003A"/>
    <w:rsid w:val="00D4064B"/>
    <w:rsid w:val="00D419E5"/>
    <w:rsid w:val="00D421CC"/>
    <w:rsid w:val="00D43239"/>
    <w:rsid w:val="00D439ED"/>
    <w:rsid w:val="00D44829"/>
    <w:rsid w:val="00D44989"/>
    <w:rsid w:val="00D44C28"/>
    <w:rsid w:val="00D44DB0"/>
    <w:rsid w:val="00D450F3"/>
    <w:rsid w:val="00D451C9"/>
    <w:rsid w:val="00D456AF"/>
    <w:rsid w:val="00D4599A"/>
    <w:rsid w:val="00D46425"/>
    <w:rsid w:val="00D46428"/>
    <w:rsid w:val="00D46694"/>
    <w:rsid w:val="00D46961"/>
    <w:rsid w:val="00D46E86"/>
    <w:rsid w:val="00D47DC2"/>
    <w:rsid w:val="00D47E2C"/>
    <w:rsid w:val="00D50292"/>
    <w:rsid w:val="00D51216"/>
    <w:rsid w:val="00D5297E"/>
    <w:rsid w:val="00D5451A"/>
    <w:rsid w:val="00D5517C"/>
    <w:rsid w:val="00D554CD"/>
    <w:rsid w:val="00D557A9"/>
    <w:rsid w:val="00D558EC"/>
    <w:rsid w:val="00D56082"/>
    <w:rsid w:val="00D56EE3"/>
    <w:rsid w:val="00D576F1"/>
    <w:rsid w:val="00D60200"/>
    <w:rsid w:val="00D60406"/>
    <w:rsid w:val="00D60680"/>
    <w:rsid w:val="00D61333"/>
    <w:rsid w:val="00D628F9"/>
    <w:rsid w:val="00D62C2F"/>
    <w:rsid w:val="00D6393A"/>
    <w:rsid w:val="00D63B5F"/>
    <w:rsid w:val="00D643B5"/>
    <w:rsid w:val="00D644CE"/>
    <w:rsid w:val="00D6494B"/>
    <w:rsid w:val="00D64F10"/>
    <w:rsid w:val="00D650FC"/>
    <w:rsid w:val="00D65126"/>
    <w:rsid w:val="00D651D8"/>
    <w:rsid w:val="00D65E78"/>
    <w:rsid w:val="00D66C3F"/>
    <w:rsid w:val="00D705ED"/>
    <w:rsid w:val="00D70DB4"/>
    <w:rsid w:val="00D711E6"/>
    <w:rsid w:val="00D717F3"/>
    <w:rsid w:val="00D719AC"/>
    <w:rsid w:val="00D726DC"/>
    <w:rsid w:val="00D72E69"/>
    <w:rsid w:val="00D730A2"/>
    <w:rsid w:val="00D7372D"/>
    <w:rsid w:val="00D7385B"/>
    <w:rsid w:val="00D738B5"/>
    <w:rsid w:val="00D73CE4"/>
    <w:rsid w:val="00D74959"/>
    <w:rsid w:val="00D759C6"/>
    <w:rsid w:val="00D75F2B"/>
    <w:rsid w:val="00D76B9C"/>
    <w:rsid w:val="00D76F46"/>
    <w:rsid w:val="00D776F8"/>
    <w:rsid w:val="00D77CA1"/>
    <w:rsid w:val="00D807C3"/>
    <w:rsid w:val="00D80821"/>
    <w:rsid w:val="00D80A41"/>
    <w:rsid w:val="00D81721"/>
    <w:rsid w:val="00D81827"/>
    <w:rsid w:val="00D81C02"/>
    <w:rsid w:val="00D824AE"/>
    <w:rsid w:val="00D83256"/>
    <w:rsid w:val="00D83C2D"/>
    <w:rsid w:val="00D83F06"/>
    <w:rsid w:val="00D8436F"/>
    <w:rsid w:val="00D85E2B"/>
    <w:rsid w:val="00D90BA3"/>
    <w:rsid w:val="00D90C9B"/>
    <w:rsid w:val="00D9129E"/>
    <w:rsid w:val="00D91FDF"/>
    <w:rsid w:val="00D92103"/>
    <w:rsid w:val="00D9223B"/>
    <w:rsid w:val="00D9285B"/>
    <w:rsid w:val="00D937B2"/>
    <w:rsid w:val="00D93ED3"/>
    <w:rsid w:val="00D94A28"/>
    <w:rsid w:val="00D951D7"/>
    <w:rsid w:val="00D9591B"/>
    <w:rsid w:val="00D95E64"/>
    <w:rsid w:val="00D96215"/>
    <w:rsid w:val="00D96662"/>
    <w:rsid w:val="00D96F89"/>
    <w:rsid w:val="00D97AF5"/>
    <w:rsid w:val="00D97E77"/>
    <w:rsid w:val="00DA0780"/>
    <w:rsid w:val="00DA133C"/>
    <w:rsid w:val="00DA15E9"/>
    <w:rsid w:val="00DA174B"/>
    <w:rsid w:val="00DA1D73"/>
    <w:rsid w:val="00DA202E"/>
    <w:rsid w:val="00DA226A"/>
    <w:rsid w:val="00DA236B"/>
    <w:rsid w:val="00DA2E4E"/>
    <w:rsid w:val="00DA3698"/>
    <w:rsid w:val="00DA3720"/>
    <w:rsid w:val="00DA3E6E"/>
    <w:rsid w:val="00DA3E76"/>
    <w:rsid w:val="00DA4003"/>
    <w:rsid w:val="00DA41C1"/>
    <w:rsid w:val="00DA4324"/>
    <w:rsid w:val="00DA4F17"/>
    <w:rsid w:val="00DA4FA3"/>
    <w:rsid w:val="00DA579B"/>
    <w:rsid w:val="00DA57FA"/>
    <w:rsid w:val="00DA5802"/>
    <w:rsid w:val="00DA65F4"/>
    <w:rsid w:val="00DA6E3D"/>
    <w:rsid w:val="00DA6E71"/>
    <w:rsid w:val="00DA7042"/>
    <w:rsid w:val="00DA720A"/>
    <w:rsid w:val="00DA7333"/>
    <w:rsid w:val="00DA7B76"/>
    <w:rsid w:val="00DB035A"/>
    <w:rsid w:val="00DB0408"/>
    <w:rsid w:val="00DB04FF"/>
    <w:rsid w:val="00DB1239"/>
    <w:rsid w:val="00DB18BC"/>
    <w:rsid w:val="00DB1DFE"/>
    <w:rsid w:val="00DB294D"/>
    <w:rsid w:val="00DB30A3"/>
    <w:rsid w:val="00DB3213"/>
    <w:rsid w:val="00DB33FD"/>
    <w:rsid w:val="00DB381C"/>
    <w:rsid w:val="00DB45CF"/>
    <w:rsid w:val="00DB526B"/>
    <w:rsid w:val="00DB55A8"/>
    <w:rsid w:val="00DB5A18"/>
    <w:rsid w:val="00DB623D"/>
    <w:rsid w:val="00DB6D08"/>
    <w:rsid w:val="00DB71AC"/>
    <w:rsid w:val="00DB785F"/>
    <w:rsid w:val="00DB798C"/>
    <w:rsid w:val="00DB7B26"/>
    <w:rsid w:val="00DB7B45"/>
    <w:rsid w:val="00DC0C65"/>
    <w:rsid w:val="00DC0D70"/>
    <w:rsid w:val="00DC1BA8"/>
    <w:rsid w:val="00DC1D61"/>
    <w:rsid w:val="00DC256F"/>
    <w:rsid w:val="00DC2760"/>
    <w:rsid w:val="00DC31FB"/>
    <w:rsid w:val="00DC344C"/>
    <w:rsid w:val="00DC34EA"/>
    <w:rsid w:val="00DC43A4"/>
    <w:rsid w:val="00DC5074"/>
    <w:rsid w:val="00DC5F26"/>
    <w:rsid w:val="00DC6AFF"/>
    <w:rsid w:val="00DC744C"/>
    <w:rsid w:val="00DC7DE9"/>
    <w:rsid w:val="00DD01A4"/>
    <w:rsid w:val="00DD02B6"/>
    <w:rsid w:val="00DD0656"/>
    <w:rsid w:val="00DD12AE"/>
    <w:rsid w:val="00DD1318"/>
    <w:rsid w:val="00DD27B4"/>
    <w:rsid w:val="00DD33A6"/>
    <w:rsid w:val="00DD3526"/>
    <w:rsid w:val="00DD38D0"/>
    <w:rsid w:val="00DD3EA2"/>
    <w:rsid w:val="00DD414F"/>
    <w:rsid w:val="00DD41D9"/>
    <w:rsid w:val="00DD467D"/>
    <w:rsid w:val="00DD5131"/>
    <w:rsid w:val="00DD5510"/>
    <w:rsid w:val="00DD6657"/>
    <w:rsid w:val="00DD66D6"/>
    <w:rsid w:val="00DD68E1"/>
    <w:rsid w:val="00DD7240"/>
    <w:rsid w:val="00DE1015"/>
    <w:rsid w:val="00DE111E"/>
    <w:rsid w:val="00DE13CE"/>
    <w:rsid w:val="00DE170C"/>
    <w:rsid w:val="00DE1E24"/>
    <w:rsid w:val="00DE208E"/>
    <w:rsid w:val="00DE33F9"/>
    <w:rsid w:val="00DE348A"/>
    <w:rsid w:val="00DE3CEB"/>
    <w:rsid w:val="00DE48FC"/>
    <w:rsid w:val="00DE5BEF"/>
    <w:rsid w:val="00DE5C36"/>
    <w:rsid w:val="00DE78A4"/>
    <w:rsid w:val="00DE7F87"/>
    <w:rsid w:val="00DF0604"/>
    <w:rsid w:val="00DF122E"/>
    <w:rsid w:val="00DF1320"/>
    <w:rsid w:val="00DF1513"/>
    <w:rsid w:val="00DF1B0A"/>
    <w:rsid w:val="00DF1C7C"/>
    <w:rsid w:val="00DF2536"/>
    <w:rsid w:val="00DF329D"/>
    <w:rsid w:val="00DF348B"/>
    <w:rsid w:val="00DF3982"/>
    <w:rsid w:val="00DF3BCE"/>
    <w:rsid w:val="00DF4FCA"/>
    <w:rsid w:val="00DF5199"/>
    <w:rsid w:val="00DF569B"/>
    <w:rsid w:val="00DF59D3"/>
    <w:rsid w:val="00DF5BDD"/>
    <w:rsid w:val="00DF67F0"/>
    <w:rsid w:val="00DF691E"/>
    <w:rsid w:val="00DF7235"/>
    <w:rsid w:val="00DF7344"/>
    <w:rsid w:val="00DF75FD"/>
    <w:rsid w:val="00DF7C25"/>
    <w:rsid w:val="00E00864"/>
    <w:rsid w:val="00E01658"/>
    <w:rsid w:val="00E01B87"/>
    <w:rsid w:val="00E01FC0"/>
    <w:rsid w:val="00E0261E"/>
    <w:rsid w:val="00E028BE"/>
    <w:rsid w:val="00E02FF1"/>
    <w:rsid w:val="00E034DA"/>
    <w:rsid w:val="00E03EA3"/>
    <w:rsid w:val="00E03F42"/>
    <w:rsid w:val="00E0426B"/>
    <w:rsid w:val="00E05D1C"/>
    <w:rsid w:val="00E065DF"/>
    <w:rsid w:val="00E06B35"/>
    <w:rsid w:val="00E07281"/>
    <w:rsid w:val="00E100A2"/>
    <w:rsid w:val="00E10AB5"/>
    <w:rsid w:val="00E10DC3"/>
    <w:rsid w:val="00E11480"/>
    <w:rsid w:val="00E11E59"/>
    <w:rsid w:val="00E11FA6"/>
    <w:rsid w:val="00E1259F"/>
    <w:rsid w:val="00E128F4"/>
    <w:rsid w:val="00E13B09"/>
    <w:rsid w:val="00E13BFC"/>
    <w:rsid w:val="00E13C33"/>
    <w:rsid w:val="00E145B3"/>
    <w:rsid w:val="00E14C9D"/>
    <w:rsid w:val="00E15212"/>
    <w:rsid w:val="00E15BBD"/>
    <w:rsid w:val="00E15E18"/>
    <w:rsid w:val="00E166E6"/>
    <w:rsid w:val="00E178E1"/>
    <w:rsid w:val="00E179EA"/>
    <w:rsid w:val="00E17BAA"/>
    <w:rsid w:val="00E17BF1"/>
    <w:rsid w:val="00E208CB"/>
    <w:rsid w:val="00E21628"/>
    <w:rsid w:val="00E233EF"/>
    <w:rsid w:val="00E23B21"/>
    <w:rsid w:val="00E23F9B"/>
    <w:rsid w:val="00E2421A"/>
    <w:rsid w:val="00E248D7"/>
    <w:rsid w:val="00E24B0D"/>
    <w:rsid w:val="00E25A25"/>
    <w:rsid w:val="00E25BD3"/>
    <w:rsid w:val="00E26387"/>
    <w:rsid w:val="00E26612"/>
    <w:rsid w:val="00E26770"/>
    <w:rsid w:val="00E267F8"/>
    <w:rsid w:val="00E26A86"/>
    <w:rsid w:val="00E276A0"/>
    <w:rsid w:val="00E3021F"/>
    <w:rsid w:val="00E30EBF"/>
    <w:rsid w:val="00E313E2"/>
    <w:rsid w:val="00E3166D"/>
    <w:rsid w:val="00E3203F"/>
    <w:rsid w:val="00E321FF"/>
    <w:rsid w:val="00E33070"/>
    <w:rsid w:val="00E33375"/>
    <w:rsid w:val="00E344F8"/>
    <w:rsid w:val="00E34B16"/>
    <w:rsid w:val="00E34D19"/>
    <w:rsid w:val="00E35562"/>
    <w:rsid w:val="00E3651C"/>
    <w:rsid w:val="00E368B2"/>
    <w:rsid w:val="00E369BC"/>
    <w:rsid w:val="00E37013"/>
    <w:rsid w:val="00E37416"/>
    <w:rsid w:val="00E37994"/>
    <w:rsid w:val="00E400BA"/>
    <w:rsid w:val="00E40333"/>
    <w:rsid w:val="00E41950"/>
    <w:rsid w:val="00E41B11"/>
    <w:rsid w:val="00E420EB"/>
    <w:rsid w:val="00E421B0"/>
    <w:rsid w:val="00E440AC"/>
    <w:rsid w:val="00E44422"/>
    <w:rsid w:val="00E448D6"/>
    <w:rsid w:val="00E44AFD"/>
    <w:rsid w:val="00E44DEC"/>
    <w:rsid w:val="00E44F27"/>
    <w:rsid w:val="00E44F46"/>
    <w:rsid w:val="00E45202"/>
    <w:rsid w:val="00E454BD"/>
    <w:rsid w:val="00E46249"/>
    <w:rsid w:val="00E469DF"/>
    <w:rsid w:val="00E47381"/>
    <w:rsid w:val="00E47B78"/>
    <w:rsid w:val="00E50151"/>
    <w:rsid w:val="00E50A5E"/>
    <w:rsid w:val="00E513E3"/>
    <w:rsid w:val="00E516B1"/>
    <w:rsid w:val="00E5230C"/>
    <w:rsid w:val="00E52573"/>
    <w:rsid w:val="00E52D70"/>
    <w:rsid w:val="00E52ECA"/>
    <w:rsid w:val="00E536BB"/>
    <w:rsid w:val="00E551DC"/>
    <w:rsid w:val="00E5561E"/>
    <w:rsid w:val="00E556F1"/>
    <w:rsid w:val="00E55898"/>
    <w:rsid w:val="00E55A0F"/>
    <w:rsid w:val="00E56075"/>
    <w:rsid w:val="00E5636B"/>
    <w:rsid w:val="00E564D8"/>
    <w:rsid w:val="00E57EED"/>
    <w:rsid w:val="00E57FA9"/>
    <w:rsid w:val="00E605F4"/>
    <w:rsid w:val="00E606A8"/>
    <w:rsid w:val="00E60ADA"/>
    <w:rsid w:val="00E61335"/>
    <w:rsid w:val="00E619CB"/>
    <w:rsid w:val="00E61C1D"/>
    <w:rsid w:val="00E620F8"/>
    <w:rsid w:val="00E62480"/>
    <w:rsid w:val="00E62BEC"/>
    <w:rsid w:val="00E62FD6"/>
    <w:rsid w:val="00E64257"/>
    <w:rsid w:val="00E650A1"/>
    <w:rsid w:val="00E6514F"/>
    <w:rsid w:val="00E655E8"/>
    <w:rsid w:val="00E65897"/>
    <w:rsid w:val="00E65A9E"/>
    <w:rsid w:val="00E66451"/>
    <w:rsid w:val="00E666D5"/>
    <w:rsid w:val="00E66A7C"/>
    <w:rsid w:val="00E6739F"/>
    <w:rsid w:val="00E70D88"/>
    <w:rsid w:val="00E71211"/>
    <w:rsid w:val="00E71CC2"/>
    <w:rsid w:val="00E72402"/>
    <w:rsid w:val="00E72695"/>
    <w:rsid w:val="00E72917"/>
    <w:rsid w:val="00E72F02"/>
    <w:rsid w:val="00E73611"/>
    <w:rsid w:val="00E73ACC"/>
    <w:rsid w:val="00E7405F"/>
    <w:rsid w:val="00E747AD"/>
    <w:rsid w:val="00E757C2"/>
    <w:rsid w:val="00E762E4"/>
    <w:rsid w:val="00E76E05"/>
    <w:rsid w:val="00E77154"/>
    <w:rsid w:val="00E773D9"/>
    <w:rsid w:val="00E8056E"/>
    <w:rsid w:val="00E80582"/>
    <w:rsid w:val="00E815AF"/>
    <w:rsid w:val="00E82A06"/>
    <w:rsid w:val="00E83C9F"/>
    <w:rsid w:val="00E841C2"/>
    <w:rsid w:val="00E851EA"/>
    <w:rsid w:val="00E859BA"/>
    <w:rsid w:val="00E85B80"/>
    <w:rsid w:val="00E85CBD"/>
    <w:rsid w:val="00E8653C"/>
    <w:rsid w:val="00E86C22"/>
    <w:rsid w:val="00E86E92"/>
    <w:rsid w:val="00E8722A"/>
    <w:rsid w:val="00E87324"/>
    <w:rsid w:val="00E87B24"/>
    <w:rsid w:val="00E90AA7"/>
    <w:rsid w:val="00E91D84"/>
    <w:rsid w:val="00E92C7A"/>
    <w:rsid w:val="00E937C3"/>
    <w:rsid w:val="00E93CA9"/>
    <w:rsid w:val="00E9463D"/>
    <w:rsid w:val="00E94C43"/>
    <w:rsid w:val="00E95817"/>
    <w:rsid w:val="00E95D3F"/>
    <w:rsid w:val="00E96280"/>
    <w:rsid w:val="00E96A94"/>
    <w:rsid w:val="00E97099"/>
    <w:rsid w:val="00E9770C"/>
    <w:rsid w:val="00EA09B9"/>
    <w:rsid w:val="00EA0DE5"/>
    <w:rsid w:val="00EA1AB8"/>
    <w:rsid w:val="00EA26DF"/>
    <w:rsid w:val="00EA370F"/>
    <w:rsid w:val="00EA3CC8"/>
    <w:rsid w:val="00EA3D4F"/>
    <w:rsid w:val="00EA50D8"/>
    <w:rsid w:val="00EA542E"/>
    <w:rsid w:val="00EA691C"/>
    <w:rsid w:val="00EA76B6"/>
    <w:rsid w:val="00EA7AEE"/>
    <w:rsid w:val="00EA7FC7"/>
    <w:rsid w:val="00EB01EE"/>
    <w:rsid w:val="00EB0FD9"/>
    <w:rsid w:val="00EB1161"/>
    <w:rsid w:val="00EB15E3"/>
    <w:rsid w:val="00EB1881"/>
    <w:rsid w:val="00EB1F8B"/>
    <w:rsid w:val="00EB2275"/>
    <w:rsid w:val="00EB26A3"/>
    <w:rsid w:val="00EB2951"/>
    <w:rsid w:val="00EB2B22"/>
    <w:rsid w:val="00EB2DBF"/>
    <w:rsid w:val="00EB31E5"/>
    <w:rsid w:val="00EB394E"/>
    <w:rsid w:val="00EB3C41"/>
    <w:rsid w:val="00EB3FD9"/>
    <w:rsid w:val="00EB42D1"/>
    <w:rsid w:val="00EB4607"/>
    <w:rsid w:val="00EB567B"/>
    <w:rsid w:val="00EB5859"/>
    <w:rsid w:val="00EB5A5E"/>
    <w:rsid w:val="00EB5D02"/>
    <w:rsid w:val="00EB6F6C"/>
    <w:rsid w:val="00EB707B"/>
    <w:rsid w:val="00EB7907"/>
    <w:rsid w:val="00EC073C"/>
    <w:rsid w:val="00EC12A3"/>
    <w:rsid w:val="00EC1669"/>
    <w:rsid w:val="00EC1BDA"/>
    <w:rsid w:val="00EC1E79"/>
    <w:rsid w:val="00EC32ED"/>
    <w:rsid w:val="00EC3D1B"/>
    <w:rsid w:val="00EC4451"/>
    <w:rsid w:val="00EC45B3"/>
    <w:rsid w:val="00EC5672"/>
    <w:rsid w:val="00EC5FF3"/>
    <w:rsid w:val="00EC60BF"/>
    <w:rsid w:val="00EC67B4"/>
    <w:rsid w:val="00EC6A24"/>
    <w:rsid w:val="00EC6F6D"/>
    <w:rsid w:val="00EC7960"/>
    <w:rsid w:val="00EC7D15"/>
    <w:rsid w:val="00ED19FF"/>
    <w:rsid w:val="00ED25A7"/>
    <w:rsid w:val="00ED2B13"/>
    <w:rsid w:val="00ED2C27"/>
    <w:rsid w:val="00ED3CE1"/>
    <w:rsid w:val="00ED51DF"/>
    <w:rsid w:val="00ED579B"/>
    <w:rsid w:val="00ED58A2"/>
    <w:rsid w:val="00ED5FCA"/>
    <w:rsid w:val="00ED60FC"/>
    <w:rsid w:val="00ED6CAA"/>
    <w:rsid w:val="00ED756E"/>
    <w:rsid w:val="00EE0020"/>
    <w:rsid w:val="00EE05AE"/>
    <w:rsid w:val="00EE12C2"/>
    <w:rsid w:val="00EE246E"/>
    <w:rsid w:val="00EE257D"/>
    <w:rsid w:val="00EE2F9B"/>
    <w:rsid w:val="00EE35C8"/>
    <w:rsid w:val="00EE3623"/>
    <w:rsid w:val="00EE3657"/>
    <w:rsid w:val="00EE3A3E"/>
    <w:rsid w:val="00EE4670"/>
    <w:rsid w:val="00EE577C"/>
    <w:rsid w:val="00EE5FB6"/>
    <w:rsid w:val="00EE659B"/>
    <w:rsid w:val="00EE77CD"/>
    <w:rsid w:val="00EE783E"/>
    <w:rsid w:val="00EE7C33"/>
    <w:rsid w:val="00EF05BB"/>
    <w:rsid w:val="00EF0CCA"/>
    <w:rsid w:val="00EF0F14"/>
    <w:rsid w:val="00EF221D"/>
    <w:rsid w:val="00EF3020"/>
    <w:rsid w:val="00EF3260"/>
    <w:rsid w:val="00EF40C7"/>
    <w:rsid w:val="00EF4AA0"/>
    <w:rsid w:val="00EF4B52"/>
    <w:rsid w:val="00EF4F2D"/>
    <w:rsid w:val="00EF668A"/>
    <w:rsid w:val="00EF6E44"/>
    <w:rsid w:val="00EF77A2"/>
    <w:rsid w:val="00F0036B"/>
    <w:rsid w:val="00F011B0"/>
    <w:rsid w:val="00F02864"/>
    <w:rsid w:val="00F02A02"/>
    <w:rsid w:val="00F02CDD"/>
    <w:rsid w:val="00F03D9E"/>
    <w:rsid w:val="00F03E64"/>
    <w:rsid w:val="00F04137"/>
    <w:rsid w:val="00F0422B"/>
    <w:rsid w:val="00F04A85"/>
    <w:rsid w:val="00F0527B"/>
    <w:rsid w:val="00F05787"/>
    <w:rsid w:val="00F05802"/>
    <w:rsid w:val="00F05F75"/>
    <w:rsid w:val="00F0660C"/>
    <w:rsid w:val="00F06AE7"/>
    <w:rsid w:val="00F06F8D"/>
    <w:rsid w:val="00F0713B"/>
    <w:rsid w:val="00F07A48"/>
    <w:rsid w:val="00F101C7"/>
    <w:rsid w:val="00F10D7C"/>
    <w:rsid w:val="00F10DB2"/>
    <w:rsid w:val="00F11BE5"/>
    <w:rsid w:val="00F12D82"/>
    <w:rsid w:val="00F12E3E"/>
    <w:rsid w:val="00F12EA0"/>
    <w:rsid w:val="00F12FDD"/>
    <w:rsid w:val="00F13066"/>
    <w:rsid w:val="00F13A74"/>
    <w:rsid w:val="00F14019"/>
    <w:rsid w:val="00F15235"/>
    <w:rsid w:val="00F153DE"/>
    <w:rsid w:val="00F15B95"/>
    <w:rsid w:val="00F15F8D"/>
    <w:rsid w:val="00F1630C"/>
    <w:rsid w:val="00F167B6"/>
    <w:rsid w:val="00F16CEA"/>
    <w:rsid w:val="00F17DA5"/>
    <w:rsid w:val="00F17ED6"/>
    <w:rsid w:val="00F20659"/>
    <w:rsid w:val="00F20A4F"/>
    <w:rsid w:val="00F211F6"/>
    <w:rsid w:val="00F2128D"/>
    <w:rsid w:val="00F2180E"/>
    <w:rsid w:val="00F219B8"/>
    <w:rsid w:val="00F22291"/>
    <w:rsid w:val="00F22778"/>
    <w:rsid w:val="00F228AA"/>
    <w:rsid w:val="00F22ABC"/>
    <w:rsid w:val="00F23A04"/>
    <w:rsid w:val="00F2510D"/>
    <w:rsid w:val="00F253AD"/>
    <w:rsid w:val="00F25721"/>
    <w:rsid w:val="00F267BF"/>
    <w:rsid w:val="00F26A18"/>
    <w:rsid w:val="00F26AA5"/>
    <w:rsid w:val="00F278EE"/>
    <w:rsid w:val="00F279E0"/>
    <w:rsid w:val="00F27B0E"/>
    <w:rsid w:val="00F27C09"/>
    <w:rsid w:val="00F3054D"/>
    <w:rsid w:val="00F30CB9"/>
    <w:rsid w:val="00F3186A"/>
    <w:rsid w:val="00F3189D"/>
    <w:rsid w:val="00F319B6"/>
    <w:rsid w:val="00F31A05"/>
    <w:rsid w:val="00F322B0"/>
    <w:rsid w:val="00F32799"/>
    <w:rsid w:val="00F33D68"/>
    <w:rsid w:val="00F34D0D"/>
    <w:rsid w:val="00F34F5A"/>
    <w:rsid w:val="00F36BFA"/>
    <w:rsid w:val="00F37CFF"/>
    <w:rsid w:val="00F40586"/>
    <w:rsid w:val="00F41038"/>
    <w:rsid w:val="00F41DE8"/>
    <w:rsid w:val="00F44252"/>
    <w:rsid w:val="00F46415"/>
    <w:rsid w:val="00F46425"/>
    <w:rsid w:val="00F4704B"/>
    <w:rsid w:val="00F472B2"/>
    <w:rsid w:val="00F4773A"/>
    <w:rsid w:val="00F47EF9"/>
    <w:rsid w:val="00F50A64"/>
    <w:rsid w:val="00F50BAF"/>
    <w:rsid w:val="00F50BCD"/>
    <w:rsid w:val="00F51163"/>
    <w:rsid w:val="00F5121C"/>
    <w:rsid w:val="00F514E8"/>
    <w:rsid w:val="00F51ABC"/>
    <w:rsid w:val="00F51ED6"/>
    <w:rsid w:val="00F5236B"/>
    <w:rsid w:val="00F52EA3"/>
    <w:rsid w:val="00F53169"/>
    <w:rsid w:val="00F541C3"/>
    <w:rsid w:val="00F5442F"/>
    <w:rsid w:val="00F54A97"/>
    <w:rsid w:val="00F54EEC"/>
    <w:rsid w:val="00F5567F"/>
    <w:rsid w:val="00F56AA5"/>
    <w:rsid w:val="00F575D3"/>
    <w:rsid w:val="00F579C8"/>
    <w:rsid w:val="00F603A0"/>
    <w:rsid w:val="00F60FF2"/>
    <w:rsid w:val="00F613BD"/>
    <w:rsid w:val="00F61613"/>
    <w:rsid w:val="00F616F4"/>
    <w:rsid w:val="00F61E4E"/>
    <w:rsid w:val="00F62A98"/>
    <w:rsid w:val="00F62BFC"/>
    <w:rsid w:val="00F62DC9"/>
    <w:rsid w:val="00F63606"/>
    <w:rsid w:val="00F645B6"/>
    <w:rsid w:val="00F648FC"/>
    <w:rsid w:val="00F65446"/>
    <w:rsid w:val="00F654A8"/>
    <w:rsid w:val="00F65787"/>
    <w:rsid w:val="00F661CE"/>
    <w:rsid w:val="00F661DB"/>
    <w:rsid w:val="00F6709A"/>
    <w:rsid w:val="00F7118B"/>
    <w:rsid w:val="00F71D65"/>
    <w:rsid w:val="00F71F4D"/>
    <w:rsid w:val="00F7298A"/>
    <w:rsid w:val="00F72D18"/>
    <w:rsid w:val="00F74042"/>
    <w:rsid w:val="00F74939"/>
    <w:rsid w:val="00F75045"/>
    <w:rsid w:val="00F75675"/>
    <w:rsid w:val="00F76BC7"/>
    <w:rsid w:val="00F76BF7"/>
    <w:rsid w:val="00F8088C"/>
    <w:rsid w:val="00F8120E"/>
    <w:rsid w:val="00F813C6"/>
    <w:rsid w:val="00F8150C"/>
    <w:rsid w:val="00F821B9"/>
    <w:rsid w:val="00F82483"/>
    <w:rsid w:val="00F82C12"/>
    <w:rsid w:val="00F83FBF"/>
    <w:rsid w:val="00F84E4D"/>
    <w:rsid w:val="00F8595B"/>
    <w:rsid w:val="00F863C7"/>
    <w:rsid w:val="00F86932"/>
    <w:rsid w:val="00F86BE5"/>
    <w:rsid w:val="00F87947"/>
    <w:rsid w:val="00F87D1A"/>
    <w:rsid w:val="00F900E9"/>
    <w:rsid w:val="00F9099C"/>
    <w:rsid w:val="00F91DB8"/>
    <w:rsid w:val="00F91ECE"/>
    <w:rsid w:val="00F91F41"/>
    <w:rsid w:val="00F91F5D"/>
    <w:rsid w:val="00F92088"/>
    <w:rsid w:val="00F920F6"/>
    <w:rsid w:val="00F923DF"/>
    <w:rsid w:val="00F92A95"/>
    <w:rsid w:val="00F94D8C"/>
    <w:rsid w:val="00F951AB"/>
    <w:rsid w:val="00F959BB"/>
    <w:rsid w:val="00F96813"/>
    <w:rsid w:val="00F972CC"/>
    <w:rsid w:val="00F97B66"/>
    <w:rsid w:val="00F97B82"/>
    <w:rsid w:val="00FA01F6"/>
    <w:rsid w:val="00FA0580"/>
    <w:rsid w:val="00FA0BEC"/>
    <w:rsid w:val="00FA0FF6"/>
    <w:rsid w:val="00FA1389"/>
    <w:rsid w:val="00FA1672"/>
    <w:rsid w:val="00FA1720"/>
    <w:rsid w:val="00FA1B97"/>
    <w:rsid w:val="00FA1BE4"/>
    <w:rsid w:val="00FA1BF0"/>
    <w:rsid w:val="00FA334A"/>
    <w:rsid w:val="00FA3933"/>
    <w:rsid w:val="00FA439A"/>
    <w:rsid w:val="00FA4653"/>
    <w:rsid w:val="00FA4663"/>
    <w:rsid w:val="00FA5BF2"/>
    <w:rsid w:val="00FA5C6B"/>
    <w:rsid w:val="00FA701F"/>
    <w:rsid w:val="00FB04A6"/>
    <w:rsid w:val="00FB06B4"/>
    <w:rsid w:val="00FB08A2"/>
    <w:rsid w:val="00FB090D"/>
    <w:rsid w:val="00FB1568"/>
    <w:rsid w:val="00FB1A60"/>
    <w:rsid w:val="00FB1D60"/>
    <w:rsid w:val="00FB1DF3"/>
    <w:rsid w:val="00FB20E1"/>
    <w:rsid w:val="00FB26E2"/>
    <w:rsid w:val="00FB27D9"/>
    <w:rsid w:val="00FB2E2F"/>
    <w:rsid w:val="00FB3B4B"/>
    <w:rsid w:val="00FB3DF8"/>
    <w:rsid w:val="00FB4101"/>
    <w:rsid w:val="00FB4151"/>
    <w:rsid w:val="00FB4C7D"/>
    <w:rsid w:val="00FB4F4A"/>
    <w:rsid w:val="00FB5EB7"/>
    <w:rsid w:val="00FB64F2"/>
    <w:rsid w:val="00FB666E"/>
    <w:rsid w:val="00FB753E"/>
    <w:rsid w:val="00FC002C"/>
    <w:rsid w:val="00FC01E2"/>
    <w:rsid w:val="00FC138E"/>
    <w:rsid w:val="00FC3734"/>
    <w:rsid w:val="00FC48EA"/>
    <w:rsid w:val="00FC4EEE"/>
    <w:rsid w:val="00FC5BA2"/>
    <w:rsid w:val="00FC690A"/>
    <w:rsid w:val="00FC6B66"/>
    <w:rsid w:val="00FC79BD"/>
    <w:rsid w:val="00FC79CB"/>
    <w:rsid w:val="00FC7C8C"/>
    <w:rsid w:val="00FC7FD5"/>
    <w:rsid w:val="00FD00B1"/>
    <w:rsid w:val="00FD0480"/>
    <w:rsid w:val="00FD20E4"/>
    <w:rsid w:val="00FD255F"/>
    <w:rsid w:val="00FD27BA"/>
    <w:rsid w:val="00FD3B57"/>
    <w:rsid w:val="00FD53E7"/>
    <w:rsid w:val="00FD673E"/>
    <w:rsid w:val="00FE02E7"/>
    <w:rsid w:val="00FE0A41"/>
    <w:rsid w:val="00FE1C5B"/>
    <w:rsid w:val="00FE2063"/>
    <w:rsid w:val="00FE2120"/>
    <w:rsid w:val="00FE27CB"/>
    <w:rsid w:val="00FE2996"/>
    <w:rsid w:val="00FE3395"/>
    <w:rsid w:val="00FE3EB2"/>
    <w:rsid w:val="00FE3F9D"/>
    <w:rsid w:val="00FE448D"/>
    <w:rsid w:val="00FE4B97"/>
    <w:rsid w:val="00FE54A8"/>
    <w:rsid w:val="00FE57B2"/>
    <w:rsid w:val="00FE5836"/>
    <w:rsid w:val="00FE5926"/>
    <w:rsid w:val="00FE5D84"/>
    <w:rsid w:val="00FE5E17"/>
    <w:rsid w:val="00FE644B"/>
    <w:rsid w:val="00FE6A40"/>
    <w:rsid w:val="00FE6AB2"/>
    <w:rsid w:val="00FE70B7"/>
    <w:rsid w:val="00FF02A6"/>
    <w:rsid w:val="00FF0412"/>
    <w:rsid w:val="00FF06CF"/>
    <w:rsid w:val="00FF0787"/>
    <w:rsid w:val="00FF0C03"/>
    <w:rsid w:val="00FF0FD2"/>
    <w:rsid w:val="00FF1155"/>
    <w:rsid w:val="00FF1C29"/>
    <w:rsid w:val="00FF2A40"/>
    <w:rsid w:val="00FF2B16"/>
    <w:rsid w:val="00FF2B2E"/>
    <w:rsid w:val="00FF2EDE"/>
    <w:rsid w:val="00FF3A21"/>
    <w:rsid w:val="00FF3B3D"/>
    <w:rsid w:val="00FF492C"/>
    <w:rsid w:val="00FF5970"/>
    <w:rsid w:val="00FF5A9D"/>
    <w:rsid w:val="00FF6626"/>
    <w:rsid w:val="00FF754C"/>
    <w:rsid w:val="00FF78F1"/>
    <w:rsid w:val="00FF7D48"/>
    <w:rsid w:val="0107BF11"/>
    <w:rsid w:val="010ABF9D"/>
    <w:rsid w:val="010AE45A"/>
    <w:rsid w:val="011645DA"/>
    <w:rsid w:val="01223C9C"/>
    <w:rsid w:val="013974FA"/>
    <w:rsid w:val="013BCB15"/>
    <w:rsid w:val="01420460"/>
    <w:rsid w:val="015B06E2"/>
    <w:rsid w:val="019EA5C6"/>
    <w:rsid w:val="01D2AB79"/>
    <w:rsid w:val="01F42680"/>
    <w:rsid w:val="01FF5C61"/>
    <w:rsid w:val="020DAE8C"/>
    <w:rsid w:val="0216CA24"/>
    <w:rsid w:val="024A4701"/>
    <w:rsid w:val="026AB7F4"/>
    <w:rsid w:val="0283AEE9"/>
    <w:rsid w:val="02F3C804"/>
    <w:rsid w:val="02FC38D4"/>
    <w:rsid w:val="03053471"/>
    <w:rsid w:val="030D19A2"/>
    <w:rsid w:val="0315EA75"/>
    <w:rsid w:val="031A403A"/>
    <w:rsid w:val="031F21D0"/>
    <w:rsid w:val="033176FA"/>
    <w:rsid w:val="038BF4AA"/>
    <w:rsid w:val="0392FB0F"/>
    <w:rsid w:val="03C803F5"/>
    <w:rsid w:val="03FEB59D"/>
    <w:rsid w:val="0401F7DF"/>
    <w:rsid w:val="040474D4"/>
    <w:rsid w:val="0455606E"/>
    <w:rsid w:val="0463CCF9"/>
    <w:rsid w:val="048E4886"/>
    <w:rsid w:val="04978C42"/>
    <w:rsid w:val="049A6056"/>
    <w:rsid w:val="049FE8CA"/>
    <w:rsid w:val="04AD11E7"/>
    <w:rsid w:val="04AE16BB"/>
    <w:rsid w:val="04BD97BB"/>
    <w:rsid w:val="04C1432B"/>
    <w:rsid w:val="04C45377"/>
    <w:rsid w:val="04C66783"/>
    <w:rsid w:val="04E263D0"/>
    <w:rsid w:val="04F5EAA9"/>
    <w:rsid w:val="05031F5F"/>
    <w:rsid w:val="050F5714"/>
    <w:rsid w:val="051BBBCF"/>
    <w:rsid w:val="052F31D5"/>
    <w:rsid w:val="053C57BA"/>
    <w:rsid w:val="059397DD"/>
    <w:rsid w:val="05B9341C"/>
    <w:rsid w:val="05C5ED3B"/>
    <w:rsid w:val="05E4C14E"/>
    <w:rsid w:val="06004881"/>
    <w:rsid w:val="0601D78A"/>
    <w:rsid w:val="061AA61B"/>
    <w:rsid w:val="0621DCA2"/>
    <w:rsid w:val="0634DCB6"/>
    <w:rsid w:val="0641931D"/>
    <w:rsid w:val="0647F3B5"/>
    <w:rsid w:val="065EE660"/>
    <w:rsid w:val="06969994"/>
    <w:rsid w:val="06F1257E"/>
    <w:rsid w:val="071E292E"/>
    <w:rsid w:val="071F8CC6"/>
    <w:rsid w:val="073206AB"/>
    <w:rsid w:val="0751968A"/>
    <w:rsid w:val="0752F9DB"/>
    <w:rsid w:val="07649FD3"/>
    <w:rsid w:val="0779EA90"/>
    <w:rsid w:val="07882E73"/>
    <w:rsid w:val="07A7ECFE"/>
    <w:rsid w:val="07C93A9B"/>
    <w:rsid w:val="07D4036C"/>
    <w:rsid w:val="07DAD1D9"/>
    <w:rsid w:val="07FBBA6B"/>
    <w:rsid w:val="080C1FB4"/>
    <w:rsid w:val="081DCC28"/>
    <w:rsid w:val="082BAD02"/>
    <w:rsid w:val="083D7A95"/>
    <w:rsid w:val="08B2B42C"/>
    <w:rsid w:val="08B41D5B"/>
    <w:rsid w:val="08B9562D"/>
    <w:rsid w:val="08C389E6"/>
    <w:rsid w:val="08ECEFB0"/>
    <w:rsid w:val="08F4F6D9"/>
    <w:rsid w:val="0908EF6C"/>
    <w:rsid w:val="09555764"/>
    <w:rsid w:val="096F4114"/>
    <w:rsid w:val="0976A9D5"/>
    <w:rsid w:val="09AFAFDD"/>
    <w:rsid w:val="09C8D83A"/>
    <w:rsid w:val="09D435B2"/>
    <w:rsid w:val="0A167D5C"/>
    <w:rsid w:val="0A171F34"/>
    <w:rsid w:val="0A2A5E5B"/>
    <w:rsid w:val="0A3CEA4F"/>
    <w:rsid w:val="0A4723EA"/>
    <w:rsid w:val="0A60AD7E"/>
    <w:rsid w:val="0A757F0D"/>
    <w:rsid w:val="0A797CF4"/>
    <w:rsid w:val="0A79FB9B"/>
    <w:rsid w:val="0A98EE8D"/>
    <w:rsid w:val="0ABBBF20"/>
    <w:rsid w:val="0AC18AD8"/>
    <w:rsid w:val="0AEEFEE0"/>
    <w:rsid w:val="0B042A92"/>
    <w:rsid w:val="0B3AC88A"/>
    <w:rsid w:val="0B3FA46A"/>
    <w:rsid w:val="0B422508"/>
    <w:rsid w:val="0B58520C"/>
    <w:rsid w:val="0B706ABC"/>
    <w:rsid w:val="0B7CE7D2"/>
    <w:rsid w:val="0BB52DD6"/>
    <w:rsid w:val="0BEF4A57"/>
    <w:rsid w:val="0C03A11C"/>
    <w:rsid w:val="0C1D93EA"/>
    <w:rsid w:val="0C2A12B8"/>
    <w:rsid w:val="0C529DC7"/>
    <w:rsid w:val="0C570441"/>
    <w:rsid w:val="0C63402D"/>
    <w:rsid w:val="0C759662"/>
    <w:rsid w:val="0C86612D"/>
    <w:rsid w:val="0CBCF3F4"/>
    <w:rsid w:val="0CD21325"/>
    <w:rsid w:val="0CDE03EC"/>
    <w:rsid w:val="0CE7509F"/>
    <w:rsid w:val="0CF3C877"/>
    <w:rsid w:val="0CFEF943"/>
    <w:rsid w:val="0D603E28"/>
    <w:rsid w:val="0D648612"/>
    <w:rsid w:val="0D73CDEA"/>
    <w:rsid w:val="0DAB3E2D"/>
    <w:rsid w:val="0DAD249F"/>
    <w:rsid w:val="0DBCF481"/>
    <w:rsid w:val="0E71BC6D"/>
    <w:rsid w:val="0E832100"/>
    <w:rsid w:val="0EC1BD4D"/>
    <w:rsid w:val="0EC5C80D"/>
    <w:rsid w:val="0EF6FA38"/>
    <w:rsid w:val="0F32E172"/>
    <w:rsid w:val="0F59C132"/>
    <w:rsid w:val="0F666DA3"/>
    <w:rsid w:val="0F8B7CA8"/>
    <w:rsid w:val="0FAA6352"/>
    <w:rsid w:val="0FAAD3E5"/>
    <w:rsid w:val="0FB781B0"/>
    <w:rsid w:val="0FBC012A"/>
    <w:rsid w:val="0FD78EB1"/>
    <w:rsid w:val="0FF13B40"/>
    <w:rsid w:val="0FFE80FA"/>
    <w:rsid w:val="1015E7DB"/>
    <w:rsid w:val="101853A8"/>
    <w:rsid w:val="1061A1BD"/>
    <w:rsid w:val="10701851"/>
    <w:rsid w:val="107653D6"/>
    <w:rsid w:val="107CD219"/>
    <w:rsid w:val="1083DF6E"/>
    <w:rsid w:val="1093B9C2"/>
    <w:rsid w:val="109450F7"/>
    <w:rsid w:val="10970B58"/>
    <w:rsid w:val="10A4EECA"/>
    <w:rsid w:val="10AAC433"/>
    <w:rsid w:val="10BA4EA2"/>
    <w:rsid w:val="10DF33C7"/>
    <w:rsid w:val="10FDED5F"/>
    <w:rsid w:val="110D548B"/>
    <w:rsid w:val="1115EF06"/>
    <w:rsid w:val="112AB28E"/>
    <w:rsid w:val="1159632E"/>
    <w:rsid w:val="11B7224A"/>
    <w:rsid w:val="11F1C742"/>
    <w:rsid w:val="11FE9769"/>
    <w:rsid w:val="123C9916"/>
    <w:rsid w:val="125BD9C2"/>
    <w:rsid w:val="125D0260"/>
    <w:rsid w:val="1276B676"/>
    <w:rsid w:val="128B69CF"/>
    <w:rsid w:val="129DEA12"/>
    <w:rsid w:val="129E2AFF"/>
    <w:rsid w:val="12A74C2F"/>
    <w:rsid w:val="12B61E5E"/>
    <w:rsid w:val="12CCD0F1"/>
    <w:rsid w:val="12CCE8DB"/>
    <w:rsid w:val="13226DBB"/>
    <w:rsid w:val="1338D408"/>
    <w:rsid w:val="1370BF01"/>
    <w:rsid w:val="13763F12"/>
    <w:rsid w:val="137706C2"/>
    <w:rsid w:val="138D4E0F"/>
    <w:rsid w:val="13CD7704"/>
    <w:rsid w:val="13F2FA28"/>
    <w:rsid w:val="14056FEC"/>
    <w:rsid w:val="146BC5A4"/>
    <w:rsid w:val="14707C9B"/>
    <w:rsid w:val="14806130"/>
    <w:rsid w:val="14CD3EA2"/>
    <w:rsid w:val="14F4BBD5"/>
    <w:rsid w:val="150D4F9F"/>
    <w:rsid w:val="15C53775"/>
    <w:rsid w:val="15D10A18"/>
    <w:rsid w:val="15EF358E"/>
    <w:rsid w:val="16048FF0"/>
    <w:rsid w:val="162043DF"/>
    <w:rsid w:val="16545577"/>
    <w:rsid w:val="16594988"/>
    <w:rsid w:val="168E32E5"/>
    <w:rsid w:val="169F618F"/>
    <w:rsid w:val="16C35E82"/>
    <w:rsid w:val="16D5F220"/>
    <w:rsid w:val="16DCA7EE"/>
    <w:rsid w:val="170049EE"/>
    <w:rsid w:val="174715AB"/>
    <w:rsid w:val="175D71C1"/>
    <w:rsid w:val="1772451A"/>
    <w:rsid w:val="177D95E8"/>
    <w:rsid w:val="17A1ED39"/>
    <w:rsid w:val="17BD291A"/>
    <w:rsid w:val="183170E1"/>
    <w:rsid w:val="189059D2"/>
    <w:rsid w:val="18D41B13"/>
    <w:rsid w:val="191DC639"/>
    <w:rsid w:val="193A7C2A"/>
    <w:rsid w:val="19A40E1E"/>
    <w:rsid w:val="19F22AF4"/>
    <w:rsid w:val="1A069C57"/>
    <w:rsid w:val="1A79E0FC"/>
    <w:rsid w:val="1A7DDFAC"/>
    <w:rsid w:val="1ACB4056"/>
    <w:rsid w:val="1ACDE6A4"/>
    <w:rsid w:val="1AE267F6"/>
    <w:rsid w:val="1AE30ED5"/>
    <w:rsid w:val="1AEB2A46"/>
    <w:rsid w:val="1B01ED1E"/>
    <w:rsid w:val="1B0F6E08"/>
    <w:rsid w:val="1B23A1B5"/>
    <w:rsid w:val="1B374E18"/>
    <w:rsid w:val="1B4419BC"/>
    <w:rsid w:val="1BA1CC5F"/>
    <w:rsid w:val="1BB1E110"/>
    <w:rsid w:val="1BB67B3A"/>
    <w:rsid w:val="1BD2EBCB"/>
    <w:rsid w:val="1BF941B1"/>
    <w:rsid w:val="1C163D45"/>
    <w:rsid w:val="1C20F044"/>
    <w:rsid w:val="1C778CDB"/>
    <w:rsid w:val="1C83A4D6"/>
    <w:rsid w:val="1C8E452E"/>
    <w:rsid w:val="1CBF567F"/>
    <w:rsid w:val="1CD1CFC9"/>
    <w:rsid w:val="1D060944"/>
    <w:rsid w:val="1D0749C7"/>
    <w:rsid w:val="1D1EC76A"/>
    <w:rsid w:val="1D274F13"/>
    <w:rsid w:val="1D4D55DF"/>
    <w:rsid w:val="1D5FFEEA"/>
    <w:rsid w:val="1DA82666"/>
    <w:rsid w:val="1DB15967"/>
    <w:rsid w:val="1DF79E8C"/>
    <w:rsid w:val="1DFCC858"/>
    <w:rsid w:val="1E1F9EC0"/>
    <w:rsid w:val="1E5B5A20"/>
    <w:rsid w:val="1E68156D"/>
    <w:rsid w:val="1E9DFB2C"/>
    <w:rsid w:val="1EAC0A7F"/>
    <w:rsid w:val="1EE972C5"/>
    <w:rsid w:val="1EFB913F"/>
    <w:rsid w:val="1EFF94DB"/>
    <w:rsid w:val="1F2B134B"/>
    <w:rsid w:val="1F2CD1E1"/>
    <w:rsid w:val="1F359697"/>
    <w:rsid w:val="1F3B0D97"/>
    <w:rsid w:val="1F3FE529"/>
    <w:rsid w:val="1F4558F5"/>
    <w:rsid w:val="1F726BEF"/>
    <w:rsid w:val="1F866E46"/>
    <w:rsid w:val="1F8DEBF6"/>
    <w:rsid w:val="1FCCE784"/>
    <w:rsid w:val="1FD96178"/>
    <w:rsid w:val="201EE4C7"/>
    <w:rsid w:val="2030E8BC"/>
    <w:rsid w:val="203EA76E"/>
    <w:rsid w:val="204FCEA8"/>
    <w:rsid w:val="207AF638"/>
    <w:rsid w:val="2090E875"/>
    <w:rsid w:val="20952279"/>
    <w:rsid w:val="209F5C2F"/>
    <w:rsid w:val="20A98684"/>
    <w:rsid w:val="20BA3824"/>
    <w:rsid w:val="211C4C09"/>
    <w:rsid w:val="2145187B"/>
    <w:rsid w:val="2164C151"/>
    <w:rsid w:val="21707D44"/>
    <w:rsid w:val="2195891B"/>
    <w:rsid w:val="21D1884E"/>
    <w:rsid w:val="21D1B699"/>
    <w:rsid w:val="221941C2"/>
    <w:rsid w:val="22354EA2"/>
    <w:rsid w:val="22550281"/>
    <w:rsid w:val="22573852"/>
    <w:rsid w:val="2267F1C5"/>
    <w:rsid w:val="226E5CF4"/>
    <w:rsid w:val="22C02661"/>
    <w:rsid w:val="22C1B427"/>
    <w:rsid w:val="22DD8CDF"/>
    <w:rsid w:val="22EE81D3"/>
    <w:rsid w:val="2307FA22"/>
    <w:rsid w:val="230C802B"/>
    <w:rsid w:val="2318CA9F"/>
    <w:rsid w:val="2337D212"/>
    <w:rsid w:val="235618B9"/>
    <w:rsid w:val="237B8EF1"/>
    <w:rsid w:val="23AF15D9"/>
    <w:rsid w:val="23C9025B"/>
    <w:rsid w:val="23E4021D"/>
    <w:rsid w:val="23E7C0AD"/>
    <w:rsid w:val="23FBD7CA"/>
    <w:rsid w:val="24003BA9"/>
    <w:rsid w:val="241041F5"/>
    <w:rsid w:val="24421F35"/>
    <w:rsid w:val="24651729"/>
    <w:rsid w:val="2471C520"/>
    <w:rsid w:val="2494EFA2"/>
    <w:rsid w:val="24B5BE48"/>
    <w:rsid w:val="24B76F67"/>
    <w:rsid w:val="24D4ED57"/>
    <w:rsid w:val="25353057"/>
    <w:rsid w:val="2579D6AA"/>
    <w:rsid w:val="2596F1DE"/>
    <w:rsid w:val="259D4D36"/>
    <w:rsid w:val="25E51AF6"/>
    <w:rsid w:val="25EB0F1A"/>
    <w:rsid w:val="26270030"/>
    <w:rsid w:val="264E1CDE"/>
    <w:rsid w:val="2671C2BE"/>
    <w:rsid w:val="269F6FA7"/>
    <w:rsid w:val="26AC96E1"/>
    <w:rsid w:val="26BD765A"/>
    <w:rsid w:val="27377171"/>
    <w:rsid w:val="27408F06"/>
    <w:rsid w:val="275BF187"/>
    <w:rsid w:val="2761315A"/>
    <w:rsid w:val="27796503"/>
    <w:rsid w:val="27E02F63"/>
    <w:rsid w:val="27F37A3B"/>
    <w:rsid w:val="2815FF06"/>
    <w:rsid w:val="281BD5C5"/>
    <w:rsid w:val="282EEC39"/>
    <w:rsid w:val="2832BC48"/>
    <w:rsid w:val="28353A2A"/>
    <w:rsid w:val="283B0141"/>
    <w:rsid w:val="285FEABF"/>
    <w:rsid w:val="28AC21AC"/>
    <w:rsid w:val="28ADF6A4"/>
    <w:rsid w:val="28C8D9D1"/>
    <w:rsid w:val="28F311B8"/>
    <w:rsid w:val="29027E1D"/>
    <w:rsid w:val="2920CD40"/>
    <w:rsid w:val="292B8A84"/>
    <w:rsid w:val="2932BBA7"/>
    <w:rsid w:val="293417CF"/>
    <w:rsid w:val="29484F19"/>
    <w:rsid w:val="2965D8AC"/>
    <w:rsid w:val="299EBE3B"/>
    <w:rsid w:val="29AFA28D"/>
    <w:rsid w:val="29F7585F"/>
    <w:rsid w:val="29FEA04F"/>
    <w:rsid w:val="2A2A8FF7"/>
    <w:rsid w:val="2A2E32E3"/>
    <w:rsid w:val="2A63C7F4"/>
    <w:rsid w:val="2A798686"/>
    <w:rsid w:val="2A84396F"/>
    <w:rsid w:val="2AA67301"/>
    <w:rsid w:val="2AC972D9"/>
    <w:rsid w:val="2AFC9261"/>
    <w:rsid w:val="2B0D888E"/>
    <w:rsid w:val="2B4EFDFD"/>
    <w:rsid w:val="2B6AEE39"/>
    <w:rsid w:val="2B8C47EB"/>
    <w:rsid w:val="2B966DC1"/>
    <w:rsid w:val="2BE4A4E3"/>
    <w:rsid w:val="2C125DD3"/>
    <w:rsid w:val="2C22BA01"/>
    <w:rsid w:val="2C35FF98"/>
    <w:rsid w:val="2C526268"/>
    <w:rsid w:val="2C6A0C6F"/>
    <w:rsid w:val="2CA4DC32"/>
    <w:rsid w:val="2CB029E7"/>
    <w:rsid w:val="2CCF20FC"/>
    <w:rsid w:val="2CE1615B"/>
    <w:rsid w:val="2D1C62FB"/>
    <w:rsid w:val="2D24F4EF"/>
    <w:rsid w:val="2D291F45"/>
    <w:rsid w:val="2D47B2CD"/>
    <w:rsid w:val="2DD0574D"/>
    <w:rsid w:val="2DE8E71A"/>
    <w:rsid w:val="2DF7D1A4"/>
    <w:rsid w:val="2DF7DCF6"/>
    <w:rsid w:val="2DF841E8"/>
    <w:rsid w:val="2E1E0333"/>
    <w:rsid w:val="2E2C85AD"/>
    <w:rsid w:val="2E2E23F5"/>
    <w:rsid w:val="2E5D32DC"/>
    <w:rsid w:val="2E86E8C4"/>
    <w:rsid w:val="2E8FE11F"/>
    <w:rsid w:val="2EFBD11C"/>
    <w:rsid w:val="2F03B962"/>
    <w:rsid w:val="2F272A74"/>
    <w:rsid w:val="2F79AA6D"/>
    <w:rsid w:val="2F83426A"/>
    <w:rsid w:val="2F847783"/>
    <w:rsid w:val="2F92500F"/>
    <w:rsid w:val="2FD5C992"/>
    <w:rsid w:val="2FE0115F"/>
    <w:rsid w:val="3022D588"/>
    <w:rsid w:val="30318006"/>
    <w:rsid w:val="3054C525"/>
    <w:rsid w:val="305C2319"/>
    <w:rsid w:val="30835F1F"/>
    <w:rsid w:val="3085E882"/>
    <w:rsid w:val="30909C0F"/>
    <w:rsid w:val="3094F91C"/>
    <w:rsid w:val="30A9F87A"/>
    <w:rsid w:val="312999FE"/>
    <w:rsid w:val="31729307"/>
    <w:rsid w:val="31AFCD26"/>
    <w:rsid w:val="31EDD613"/>
    <w:rsid w:val="32213949"/>
    <w:rsid w:val="3223FBB7"/>
    <w:rsid w:val="3245C960"/>
    <w:rsid w:val="32591122"/>
    <w:rsid w:val="328FB4E6"/>
    <w:rsid w:val="32AF703B"/>
    <w:rsid w:val="32F888DD"/>
    <w:rsid w:val="33266FE7"/>
    <w:rsid w:val="338012E3"/>
    <w:rsid w:val="33D681F9"/>
    <w:rsid w:val="33E02ECB"/>
    <w:rsid w:val="33E437FF"/>
    <w:rsid w:val="3421A035"/>
    <w:rsid w:val="342C4007"/>
    <w:rsid w:val="342DBC87"/>
    <w:rsid w:val="342F8DE8"/>
    <w:rsid w:val="3453C5CD"/>
    <w:rsid w:val="34541464"/>
    <w:rsid w:val="349BD764"/>
    <w:rsid w:val="34E4C4F3"/>
    <w:rsid w:val="3507B814"/>
    <w:rsid w:val="350BDC79"/>
    <w:rsid w:val="35439883"/>
    <w:rsid w:val="35AB90DF"/>
    <w:rsid w:val="35BE895E"/>
    <w:rsid w:val="35C34B39"/>
    <w:rsid w:val="35C47000"/>
    <w:rsid w:val="35D1DBF1"/>
    <w:rsid w:val="35F25601"/>
    <w:rsid w:val="361FB1C2"/>
    <w:rsid w:val="362B6AD1"/>
    <w:rsid w:val="365CB7C6"/>
    <w:rsid w:val="3660022C"/>
    <w:rsid w:val="372133DA"/>
    <w:rsid w:val="3731567B"/>
    <w:rsid w:val="37370814"/>
    <w:rsid w:val="37546F0F"/>
    <w:rsid w:val="375D0238"/>
    <w:rsid w:val="37607A46"/>
    <w:rsid w:val="37718236"/>
    <w:rsid w:val="37745510"/>
    <w:rsid w:val="37919C56"/>
    <w:rsid w:val="379971D3"/>
    <w:rsid w:val="37BECAF6"/>
    <w:rsid w:val="37F40EAE"/>
    <w:rsid w:val="3805C442"/>
    <w:rsid w:val="381137E1"/>
    <w:rsid w:val="383781E8"/>
    <w:rsid w:val="386C881D"/>
    <w:rsid w:val="387D33A2"/>
    <w:rsid w:val="388B5D4A"/>
    <w:rsid w:val="389920E4"/>
    <w:rsid w:val="389EC723"/>
    <w:rsid w:val="38B564BE"/>
    <w:rsid w:val="38BA63C3"/>
    <w:rsid w:val="38F08CB6"/>
    <w:rsid w:val="39277700"/>
    <w:rsid w:val="39304FA3"/>
    <w:rsid w:val="3932668E"/>
    <w:rsid w:val="393828FA"/>
    <w:rsid w:val="393D2303"/>
    <w:rsid w:val="39463320"/>
    <w:rsid w:val="39875B2D"/>
    <w:rsid w:val="39A6F7A8"/>
    <w:rsid w:val="39B7B44B"/>
    <w:rsid w:val="39C6BC32"/>
    <w:rsid w:val="39EAD791"/>
    <w:rsid w:val="3A5F23C1"/>
    <w:rsid w:val="3A672BF9"/>
    <w:rsid w:val="3A86BD59"/>
    <w:rsid w:val="3A8D5D2A"/>
    <w:rsid w:val="3A8FBDD1"/>
    <w:rsid w:val="3AE9C468"/>
    <w:rsid w:val="3B201B95"/>
    <w:rsid w:val="3B3EA3B5"/>
    <w:rsid w:val="3B6D6A95"/>
    <w:rsid w:val="3B77ADFF"/>
    <w:rsid w:val="3B942FE5"/>
    <w:rsid w:val="3BDB11F1"/>
    <w:rsid w:val="3BE3E1FB"/>
    <w:rsid w:val="3BEB730C"/>
    <w:rsid w:val="3BF4403D"/>
    <w:rsid w:val="3C03A244"/>
    <w:rsid w:val="3C53946C"/>
    <w:rsid w:val="3C8757D8"/>
    <w:rsid w:val="3C8EBD40"/>
    <w:rsid w:val="3C98BC94"/>
    <w:rsid w:val="3CA791F0"/>
    <w:rsid w:val="3CAE0C46"/>
    <w:rsid w:val="3D136171"/>
    <w:rsid w:val="3D1B2245"/>
    <w:rsid w:val="3D263E4B"/>
    <w:rsid w:val="3D7A4CBE"/>
    <w:rsid w:val="3D91C7B2"/>
    <w:rsid w:val="3D999C26"/>
    <w:rsid w:val="3DB187CF"/>
    <w:rsid w:val="3DF68940"/>
    <w:rsid w:val="3E9E4133"/>
    <w:rsid w:val="3EC33789"/>
    <w:rsid w:val="3EE1ACB4"/>
    <w:rsid w:val="3EF054EC"/>
    <w:rsid w:val="3F8DE332"/>
    <w:rsid w:val="3FC40D87"/>
    <w:rsid w:val="3FCBC3AD"/>
    <w:rsid w:val="4000FFA3"/>
    <w:rsid w:val="4008E1B8"/>
    <w:rsid w:val="4048568A"/>
    <w:rsid w:val="4051D04D"/>
    <w:rsid w:val="40592A19"/>
    <w:rsid w:val="406011C5"/>
    <w:rsid w:val="4073BB49"/>
    <w:rsid w:val="4074E4C1"/>
    <w:rsid w:val="407B822B"/>
    <w:rsid w:val="40AF3B1F"/>
    <w:rsid w:val="40E5C2D8"/>
    <w:rsid w:val="40ED24B9"/>
    <w:rsid w:val="410B949E"/>
    <w:rsid w:val="411CAA80"/>
    <w:rsid w:val="411E133C"/>
    <w:rsid w:val="415C1945"/>
    <w:rsid w:val="415E6876"/>
    <w:rsid w:val="415F10BE"/>
    <w:rsid w:val="416BAFAE"/>
    <w:rsid w:val="4178EF0E"/>
    <w:rsid w:val="418D984E"/>
    <w:rsid w:val="41C15DC2"/>
    <w:rsid w:val="41C4ECE8"/>
    <w:rsid w:val="41C5DE6F"/>
    <w:rsid w:val="41D2770A"/>
    <w:rsid w:val="41D33FD2"/>
    <w:rsid w:val="41DAF561"/>
    <w:rsid w:val="41F222AD"/>
    <w:rsid w:val="42031F3F"/>
    <w:rsid w:val="42288899"/>
    <w:rsid w:val="428ADDCE"/>
    <w:rsid w:val="42A75B94"/>
    <w:rsid w:val="42EA42A3"/>
    <w:rsid w:val="42F8CFCE"/>
    <w:rsid w:val="43254F84"/>
    <w:rsid w:val="43459F68"/>
    <w:rsid w:val="43A4858F"/>
    <w:rsid w:val="43A4DD42"/>
    <w:rsid w:val="43B1ECE0"/>
    <w:rsid w:val="43EB6639"/>
    <w:rsid w:val="43FD24B5"/>
    <w:rsid w:val="4407B538"/>
    <w:rsid w:val="441FC1E8"/>
    <w:rsid w:val="442CBD77"/>
    <w:rsid w:val="444883F8"/>
    <w:rsid w:val="445B096A"/>
    <w:rsid w:val="44775EAC"/>
    <w:rsid w:val="448115F3"/>
    <w:rsid w:val="4485D801"/>
    <w:rsid w:val="44A91724"/>
    <w:rsid w:val="44B62B60"/>
    <w:rsid w:val="44D904A6"/>
    <w:rsid w:val="44E41B62"/>
    <w:rsid w:val="450C9CEA"/>
    <w:rsid w:val="454E1EA8"/>
    <w:rsid w:val="45512AA6"/>
    <w:rsid w:val="45627339"/>
    <w:rsid w:val="4569CBA8"/>
    <w:rsid w:val="4571ED93"/>
    <w:rsid w:val="45721C76"/>
    <w:rsid w:val="4593673F"/>
    <w:rsid w:val="45E3FA66"/>
    <w:rsid w:val="45E60B68"/>
    <w:rsid w:val="45FE3A76"/>
    <w:rsid w:val="460ED97A"/>
    <w:rsid w:val="461137A0"/>
    <w:rsid w:val="4621B18F"/>
    <w:rsid w:val="46231298"/>
    <w:rsid w:val="463F2D9F"/>
    <w:rsid w:val="4649AB50"/>
    <w:rsid w:val="465DBF1C"/>
    <w:rsid w:val="4676E5A7"/>
    <w:rsid w:val="4679E9F7"/>
    <w:rsid w:val="467D6D1D"/>
    <w:rsid w:val="469B8C38"/>
    <w:rsid w:val="469FC121"/>
    <w:rsid w:val="46A6F7D6"/>
    <w:rsid w:val="46F8D692"/>
    <w:rsid w:val="46FF5E25"/>
    <w:rsid w:val="471764E0"/>
    <w:rsid w:val="472174ED"/>
    <w:rsid w:val="4730D1CE"/>
    <w:rsid w:val="473CC185"/>
    <w:rsid w:val="4740378E"/>
    <w:rsid w:val="47432E46"/>
    <w:rsid w:val="47555E1F"/>
    <w:rsid w:val="475C8E33"/>
    <w:rsid w:val="477625F0"/>
    <w:rsid w:val="479F98C1"/>
    <w:rsid w:val="47A20789"/>
    <w:rsid w:val="47A7FCF5"/>
    <w:rsid w:val="47C0DFB0"/>
    <w:rsid w:val="47C32A0C"/>
    <w:rsid w:val="480117EA"/>
    <w:rsid w:val="482B193D"/>
    <w:rsid w:val="4869158A"/>
    <w:rsid w:val="4870C234"/>
    <w:rsid w:val="489A5D0E"/>
    <w:rsid w:val="48B8FEE0"/>
    <w:rsid w:val="48C0A27A"/>
    <w:rsid w:val="48C7F7A6"/>
    <w:rsid w:val="48E42398"/>
    <w:rsid w:val="48F369B9"/>
    <w:rsid w:val="4911B49E"/>
    <w:rsid w:val="49166A0E"/>
    <w:rsid w:val="494254DC"/>
    <w:rsid w:val="49425503"/>
    <w:rsid w:val="494A2574"/>
    <w:rsid w:val="4976B159"/>
    <w:rsid w:val="49AB9E33"/>
    <w:rsid w:val="49AF9F3E"/>
    <w:rsid w:val="49C40062"/>
    <w:rsid w:val="49D36691"/>
    <w:rsid w:val="49F21F23"/>
    <w:rsid w:val="4A2162BB"/>
    <w:rsid w:val="4A339EC5"/>
    <w:rsid w:val="4A8AE939"/>
    <w:rsid w:val="4A9D6FBD"/>
    <w:rsid w:val="4AB2BB5F"/>
    <w:rsid w:val="4AC5BBF2"/>
    <w:rsid w:val="4AC827FE"/>
    <w:rsid w:val="4B0B64F5"/>
    <w:rsid w:val="4B230CEC"/>
    <w:rsid w:val="4B27AE8E"/>
    <w:rsid w:val="4B4959F3"/>
    <w:rsid w:val="4B64E120"/>
    <w:rsid w:val="4B691F66"/>
    <w:rsid w:val="4B6AD41F"/>
    <w:rsid w:val="4BEC5062"/>
    <w:rsid w:val="4C019780"/>
    <w:rsid w:val="4C0DE8EE"/>
    <w:rsid w:val="4C2D2A61"/>
    <w:rsid w:val="4C7CE95C"/>
    <w:rsid w:val="4C7ED416"/>
    <w:rsid w:val="4C8C4197"/>
    <w:rsid w:val="4C938C15"/>
    <w:rsid w:val="4C98C8C2"/>
    <w:rsid w:val="4CA1C365"/>
    <w:rsid w:val="4CA5F109"/>
    <w:rsid w:val="4CB396C3"/>
    <w:rsid w:val="4CCA53BD"/>
    <w:rsid w:val="4CCD42F2"/>
    <w:rsid w:val="4CF3E956"/>
    <w:rsid w:val="4D11CA1C"/>
    <w:rsid w:val="4D19F8DA"/>
    <w:rsid w:val="4D1AF19D"/>
    <w:rsid w:val="4D2F3809"/>
    <w:rsid w:val="4D4BA1A6"/>
    <w:rsid w:val="4D581C8C"/>
    <w:rsid w:val="4D88B717"/>
    <w:rsid w:val="4D978D4D"/>
    <w:rsid w:val="4D9A7D8D"/>
    <w:rsid w:val="4DD26575"/>
    <w:rsid w:val="4DE712BB"/>
    <w:rsid w:val="4DFAEA79"/>
    <w:rsid w:val="4E1A257C"/>
    <w:rsid w:val="4E53E666"/>
    <w:rsid w:val="4E66BD4A"/>
    <w:rsid w:val="4E70D49A"/>
    <w:rsid w:val="4ED03280"/>
    <w:rsid w:val="4ED7826D"/>
    <w:rsid w:val="4EEAA7A1"/>
    <w:rsid w:val="4F1E1C1D"/>
    <w:rsid w:val="4F3A77C0"/>
    <w:rsid w:val="4F581800"/>
    <w:rsid w:val="4F895CA3"/>
    <w:rsid w:val="4F8EB7E6"/>
    <w:rsid w:val="4F8FD368"/>
    <w:rsid w:val="4FA09E45"/>
    <w:rsid w:val="4FB8E6B7"/>
    <w:rsid w:val="4FDFBDE1"/>
    <w:rsid w:val="4FE24AE8"/>
    <w:rsid w:val="4FE8A461"/>
    <w:rsid w:val="504F81C6"/>
    <w:rsid w:val="507B52B3"/>
    <w:rsid w:val="508A0DA0"/>
    <w:rsid w:val="50A42BF5"/>
    <w:rsid w:val="50C9EED9"/>
    <w:rsid w:val="50DA4DE9"/>
    <w:rsid w:val="50DB4260"/>
    <w:rsid w:val="513642D4"/>
    <w:rsid w:val="51538E49"/>
    <w:rsid w:val="515D1986"/>
    <w:rsid w:val="51918B33"/>
    <w:rsid w:val="519471CD"/>
    <w:rsid w:val="51F79D1C"/>
    <w:rsid w:val="51FA51B6"/>
    <w:rsid w:val="5230B337"/>
    <w:rsid w:val="5232FF41"/>
    <w:rsid w:val="52464CF7"/>
    <w:rsid w:val="5277A6BF"/>
    <w:rsid w:val="52787020"/>
    <w:rsid w:val="528F7D92"/>
    <w:rsid w:val="52C9E8D0"/>
    <w:rsid w:val="52E6FCBF"/>
    <w:rsid w:val="52EF1895"/>
    <w:rsid w:val="52F672C3"/>
    <w:rsid w:val="5319291C"/>
    <w:rsid w:val="5327B7DD"/>
    <w:rsid w:val="534DCCA2"/>
    <w:rsid w:val="53736FCF"/>
    <w:rsid w:val="53743F3E"/>
    <w:rsid w:val="537D8A25"/>
    <w:rsid w:val="53A16234"/>
    <w:rsid w:val="53ACEDE6"/>
    <w:rsid w:val="53ED95BB"/>
    <w:rsid w:val="54250168"/>
    <w:rsid w:val="5433B076"/>
    <w:rsid w:val="5454E2FA"/>
    <w:rsid w:val="5468F0B6"/>
    <w:rsid w:val="546A5BEF"/>
    <w:rsid w:val="548E2196"/>
    <w:rsid w:val="549E0078"/>
    <w:rsid w:val="54B5A69C"/>
    <w:rsid w:val="54F05A1F"/>
    <w:rsid w:val="54FF8CC0"/>
    <w:rsid w:val="54FFC72F"/>
    <w:rsid w:val="5532F1A9"/>
    <w:rsid w:val="5559080F"/>
    <w:rsid w:val="5596EB3F"/>
    <w:rsid w:val="561C8DC3"/>
    <w:rsid w:val="5634BA83"/>
    <w:rsid w:val="564D1C89"/>
    <w:rsid w:val="5664C269"/>
    <w:rsid w:val="566DAFE1"/>
    <w:rsid w:val="566F43E4"/>
    <w:rsid w:val="569B8240"/>
    <w:rsid w:val="56F4E71F"/>
    <w:rsid w:val="5708145E"/>
    <w:rsid w:val="57207103"/>
    <w:rsid w:val="5731CC7C"/>
    <w:rsid w:val="5749594A"/>
    <w:rsid w:val="574CC6EE"/>
    <w:rsid w:val="574D386D"/>
    <w:rsid w:val="575AD629"/>
    <w:rsid w:val="5762FE41"/>
    <w:rsid w:val="576B60C9"/>
    <w:rsid w:val="579D6F0E"/>
    <w:rsid w:val="57A3F4D6"/>
    <w:rsid w:val="57AE0E0A"/>
    <w:rsid w:val="57DD7256"/>
    <w:rsid w:val="57ED0939"/>
    <w:rsid w:val="58011928"/>
    <w:rsid w:val="58119950"/>
    <w:rsid w:val="58363BC2"/>
    <w:rsid w:val="587A1F80"/>
    <w:rsid w:val="58979A7D"/>
    <w:rsid w:val="58A42DE2"/>
    <w:rsid w:val="58AA5B4D"/>
    <w:rsid w:val="58BB6EEB"/>
    <w:rsid w:val="58C86C16"/>
    <w:rsid w:val="58DCE2AE"/>
    <w:rsid w:val="58E762E5"/>
    <w:rsid w:val="590BE77B"/>
    <w:rsid w:val="5915A9DB"/>
    <w:rsid w:val="591A596D"/>
    <w:rsid w:val="59334CFE"/>
    <w:rsid w:val="59395B5D"/>
    <w:rsid w:val="595AF1A7"/>
    <w:rsid w:val="5961559D"/>
    <w:rsid w:val="596BC739"/>
    <w:rsid w:val="59973345"/>
    <w:rsid w:val="59C0A529"/>
    <w:rsid w:val="59EC8D47"/>
    <w:rsid w:val="5A2E99B7"/>
    <w:rsid w:val="5A3B2950"/>
    <w:rsid w:val="5A6B8ADF"/>
    <w:rsid w:val="5A6FFC69"/>
    <w:rsid w:val="5AB08C66"/>
    <w:rsid w:val="5AC761AE"/>
    <w:rsid w:val="5AE7922E"/>
    <w:rsid w:val="5B128444"/>
    <w:rsid w:val="5B13D4A1"/>
    <w:rsid w:val="5B16B139"/>
    <w:rsid w:val="5B534E2B"/>
    <w:rsid w:val="5B76B107"/>
    <w:rsid w:val="5B8B242C"/>
    <w:rsid w:val="5BAB765A"/>
    <w:rsid w:val="5BB0E335"/>
    <w:rsid w:val="5BBB1454"/>
    <w:rsid w:val="5BC5D6D7"/>
    <w:rsid w:val="5C1B30C1"/>
    <w:rsid w:val="5C267685"/>
    <w:rsid w:val="5C327C08"/>
    <w:rsid w:val="5C58EB7F"/>
    <w:rsid w:val="5C603136"/>
    <w:rsid w:val="5C67CE55"/>
    <w:rsid w:val="5C9E80FC"/>
    <w:rsid w:val="5CBA7B8B"/>
    <w:rsid w:val="5CC692D0"/>
    <w:rsid w:val="5CCCF122"/>
    <w:rsid w:val="5CF2DD38"/>
    <w:rsid w:val="5CF59858"/>
    <w:rsid w:val="5CFF8025"/>
    <w:rsid w:val="5D0EC8B3"/>
    <w:rsid w:val="5D1E6AF1"/>
    <w:rsid w:val="5D73F9F4"/>
    <w:rsid w:val="5D78B0EE"/>
    <w:rsid w:val="5D9AFC95"/>
    <w:rsid w:val="5DAAF2AD"/>
    <w:rsid w:val="5DBF8568"/>
    <w:rsid w:val="5DC55D7A"/>
    <w:rsid w:val="5DC57192"/>
    <w:rsid w:val="5DD807EF"/>
    <w:rsid w:val="5DFB7E15"/>
    <w:rsid w:val="5E16DDC5"/>
    <w:rsid w:val="5E43300B"/>
    <w:rsid w:val="5E4387F7"/>
    <w:rsid w:val="5E6BBAFB"/>
    <w:rsid w:val="5E738CEC"/>
    <w:rsid w:val="5E743E9F"/>
    <w:rsid w:val="5E817A59"/>
    <w:rsid w:val="5E93E545"/>
    <w:rsid w:val="5E9774AF"/>
    <w:rsid w:val="5ECCC21B"/>
    <w:rsid w:val="5ED22EF4"/>
    <w:rsid w:val="5EF18750"/>
    <w:rsid w:val="5F2D6C2F"/>
    <w:rsid w:val="5F536B23"/>
    <w:rsid w:val="5F8B0B3A"/>
    <w:rsid w:val="5F92B74D"/>
    <w:rsid w:val="5FAD8054"/>
    <w:rsid w:val="5FBE7D4A"/>
    <w:rsid w:val="5FC32137"/>
    <w:rsid w:val="5FC88AC0"/>
    <w:rsid w:val="5FD09E18"/>
    <w:rsid w:val="5FD1190B"/>
    <w:rsid w:val="5FD17BA8"/>
    <w:rsid w:val="60114F00"/>
    <w:rsid w:val="601D3CB6"/>
    <w:rsid w:val="603A803C"/>
    <w:rsid w:val="604D6BEF"/>
    <w:rsid w:val="607705E3"/>
    <w:rsid w:val="608E0B6B"/>
    <w:rsid w:val="60A1F4D5"/>
    <w:rsid w:val="60B69305"/>
    <w:rsid w:val="60C53DA0"/>
    <w:rsid w:val="60F38015"/>
    <w:rsid w:val="615358E1"/>
    <w:rsid w:val="615D0E41"/>
    <w:rsid w:val="615D9230"/>
    <w:rsid w:val="615FAE89"/>
    <w:rsid w:val="6177516B"/>
    <w:rsid w:val="618DBFFE"/>
    <w:rsid w:val="618FA50C"/>
    <w:rsid w:val="61B1E91C"/>
    <w:rsid w:val="61D4551D"/>
    <w:rsid w:val="6216EEE3"/>
    <w:rsid w:val="6219E263"/>
    <w:rsid w:val="624C1282"/>
    <w:rsid w:val="6252EFA7"/>
    <w:rsid w:val="6256FE71"/>
    <w:rsid w:val="626FA6D6"/>
    <w:rsid w:val="627E2D72"/>
    <w:rsid w:val="629529F7"/>
    <w:rsid w:val="62B26832"/>
    <w:rsid w:val="62BCBBFD"/>
    <w:rsid w:val="62E2DE75"/>
    <w:rsid w:val="62F1FDBA"/>
    <w:rsid w:val="63001F27"/>
    <w:rsid w:val="63300562"/>
    <w:rsid w:val="635033B4"/>
    <w:rsid w:val="635D5464"/>
    <w:rsid w:val="636152DB"/>
    <w:rsid w:val="637CC410"/>
    <w:rsid w:val="63829CAC"/>
    <w:rsid w:val="63B07616"/>
    <w:rsid w:val="63BBEBAD"/>
    <w:rsid w:val="63D90005"/>
    <w:rsid w:val="641081A9"/>
    <w:rsid w:val="642CEA8E"/>
    <w:rsid w:val="6432DF9A"/>
    <w:rsid w:val="6459A285"/>
    <w:rsid w:val="64938F80"/>
    <w:rsid w:val="6495F13A"/>
    <w:rsid w:val="64AB1549"/>
    <w:rsid w:val="64AE6609"/>
    <w:rsid w:val="64B42BDB"/>
    <w:rsid w:val="64E7293D"/>
    <w:rsid w:val="64FC8039"/>
    <w:rsid w:val="65171084"/>
    <w:rsid w:val="654CCACF"/>
    <w:rsid w:val="65540A2F"/>
    <w:rsid w:val="6559A69E"/>
    <w:rsid w:val="655E5831"/>
    <w:rsid w:val="6566C3DE"/>
    <w:rsid w:val="658766FA"/>
    <w:rsid w:val="6593ACDC"/>
    <w:rsid w:val="6598855C"/>
    <w:rsid w:val="65A91598"/>
    <w:rsid w:val="65CEAAD6"/>
    <w:rsid w:val="65D3FA75"/>
    <w:rsid w:val="66079B90"/>
    <w:rsid w:val="660A3382"/>
    <w:rsid w:val="662A1C4B"/>
    <w:rsid w:val="6651F8A9"/>
    <w:rsid w:val="66731F94"/>
    <w:rsid w:val="66847A2E"/>
    <w:rsid w:val="6685C97E"/>
    <w:rsid w:val="66A1577F"/>
    <w:rsid w:val="66B142E6"/>
    <w:rsid w:val="66ECE4DB"/>
    <w:rsid w:val="66EEE72E"/>
    <w:rsid w:val="67029B7A"/>
    <w:rsid w:val="67090A51"/>
    <w:rsid w:val="6748B8B2"/>
    <w:rsid w:val="67BB6D3E"/>
    <w:rsid w:val="67D543C8"/>
    <w:rsid w:val="680FBAA8"/>
    <w:rsid w:val="685FB2EA"/>
    <w:rsid w:val="688979CE"/>
    <w:rsid w:val="6895A073"/>
    <w:rsid w:val="68C185FF"/>
    <w:rsid w:val="68D7AB8F"/>
    <w:rsid w:val="68E770B2"/>
    <w:rsid w:val="69092453"/>
    <w:rsid w:val="69359ED4"/>
    <w:rsid w:val="697157FA"/>
    <w:rsid w:val="697F8613"/>
    <w:rsid w:val="698B60EC"/>
    <w:rsid w:val="69B557BD"/>
    <w:rsid w:val="69B8EEAE"/>
    <w:rsid w:val="69E2BCB6"/>
    <w:rsid w:val="69EA80B7"/>
    <w:rsid w:val="6A1C46E7"/>
    <w:rsid w:val="6A2F4019"/>
    <w:rsid w:val="6A68668B"/>
    <w:rsid w:val="6A6DB0EF"/>
    <w:rsid w:val="6A78CC97"/>
    <w:rsid w:val="6A93A714"/>
    <w:rsid w:val="6AC20D17"/>
    <w:rsid w:val="6AD75CC4"/>
    <w:rsid w:val="6AE41A6F"/>
    <w:rsid w:val="6AE9F207"/>
    <w:rsid w:val="6AF03C16"/>
    <w:rsid w:val="6AFB4A2F"/>
    <w:rsid w:val="6B057C11"/>
    <w:rsid w:val="6B1E9A2A"/>
    <w:rsid w:val="6B28B5B7"/>
    <w:rsid w:val="6B5A0FAB"/>
    <w:rsid w:val="6BD52558"/>
    <w:rsid w:val="6C1A0664"/>
    <w:rsid w:val="6C2F94E1"/>
    <w:rsid w:val="6C3BCFA0"/>
    <w:rsid w:val="6C669953"/>
    <w:rsid w:val="6C7AD4BE"/>
    <w:rsid w:val="6C7B3D0A"/>
    <w:rsid w:val="6C822529"/>
    <w:rsid w:val="6C869E8A"/>
    <w:rsid w:val="6C920950"/>
    <w:rsid w:val="6C98B0E8"/>
    <w:rsid w:val="6CDAE70B"/>
    <w:rsid w:val="6CE5D313"/>
    <w:rsid w:val="6D23007D"/>
    <w:rsid w:val="6D3B717E"/>
    <w:rsid w:val="6D410DDA"/>
    <w:rsid w:val="6D468F62"/>
    <w:rsid w:val="6D4A24FD"/>
    <w:rsid w:val="6D4FCD38"/>
    <w:rsid w:val="6D6E06A8"/>
    <w:rsid w:val="6D719E46"/>
    <w:rsid w:val="6D98C2A4"/>
    <w:rsid w:val="6DCDACFD"/>
    <w:rsid w:val="6DD6115F"/>
    <w:rsid w:val="6DE97722"/>
    <w:rsid w:val="6DF21C93"/>
    <w:rsid w:val="6DFAC9B0"/>
    <w:rsid w:val="6E0DA947"/>
    <w:rsid w:val="6E1620F3"/>
    <w:rsid w:val="6E431EB5"/>
    <w:rsid w:val="6E4595BB"/>
    <w:rsid w:val="6E487F37"/>
    <w:rsid w:val="6E55F9D0"/>
    <w:rsid w:val="6E66A597"/>
    <w:rsid w:val="6E6C2CDB"/>
    <w:rsid w:val="6E6D5348"/>
    <w:rsid w:val="6E7C74AB"/>
    <w:rsid w:val="6EA17652"/>
    <w:rsid w:val="6EB45D8C"/>
    <w:rsid w:val="6F0ECD2D"/>
    <w:rsid w:val="6F1BFB25"/>
    <w:rsid w:val="6F311658"/>
    <w:rsid w:val="6F354840"/>
    <w:rsid w:val="6F5C182F"/>
    <w:rsid w:val="6F6D89A7"/>
    <w:rsid w:val="6F708D58"/>
    <w:rsid w:val="6F87275B"/>
    <w:rsid w:val="6FAF1038"/>
    <w:rsid w:val="701231EE"/>
    <w:rsid w:val="702878C3"/>
    <w:rsid w:val="70559307"/>
    <w:rsid w:val="70741D03"/>
    <w:rsid w:val="707DC74A"/>
    <w:rsid w:val="70960DE3"/>
    <w:rsid w:val="70C89639"/>
    <w:rsid w:val="70DD2019"/>
    <w:rsid w:val="70EBDFD2"/>
    <w:rsid w:val="7131150A"/>
    <w:rsid w:val="716483D9"/>
    <w:rsid w:val="71DC1AA3"/>
    <w:rsid w:val="71E7CED4"/>
    <w:rsid w:val="71F53E39"/>
    <w:rsid w:val="72464262"/>
    <w:rsid w:val="724A43C9"/>
    <w:rsid w:val="7285CEBD"/>
    <w:rsid w:val="729C57B4"/>
    <w:rsid w:val="729C880E"/>
    <w:rsid w:val="72B7B956"/>
    <w:rsid w:val="72D14DF2"/>
    <w:rsid w:val="72E30000"/>
    <w:rsid w:val="72E5BD58"/>
    <w:rsid w:val="730E7F2D"/>
    <w:rsid w:val="7326F760"/>
    <w:rsid w:val="732A86BB"/>
    <w:rsid w:val="7376A244"/>
    <w:rsid w:val="7394EA45"/>
    <w:rsid w:val="73AA890A"/>
    <w:rsid w:val="73C47689"/>
    <w:rsid w:val="73D25220"/>
    <w:rsid w:val="74436717"/>
    <w:rsid w:val="744A7140"/>
    <w:rsid w:val="746E5C63"/>
    <w:rsid w:val="746EC56D"/>
    <w:rsid w:val="74A681B4"/>
    <w:rsid w:val="74C9739C"/>
    <w:rsid w:val="74EB02FD"/>
    <w:rsid w:val="74F8093D"/>
    <w:rsid w:val="754FEFF8"/>
    <w:rsid w:val="75A52083"/>
    <w:rsid w:val="75C05490"/>
    <w:rsid w:val="75DFBEB5"/>
    <w:rsid w:val="7600FF8A"/>
    <w:rsid w:val="760DE1F2"/>
    <w:rsid w:val="7633D276"/>
    <w:rsid w:val="763C8C04"/>
    <w:rsid w:val="7676E8EA"/>
    <w:rsid w:val="768607C0"/>
    <w:rsid w:val="768A9353"/>
    <w:rsid w:val="769F92BD"/>
    <w:rsid w:val="76AD102E"/>
    <w:rsid w:val="76AF9FE4"/>
    <w:rsid w:val="76B464BB"/>
    <w:rsid w:val="76D9A80E"/>
    <w:rsid w:val="76DF667D"/>
    <w:rsid w:val="76F1109E"/>
    <w:rsid w:val="77265C20"/>
    <w:rsid w:val="772B4F9B"/>
    <w:rsid w:val="7736D39A"/>
    <w:rsid w:val="777B3D44"/>
    <w:rsid w:val="77857790"/>
    <w:rsid w:val="779FC3F9"/>
    <w:rsid w:val="77B5362E"/>
    <w:rsid w:val="77B945EB"/>
    <w:rsid w:val="77BBFD59"/>
    <w:rsid w:val="77BE68BB"/>
    <w:rsid w:val="77FC934F"/>
    <w:rsid w:val="780A2A0B"/>
    <w:rsid w:val="78555D92"/>
    <w:rsid w:val="78773F62"/>
    <w:rsid w:val="78B5CF40"/>
    <w:rsid w:val="78C19211"/>
    <w:rsid w:val="78DA8301"/>
    <w:rsid w:val="78F9C254"/>
    <w:rsid w:val="790AFF5D"/>
    <w:rsid w:val="79241C40"/>
    <w:rsid w:val="795061B6"/>
    <w:rsid w:val="7964B205"/>
    <w:rsid w:val="7971DF83"/>
    <w:rsid w:val="79B841FA"/>
    <w:rsid w:val="79CAF1DD"/>
    <w:rsid w:val="79D01677"/>
    <w:rsid w:val="79D15B0E"/>
    <w:rsid w:val="79DB3C3E"/>
    <w:rsid w:val="79DBCBB1"/>
    <w:rsid w:val="79E4D2AF"/>
    <w:rsid w:val="7A5122FE"/>
    <w:rsid w:val="7A5885B5"/>
    <w:rsid w:val="7A618B4B"/>
    <w:rsid w:val="7A7ED7CF"/>
    <w:rsid w:val="7A806BF2"/>
    <w:rsid w:val="7AA731B0"/>
    <w:rsid w:val="7ACDBC4E"/>
    <w:rsid w:val="7AD4A696"/>
    <w:rsid w:val="7AD64796"/>
    <w:rsid w:val="7B02F95E"/>
    <w:rsid w:val="7B059B62"/>
    <w:rsid w:val="7B55E308"/>
    <w:rsid w:val="7B6B6E4D"/>
    <w:rsid w:val="7B9E8765"/>
    <w:rsid w:val="7BB196B3"/>
    <w:rsid w:val="7BB94C47"/>
    <w:rsid w:val="7BD6F587"/>
    <w:rsid w:val="7BF6D682"/>
    <w:rsid w:val="7C015696"/>
    <w:rsid w:val="7C2B92D4"/>
    <w:rsid w:val="7C36C480"/>
    <w:rsid w:val="7C6189B7"/>
    <w:rsid w:val="7C71210B"/>
    <w:rsid w:val="7CBE0FB8"/>
    <w:rsid w:val="7CEB253D"/>
    <w:rsid w:val="7CEF1387"/>
    <w:rsid w:val="7D674F9C"/>
    <w:rsid w:val="7D7260AE"/>
    <w:rsid w:val="7D769490"/>
    <w:rsid w:val="7DACCA9A"/>
    <w:rsid w:val="7DB9B001"/>
    <w:rsid w:val="7DC66150"/>
    <w:rsid w:val="7DE6272B"/>
    <w:rsid w:val="7DF3648A"/>
    <w:rsid w:val="7E015D6B"/>
    <w:rsid w:val="7E1CC61A"/>
    <w:rsid w:val="7E351FA9"/>
    <w:rsid w:val="7E7A883C"/>
    <w:rsid w:val="7E7E9927"/>
    <w:rsid w:val="7E86CDED"/>
    <w:rsid w:val="7EA68157"/>
    <w:rsid w:val="7EA9A0BE"/>
    <w:rsid w:val="7EAE7152"/>
    <w:rsid w:val="7EDBA441"/>
    <w:rsid w:val="7EED0DDF"/>
    <w:rsid w:val="7F08B7FC"/>
    <w:rsid w:val="7F224313"/>
    <w:rsid w:val="7F415270"/>
    <w:rsid w:val="7F4B409C"/>
    <w:rsid w:val="7F616210"/>
    <w:rsid w:val="7F66E9FF"/>
    <w:rsid w:val="7F7865B8"/>
    <w:rsid w:val="7F817E7E"/>
    <w:rsid w:val="7F848265"/>
    <w:rsid w:val="7F9D539C"/>
    <w:rsid w:val="7FA4D5C6"/>
    <w:rsid w:val="7FB548F5"/>
    <w:rsid w:val="7FB83536"/>
    <w:rsid w:val="7FCA28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ABCBC8"/>
  <w15:chartTrackingRefBased/>
  <w15:docId w15:val="{A27C01A0-8E07-46BB-A97C-2BADDA86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8D4"/>
    <w:pPr>
      <w:spacing w:after="120" w:line="480" w:lineRule="auto"/>
    </w:pPr>
    <w:rPr>
      <w:rFonts w:ascii="Calibri" w:eastAsiaTheme="minorEastAsia" w:hAnsi="Calibri"/>
      <w:szCs w:val="21"/>
      <w:lang w:eastAsia="en-GB"/>
    </w:rPr>
  </w:style>
  <w:style w:type="paragraph" w:styleId="Heading1">
    <w:name w:val="heading 1"/>
    <w:basedOn w:val="Heading2"/>
    <w:next w:val="Normal"/>
    <w:link w:val="Heading1Char"/>
    <w:uiPriority w:val="9"/>
    <w:qFormat/>
    <w:rsid w:val="0011451B"/>
    <w:pPr>
      <w:outlineLvl w:val="0"/>
    </w:pPr>
    <w:rPr>
      <w:sz w:val="28"/>
      <w:u w:val="single"/>
    </w:rPr>
  </w:style>
  <w:style w:type="paragraph" w:styleId="Heading2">
    <w:name w:val="heading 2"/>
    <w:basedOn w:val="Heading3"/>
    <w:next w:val="Normal"/>
    <w:link w:val="Heading2Char"/>
    <w:uiPriority w:val="9"/>
    <w:unhideWhenUsed/>
    <w:qFormat/>
    <w:rsid w:val="0011451B"/>
    <w:pPr>
      <w:outlineLvl w:val="1"/>
    </w:pPr>
    <w:rPr>
      <w:sz w:val="24"/>
    </w:rPr>
  </w:style>
  <w:style w:type="paragraph" w:styleId="Heading3">
    <w:name w:val="heading 3"/>
    <w:basedOn w:val="Heading4"/>
    <w:next w:val="Normal"/>
    <w:link w:val="Heading3Char"/>
    <w:uiPriority w:val="9"/>
    <w:qFormat/>
    <w:rsid w:val="0011451B"/>
    <w:pPr>
      <w:spacing w:line="240" w:lineRule="auto"/>
      <w:outlineLvl w:val="2"/>
    </w:pPr>
    <w:rPr>
      <w:rFonts w:ascii="Calibri Light" w:hAnsi="Calibri Light"/>
      <w:color w:val="000000"/>
      <w:szCs w:val="26"/>
    </w:rPr>
  </w:style>
  <w:style w:type="paragraph" w:styleId="Heading4">
    <w:name w:val="heading 4"/>
    <w:basedOn w:val="Normal"/>
    <w:next w:val="Normal"/>
    <w:link w:val="Heading4Char"/>
    <w:uiPriority w:val="9"/>
    <w:unhideWhenUsed/>
    <w:qFormat/>
    <w:rsid w:val="00470C6A"/>
    <w:pPr>
      <w:keepNext/>
      <w:keepLines/>
      <w:spacing w:before="80" w:after="0"/>
      <w:outlineLvl w:val="3"/>
    </w:pPr>
    <w:rPr>
      <w:rFonts w:eastAsia="MS Gothic" w:cs="Times New Roman"/>
      <w:b/>
      <w:szCs w:val="24"/>
    </w:rPr>
  </w:style>
  <w:style w:type="paragraph" w:styleId="Heading5">
    <w:name w:val="heading 5"/>
    <w:basedOn w:val="Normal"/>
    <w:next w:val="Normal"/>
    <w:link w:val="Heading5Char"/>
    <w:uiPriority w:val="9"/>
    <w:unhideWhenUsed/>
    <w:qFormat/>
    <w:rsid w:val="007B18D4"/>
    <w:pPr>
      <w:keepNext/>
      <w:keepLines/>
      <w:spacing w:before="80" w:after="0"/>
      <w:outlineLvl w:val="4"/>
    </w:pPr>
    <w:rPr>
      <w:rFonts w:asciiTheme="majorHAnsi" w:eastAsiaTheme="majorEastAsia" w:hAnsiTheme="majorHAnsi" w:cstheme="majorBidi"/>
      <w:i/>
      <w:iCs/>
      <w:szCs w:val="22"/>
    </w:rPr>
  </w:style>
  <w:style w:type="paragraph" w:styleId="Heading6">
    <w:name w:val="heading 6"/>
    <w:basedOn w:val="Normal"/>
    <w:next w:val="Normal"/>
    <w:link w:val="Heading6Char"/>
    <w:uiPriority w:val="9"/>
    <w:unhideWhenUsed/>
    <w:qFormat/>
    <w:rsid w:val="007B18D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7B18D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7B18D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7B18D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451B"/>
    <w:rPr>
      <w:rFonts w:ascii="Calibri Light" w:eastAsia="MS Gothic" w:hAnsi="Calibri Light" w:cs="Times New Roman"/>
      <w:b/>
      <w:color w:val="000000"/>
      <w:szCs w:val="26"/>
      <w:lang w:eastAsia="en-GB"/>
    </w:rPr>
  </w:style>
  <w:style w:type="character" w:customStyle="1" w:styleId="Heading2Char">
    <w:name w:val="Heading 2 Char"/>
    <w:basedOn w:val="DefaultParagraphFont"/>
    <w:link w:val="Heading2"/>
    <w:uiPriority w:val="9"/>
    <w:rsid w:val="0011451B"/>
    <w:rPr>
      <w:rFonts w:ascii="Calibri Light" w:eastAsia="MS Gothic" w:hAnsi="Calibri Light" w:cs="Times New Roman"/>
      <w:b/>
      <w:color w:val="000000"/>
      <w:sz w:val="24"/>
      <w:szCs w:val="26"/>
      <w:lang w:eastAsia="en-GB"/>
    </w:rPr>
  </w:style>
  <w:style w:type="character" w:customStyle="1" w:styleId="Heading1Char">
    <w:name w:val="Heading 1 Char"/>
    <w:basedOn w:val="DefaultParagraphFont"/>
    <w:link w:val="Heading1"/>
    <w:uiPriority w:val="9"/>
    <w:rsid w:val="0011451B"/>
    <w:rPr>
      <w:rFonts w:ascii="Calibri Light" w:eastAsia="MS Gothic" w:hAnsi="Calibri Light" w:cs="Times New Roman"/>
      <w:b/>
      <w:color w:val="000000"/>
      <w:sz w:val="28"/>
      <w:szCs w:val="26"/>
      <w:u w:val="single"/>
      <w:lang w:eastAsia="en-GB"/>
    </w:rPr>
  </w:style>
  <w:style w:type="character" w:customStyle="1" w:styleId="Heading4Char">
    <w:name w:val="Heading 4 Char"/>
    <w:basedOn w:val="DefaultParagraphFont"/>
    <w:link w:val="Heading4"/>
    <w:uiPriority w:val="9"/>
    <w:rsid w:val="00470C6A"/>
    <w:rPr>
      <w:rFonts w:ascii="Calibri" w:eastAsia="MS Gothic" w:hAnsi="Calibri" w:cs="Times New Roman"/>
      <w:b/>
      <w:szCs w:val="24"/>
      <w:lang w:eastAsia="en-GB"/>
    </w:rPr>
  </w:style>
  <w:style w:type="character" w:customStyle="1" w:styleId="Heading5Char">
    <w:name w:val="Heading 5 Char"/>
    <w:basedOn w:val="DefaultParagraphFont"/>
    <w:link w:val="Heading5"/>
    <w:uiPriority w:val="9"/>
    <w:rsid w:val="007B18D4"/>
    <w:rPr>
      <w:rFonts w:asciiTheme="majorHAnsi" w:eastAsiaTheme="majorEastAsia" w:hAnsiTheme="majorHAnsi" w:cstheme="majorBidi"/>
      <w:i/>
      <w:iCs/>
      <w:lang w:eastAsia="en-GB"/>
    </w:rPr>
  </w:style>
  <w:style w:type="character" w:customStyle="1" w:styleId="Heading6Char">
    <w:name w:val="Heading 6 Char"/>
    <w:basedOn w:val="DefaultParagraphFont"/>
    <w:link w:val="Heading6"/>
    <w:uiPriority w:val="9"/>
    <w:rsid w:val="007B18D4"/>
    <w:rPr>
      <w:rFonts w:asciiTheme="majorHAnsi" w:eastAsiaTheme="majorEastAsia" w:hAnsiTheme="majorHAnsi" w:cstheme="majorBidi"/>
      <w:color w:val="595959" w:themeColor="text1" w:themeTint="A6"/>
      <w:szCs w:val="21"/>
      <w:lang w:eastAsia="en-GB"/>
    </w:rPr>
  </w:style>
  <w:style w:type="character" w:customStyle="1" w:styleId="Heading7Char">
    <w:name w:val="Heading 7 Char"/>
    <w:basedOn w:val="DefaultParagraphFont"/>
    <w:link w:val="Heading7"/>
    <w:uiPriority w:val="9"/>
    <w:semiHidden/>
    <w:rsid w:val="007B18D4"/>
    <w:rPr>
      <w:rFonts w:asciiTheme="majorHAnsi" w:eastAsiaTheme="majorEastAsia" w:hAnsiTheme="majorHAnsi" w:cstheme="majorBidi"/>
      <w:i/>
      <w:iCs/>
      <w:color w:val="595959" w:themeColor="text1" w:themeTint="A6"/>
      <w:szCs w:val="21"/>
      <w:lang w:eastAsia="en-GB"/>
    </w:rPr>
  </w:style>
  <w:style w:type="character" w:customStyle="1" w:styleId="Heading8Char">
    <w:name w:val="Heading 8 Char"/>
    <w:basedOn w:val="DefaultParagraphFont"/>
    <w:link w:val="Heading8"/>
    <w:uiPriority w:val="9"/>
    <w:semiHidden/>
    <w:rsid w:val="007B18D4"/>
    <w:rPr>
      <w:rFonts w:asciiTheme="majorHAnsi" w:eastAsiaTheme="majorEastAsia" w:hAnsiTheme="majorHAnsi" w:cstheme="majorBidi"/>
      <w:smallCaps/>
      <w:color w:val="595959" w:themeColor="text1" w:themeTint="A6"/>
      <w:szCs w:val="21"/>
      <w:lang w:eastAsia="en-GB"/>
    </w:rPr>
  </w:style>
  <w:style w:type="character" w:customStyle="1" w:styleId="Heading9Char">
    <w:name w:val="Heading 9 Char"/>
    <w:basedOn w:val="DefaultParagraphFont"/>
    <w:link w:val="Heading9"/>
    <w:uiPriority w:val="9"/>
    <w:semiHidden/>
    <w:rsid w:val="007B18D4"/>
    <w:rPr>
      <w:rFonts w:asciiTheme="majorHAnsi" w:eastAsiaTheme="majorEastAsia" w:hAnsiTheme="majorHAnsi" w:cstheme="majorBidi"/>
      <w:i/>
      <w:iCs/>
      <w:smallCaps/>
      <w:color w:val="595959" w:themeColor="text1" w:themeTint="A6"/>
      <w:szCs w:val="21"/>
      <w:lang w:eastAsia="en-GB"/>
    </w:rPr>
  </w:style>
  <w:style w:type="paragraph" w:styleId="Title">
    <w:name w:val="Title"/>
    <w:basedOn w:val="Normal"/>
    <w:next w:val="Normal"/>
    <w:link w:val="TitleChar"/>
    <w:uiPriority w:val="10"/>
    <w:qFormat/>
    <w:rsid w:val="007B18D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7B18D4"/>
    <w:rPr>
      <w:rFonts w:asciiTheme="majorHAnsi" w:eastAsiaTheme="majorEastAsia" w:hAnsiTheme="majorHAnsi" w:cstheme="majorBidi"/>
      <w:color w:val="2F5496" w:themeColor="accent1" w:themeShade="BF"/>
      <w:spacing w:val="-7"/>
      <w:sz w:val="80"/>
      <w:szCs w:val="80"/>
      <w:lang w:eastAsia="en-GB"/>
    </w:rPr>
  </w:style>
  <w:style w:type="paragraph" w:styleId="Subtitle">
    <w:name w:val="Subtitle"/>
    <w:basedOn w:val="Normal"/>
    <w:next w:val="Normal"/>
    <w:link w:val="SubtitleChar"/>
    <w:uiPriority w:val="11"/>
    <w:qFormat/>
    <w:rsid w:val="007B18D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B18D4"/>
    <w:rPr>
      <w:rFonts w:asciiTheme="majorHAnsi" w:eastAsiaTheme="majorEastAsia" w:hAnsiTheme="majorHAnsi" w:cstheme="majorBidi"/>
      <w:color w:val="404040" w:themeColor="text1" w:themeTint="BF"/>
      <w:sz w:val="30"/>
      <w:szCs w:val="30"/>
      <w:lang w:eastAsia="en-GB"/>
    </w:rPr>
  </w:style>
  <w:style w:type="table" w:customStyle="1" w:styleId="1">
    <w:name w:val="1"/>
    <w:basedOn w:val="TableNormal"/>
    <w:rsid w:val="007B18D4"/>
    <w:pPr>
      <w:spacing w:after="120" w:line="264" w:lineRule="auto"/>
    </w:pPr>
    <w:rPr>
      <w:rFonts w:eastAsiaTheme="minorEastAsia"/>
      <w:sz w:val="21"/>
      <w:szCs w:val="21"/>
      <w:lang w:eastAsia="en-GB"/>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7B18D4"/>
    <w:pPr>
      <w:spacing w:line="240" w:lineRule="auto"/>
    </w:pPr>
    <w:rPr>
      <w:sz w:val="20"/>
      <w:szCs w:val="20"/>
    </w:rPr>
  </w:style>
  <w:style w:type="character" w:customStyle="1" w:styleId="CommentTextChar">
    <w:name w:val="Comment Text Char"/>
    <w:basedOn w:val="DefaultParagraphFont"/>
    <w:link w:val="CommentText"/>
    <w:uiPriority w:val="99"/>
    <w:semiHidden/>
    <w:rsid w:val="007B18D4"/>
    <w:rPr>
      <w:rFonts w:ascii="Calibri" w:eastAsiaTheme="minorEastAsia" w:hAnsi="Calibri"/>
      <w:sz w:val="20"/>
      <w:szCs w:val="20"/>
      <w:lang w:eastAsia="en-GB"/>
    </w:rPr>
  </w:style>
  <w:style w:type="character" w:styleId="CommentReference">
    <w:name w:val="annotation reference"/>
    <w:basedOn w:val="DefaultParagraphFont"/>
    <w:uiPriority w:val="99"/>
    <w:semiHidden/>
    <w:unhideWhenUsed/>
    <w:rsid w:val="007B18D4"/>
    <w:rPr>
      <w:sz w:val="16"/>
      <w:szCs w:val="16"/>
    </w:rPr>
  </w:style>
  <w:style w:type="paragraph" w:styleId="BalloonText">
    <w:name w:val="Balloon Text"/>
    <w:basedOn w:val="Normal"/>
    <w:link w:val="BalloonTextChar"/>
    <w:uiPriority w:val="99"/>
    <w:semiHidden/>
    <w:unhideWhenUsed/>
    <w:rsid w:val="007B18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8D4"/>
    <w:rPr>
      <w:rFonts w:ascii="Segoe UI" w:eastAsiaTheme="minorEastAsia" w:hAnsi="Segoe UI" w:cs="Segoe UI"/>
      <w:sz w:val="18"/>
      <w:szCs w:val="18"/>
      <w:lang w:eastAsia="en-GB"/>
    </w:rPr>
  </w:style>
  <w:style w:type="paragraph" w:styleId="NoSpacing">
    <w:name w:val="No Spacing"/>
    <w:uiPriority w:val="1"/>
    <w:qFormat/>
    <w:rsid w:val="007B18D4"/>
    <w:pPr>
      <w:spacing w:after="0" w:line="240" w:lineRule="auto"/>
    </w:pPr>
    <w:rPr>
      <w:rFonts w:eastAsiaTheme="minorEastAsia"/>
      <w:sz w:val="21"/>
      <w:szCs w:val="21"/>
      <w:lang w:eastAsia="en-GB"/>
    </w:rPr>
  </w:style>
  <w:style w:type="paragraph" w:styleId="Caption">
    <w:name w:val="caption"/>
    <w:basedOn w:val="Normal"/>
    <w:next w:val="Normal"/>
    <w:uiPriority w:val="35"/>
    <w:unhideWhenUsed/>
    <w:qFormat/>
    <w:rsid w:val="007B18D4"/>
    <w:pPr>
      <w:spacing w:line="240" w:lineRule="auto"/>
    </w:pPr>
    <w:rPr>
      <w:b/>
      <w:bCs/>
      <w:sz w:val="20"/>
      <w:szCs w:val="20"/>
    </w:rPr>
  </w:style>
  <w:style w:type="character" w:styleId="Strong">
    <w:name w:val="Strong"/>
    <w:basedOn w:val="DefaultParagraphFont"/>
    <w:uiPriority w:val="22"/>
    <w:qFormat/>
    <w:rsid w:val="007B18D4"/>
    <w:rPr>
      <w:b/>
      <w:bCs/>
    </w:rPr>
  </w:style>
  <w:style w:type="character" w:styleId="Emphasis">
    <w:name w:val="Emphasis"/>
    <w:basedOn w:val="DefaultParagraphFont"/>
    <w:uiPriority w:val="20"/>
    <w:qFormat/>
    <w:rsid w:val="007B18D4"/>
    <w:rPr>
      <w:i/>
      <w:iCs/>
    </w:rPr>
  </w:style>
  <w:style w:type="paragraph" w:styleId="Quote">
    <w:name w:val="Quote"/>
    <w:basedOn w:val="Normal"/>
    <w:next w:val="Normal"/>
    <w:link w:val="QuoteChar"/>
    <w:uiPriority w:val="29"/>
    <w:qFormat/>
    <w:rsid w:val="007B18D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7B18D4"/>
    <w:rPr>
      <w:rFonts w:ascii="Calibri" w:eastAsiaTheme="minorEastAsia" w:hAnsi="Calibri"/>
      <w:i/>
      <w:iCs/>
      <w:szCs w:val="21"/>
      <w:lang w:eastAsia="en-GB"/>
    </w:rPr>
  </w:style>
  <w:style w:type="paragraph" w:styleId="IntenseQuote">
    <w:name w:val="Intense Quote"/>
    <w:basedOn w:val="Normal"/>
    <w:next w:val="Normal"/>
    <w:link w:val="IntenseQuoteChar"/>
    <w:uiPriority w:val="30"/>
    <w:qFormat/>
    <w:rsid w:val="007B18D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7B18D4"/>
    <w:rPr>
      <w:rFonts w:asciiTheme="majorHAnsi" w:eastAsiaTheme="majorEastAsia" w:hAnsiTheme="majorHAnsi" w:cstheme="majorBidi"/>
      <w:color w:val="4472C4" w:themeColor="accent1"/>
      <w:sz w:val="28"/>
      <w:szCs w:val="28"/>
      <w:lang w:eastAsia="en-GB"/>
    </w:rPr>
  </w:style>
  <w:style w:type="character" w:styleId="SubtleEmphasis">
    <w:name w:val="Subtle Emphasis"/>
    <w:basedOn w:val="DefaultParagraphFont"/>
    <w:uiPriority w:val="19"/>
    <w:qFormat/>
    <w:rsid w:val="007B18D4"/>
    <w:rPr>
      <w:i/>
      <w:iCs/>
      <w:color w:val="595959" w:themeColor="text1" w:themeTint="A6"/>
    </w:rPr>
  </w:style>
  <w:style w:type="character" w:styleId="IntenseEmphasis">
    <w:name w:val="Intense Emphasis"/>
    <w:basedOn w:val="DefaultParagraphFont"/>
    <w:uiPriority w:val="21"/>
    <w:qFormat/>
    <w:rsid w:val="007B18D4"/>
    <w:rPr>
      <w:b/>
      <w:bCs/>
      <w:i/>
      <w:iCs/>
    </w:rPr>
  </w:style>
  <w:style w:type="character" w:styleId="SubtleReference">
    <w:name w:val="Subtle Reference"/>
    <w:basedOn w:val="DefaultParagraphFont"/>
    <w:uiPriority w:val="31"/>
    <w:qFormat/>
    <w:rsid w:val="007B18D4"/>
    <w:rPr>
      <w:smallCaps/>
      <w:color w:val="404040" w:themeColor="text1" w:themeTint="BF"/>
    </w:rPr>
  </w:style>
  <w:style w:type="character" w:styleId="IntenseReference">
    <w:name w:val="Intense Reference"/>
    <w:basedOn w:val="DefaultParagraphFont"/>
    <w:uiPriority w:val="32"/>
    <w:qFormat/>
    <w:rsid w:val="007B18D4"/>
    <w:rPr>
      <w:b/>
      <w:bCs/>
      <w:smallCaps/>
      <w:u w:val="single"/>
    </w:rPr>
  </w:style>
  <w:style w:type="character" w:styleId="BookTitle">
    <w:name w:val="Book Title"/>
    <w:basedOn w:val="DefaultParagraphFont"/>
    <w:uiPriority w:val="33"/>
    <w:qFormat/>
    <w:rsid w:val="007B18D4"/>
    <w:rPr>
      <w:b/>
      <w:bCs/>
      <w:smallCaps/>
    </w:rPr>
  </w:style>
  <w:style w:type="paragraph" w:styleId="TOCHeading">
    <w:name w:val="TOC Heading"/>
    <w:basedOn w:val="Heading1"/>
    <w:next w:val="Normal"/>
    <w:uiPriority w:val="39"/>
    <w:semiHidden/>
    <w:unhideWhenUsed/>
    <w:qFormat/>
    <w:rsid w:val="007B18D4"/>
    <w:pPr>
      <w:outlineLvl w:val="9"/>
    </w:pPr>
  </w:style>
  <w:style w:type="character" w:styleId="Hyperlink">
    <w:name w:val="Hyperlink"/>
    <w:basedOn w:val="DefaultParagraphFont"/>
    <w:uiPriority w:val="99"/>
    <w:unhideWhenUsed/>
    <w:rsid w:val="007B18D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7B18D4"/>
    <w:rPr>
      <w:b/>
      <w:bCs/>
    </w:rPr>
  </w:style>
  <w:style w:type="character" w:customStyle="1" w:styleId="CommentSubjectChar">
    <w:name w:val="Comment Subject Char"/>
    <w:basedOn w:val="CommentTextChar"/>
    <w:link w:val="CommentSubject"/>
    <w:uiPriority w:val="99"/>
    <w:semiHidden/>
    <w:rsid w:val="007B18D4"/>
    <w:rPr>
      <w:rFonts w:ascii="Calibri" w:eastAsiaTheme="minorEastAsia" w:hAnsi="Calibri"/>
      <w:b/>
      <w:bCs/>
      <w:sz w:val="20"/>
      <w:szCs w:val="20"/>
      <w:lang w:eastAsia="en-GB"/>
    </w:rPr>
  </w:style>
  <w:style w:type="paragraph" w:styleId="Revision">
    <w:name w:val="Revision"/>
    <w:hidden/>
    <w:uiPriority w:val="99"/>
    <w:semiHidden/>
    <w:rsid w:val="007B18D4"/>
    <w:pPr>
      <w:spacing w:after="0" w:line="240" w:lineRule="auto"/>
    </w:pPr>
    <w:rPr>
      <w:rFonts w:eastAsiaTheme="minorEastAsia"/>
      <w:sz w:val="21"/>
      <w:szCs w:val="21"/>
      <w:lang w:eastAsia="en-GB"/>
    </w:rPr>
  </w:style>
  <w:style w:type="paragraph" w:styleId="NormalWeb">
    <w:name w:val="Normal (Web)"/>
    <w:basedOn w:val="Normal"/>
    <w:uiPriority w:val="99"/>
    <w:unhideWhenUsed/>
    <w:rsid w:val="007B18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B18D4"/>
    <w:rPr>
      <w:color w:val="605E5C"/>
      <w:shd w:val="clear" w:color="auto" w:fill="E1DFDD"/>
    </w:rPr>
  </w:style>
  <w:style w:type="paragraph" w:styleId="ListParagraph">
    <w:name w:val="List Paragraph"/>
    <w:aliases w:val="R code"/>
    <w:basedOn w:val="Normal"/>
    <w:uiPriority w:val="34"/>
    <w:qFormat/>
    <w:rsid w:val="007B18D4"/>
    <w:pPr>
      <w:ind w:left="720"/>
      <w:contextualSpacing/>
    </w:pPr>
  </w:style>
  <w:style w:type="table" w:customStyle="1" w:styleId="ListTable1Light1">
    <w:name w:val="List Table 1 Light1"/>
    <w:basedOn w:val="TableNormal"/>
    <w:uiPriority w:val="46"/>
    <w:rsid w:val="007B18D4"/>
    <w:pPr>
      <w:spacing w:after="0" w:line="240" w:lineRule="auto"/>
    </w:pPr>
    <w:rPr>
      <w:rFonts w:eastAsiaTheme="minorEastAsia"/>
      <w:sz w:val="21"/>
      <w:szCs w:val="21"/>
      <w:lang w:eastAsia="en-GB"/>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1">
    <w:name w:val="Style1"/>
    <w:basedOn w:val="TableNormal"/>
    <w:uiPriority w:val="99"/>
    <w:rsid w:val="007B18D4"/>
    <w:pPr>
      <w:spacing w:after="0" w:line="240" w:lineRule="auto"/>
    </w:pPr>
    <w:rPr>
      <w:rFonts w:eastAsiaTheme="minorEastAsia"/>
    </w:rPr>
    <w:tblPr/>
    <w:tblStylePr w:type="firstRow">
      <w:rPr>
        <w:rFonts w:asciiTheme="minorHAnsi" w:hAnsiTheme="minorHAnsi"/>
        <w:b/>
        <w:sz w:val="22"/>
      </w:rPr>
      <w:tblPr/>
      <w:tcPr>
        <w:tcBorders>
          <w:top w:val="double" w:sz="6" w:space="0" w:color="auto"/>
          <w:left w:val="nil"/>
          <w:bottom w:val="double" w:sz="6" w:space="0" w:color="auto"/>
          <w:right w:val="nil"/>
          <w:insideH w:val="nil"/>
          <w:insideV w:val="nil"/>
        </w:tcBorders>
      </w:tcPr>
    </w:tblStylePr>
    <w:tblStylePr w:type="lastRow">
      <w:tblPr/>
      <w:tcPr>
        <w:tcBorders>
          <w:bottom w:val="single" w:sz="12" w:space="0" w:color="7B7B7B" w:themeColor="accent3" w:themeShade="BF"/>
        </w:tcBorders>
      </w:tcPr>
    </w:tblStylePr>
  </w:style>
  <w:style w:type="paragraph" w:customStyle="1" w:styleId="Table">
    <w:name w:val="Table"/>
    <w:basedOn w:val="Normal"/>
    <w:link w:val="TableChar"/>
    <w:qFormat/>
    <w:rsid w:val="007B18D4"/>
    <w:pPr>
      <w:spacing w:after="0" w:line="240" w:lineRule="auto"/>
      <w:jc w:val="both"/>
    </w:pPr>
    <w:rPr>
      <w:rFonts w:asciiTheme="minorHAnsi" w:hAnsiTheme="minorHAnsi"/>
      <w:szCs w:val="22"/>
      <w:lang w:eastAsia="en-US"/>
    </w:rPr>
  </w:style>
  <w:style w:type="character" w:customStyle="1" w:styleId="TableChar">
    <w:name w:val="Table Char"/>
    <w:basedOn w:val="DefaultParagraphFont"/>
    <w:link w:val="Table"/>
    <w:rsid w:val="007B18D4"/>
    <w:rPr>
      <w:rFonts w:eastAsiaTheme="minorEastAsia"/>
    </w:rPr>
  </w:style>
  <w:style w:type="character" w:customStyle="1" w:styleId="UnresolvedMention2">
    <w:name w:val="Unresolved Mention2"/>
    <w:basedOn w:val="DefaultParagraphFont"/>
    <w:uiPriority w:val="99"/>
    <w:semiHidden/>
    <w:unhideWhenUsed/>
    <w:rsid w:val="007B18D4"/>
    <w:rPr>
      <w:color w:val="605E5C"/>
      <w:shd w:val="clear" w:color="auto" w:fill="E1DFDD"/>
    </w:rPr>
  </w:style>
  <w:style w:type="character" w:styleId="FollowedHyperlink">
    <w:name w:val="FollowedHyperlink"/>
    <w:basedOn w:val="DefaultParagraphFont"/>
    <w:uiPriority w:val="99"/>
    <w:semiHidden/>
    <w:unhideWhenUsed/>
    <w:rsid w:val="007B18D4"/>
    <w:rPr>
      <w:color w:val="954F72" w:themeColor="followedHyperlink"/>
      <w:u w:val="single"/>
    </w:rPr>
  </w:style>
  <w:style w:type="character" w:customStyle="1" w:styleId="xapple-converted-space">
    <w:name w:val="x_apple-converted-space"/>
    <w:basedOn w:val="DefaultParagraphFont"/>
    <w:rsid w:val="007B18D4"/>
  </w:style>
  <w:style w:type="character" w:customStyle="1" w:styleId="UnresolvedMention3">
    <w:name w:val="Unresolved Mention3"/>
    <w:basedOn w:val="DefaultParagraphFont"/>
    <w:uiPriority w:val="99"/>
    <w:semiHidden/>
    <w:unhideWhenUsed/>
    <w:rsid w:val="007B18D4"/>
    <w:rPr>
      <w:color w:val="605E5C"/>
      <w:shd w:val="clear" w:color="auto" w:fill="E1DFDD"/>
    </w:rPr>
  </w:style>
  <w:style w:type="character" w:customStyle="1" w:styleId="apple-converted-space">
    <w:name w:val="apple-converted-space"/>
    <w:basedOn w:val="DefaultParagraphFont"/>
    <w:rsid w:val="007B18D4"/>
  </w:style>
  <w:style w:type="character" w:customStyle="1" w:styleId="citation">
    <w:name w:val="citation"/>
    <w:basedOn w:val="DefaultParagraphFont"/>
    <w:rsid w:val="007B18D4"/>
  </w:style>
  <w:style w:type="character" w:customStyle="1" w:styleId="ref-journal">
    <w:name w:val="ref-journal"/>
    <w:basedOn w:val="DefaultParagraphFont"/>
    <w:rsid w:val="007B18D4"/>
  </w:style>
  <w:style w:type="character" w:customStyle="1" w:styleId="ref-vol">
    <w:name w:val="ref-vol"/>
    <w:basedOn w:val="DefaultParagraphFont"/>
    <w:rsid w:val="007B18D4"/>
  </w:style>
  <w:style w:type="character" w:customStyle="1" w:styleId="nowrap">
    <w:name w:val="nowrap"/>
    <w:basedOn w:val="DefaultParagraphFont"/>
    <w:rsid w:val="007B18D4"/>
  </w:style>
  <w:style w:type="character" w:styleId="LineNumber">
    <w:name w:val="line number"/>
    <w:basedOn w:val="DefaultParagraphFont"/>
    <w:uiPriority w:val="99"/>
    <w:semiHidden/>
    <w:unhideWhenUsed/>
    <w:rsid w:val="007B18D4"/>
  </w:style>
  <w:style w:type="paragraph" w:styleId="Header">
    <w:name w:val="header"/>
    <w:basedOn w:val="Normal"/>
    <w:link w:val="HeaderChar"/>
    <w:uiPriority w:val="99"/>
    <w:unhideWhenUsed/>
    <w:rsid w:val="007B1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8D4"/>
    <w:rPr>
      <w:rFonts w:ascii="Calibri" w:eastAsiaTheme="minorEastAsia" w:hAnsi="Calibri"/>
      <w:szCs w:val="21"/>
      <w:lang w:eastAsia="en-GB"/>
    </w:rPr>
  </w:style>
  <w:style w:type="paragraph" w:styleId="Footer">
    <w:name w:val="footer"/>
    <w:basedOn w:val="Normal"/>
    <w:link w:val="FooterChar"/>
    <w:uiPriority w:val="99"/>
    <w:unhideWhenUsed/>
    <w:rsid w:val="007B1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8D4"/>
    <w:rPr>
      <w:rFonts w:ascii="Calibri" w:eastAsiaTheme="minorEastAsia" w:hAnsi="Calibri"/>
      <w:szCs w:val="21"/>
      <w:lang w:eastAsia="en-GB"/>
    </w:rPr>
  </w:style>
  <w:style w:type="character" w:customStyle="1" w:styleId="UnresolvedMention4">
    <w:name w:val="Unresolved Mention4"/>
    <w:basedOn w:val="DefaultParagraphFont"/>
    <w:uiPriority w:val="99"/>
    <w:semiHidden/>
    <w:unhideWhenUsed/>
    <w:rsid w:val="007B18D4"/>
    <w:rPr>
      <w:color w:val="605E5C"/>
      <w:shd w:val="clear" w:color="auto" w:fill="E1DFDD"/>
    </w:rPr>
  </w:style>
  <w:style w:type="numbering" w:customStyle="1" w:styleId="NoList1">
    <w:name w:val="No List1"/>
    <w:next w:val="NoList"/>
    <w:uiPriority w:val="99"/>
    <w:semiHidden/>
    <w:unhideWhenUsed/>
    <w:rsid w:val="007B18D4"/>
  </w:style>
  <w:style w:type="table" w:customStyle="1" w:styleId="11">
    <w:name w:val="11"/>
    <w:basedOn w:val="TableNormal"/>
    <w:rsid w:val="007B18D4"/>
    <w:pPr>
      <w:spacing w:after="120" w:line="264" w:lineRule="auto"/>
    </w:pPr>
    <w:rPr>
      <w:rFonts w:eastAsia="MS Mincho"/>
      <w:sz w:val="21"/>
      <w:szCs w:val="21"/>
      <w:lang w:eastAsia="en-GB"/>
    </w:rPr>
    <w:tblPr>
      <w:tblStyleRowBandSize w:val="1"/>
      <w:tblStyleColBandSize w:val="1"/>
      <w:tblCellMar>
        <w:top w:w="100" w:type="dxa"/>
        <w:left w:w="100" w:type="dxa"/>
        <w:bottom w:w="100" w:type="dxa"/>
        <w:right w:w="100" w:type="dxa"/>
      </w:tblCellMar>
    </w:tblPr>
  </w:style>
  <w:style w:type="table" w:customStyle="1" w:styleId="ListTable1Light11">
    <w:name w:val="List Table 1 Light11"/>
    <w:basedOn w:val="TableNormal"/>
    <w:uiPriority w:val="46"/>
    <w:rsid w:val="007B18D4"/>
    <w:pPr>
      <w:spacing w:after="0" w:line="240" w:lineRule="auto"/>
    </w:pPr>
    <w:rPr>
      <w:rFonts w:eastAsia="MS Mincho"/>
      <w:sz w:val="21"/>
      <w:szCs w:val="21"/>
      <w:lang w:eastAsia="en-GB"/>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tyle11">
    <w:name w:val="Style11"/>
    <w:basedOn w:val="TableNormal"/>
    <w:uiPriority w:val="99"/>
    <w:rsid w:val="007B18D4"/>
    <w:pPr>
      <w:spacing w:after="0" w:line="240" w:lineRule="auto"/>
    </w:pPr>
    <w:rPr>
      <w:rFonts w:eastAsia="MS Mincho"/>
    </w:rPr>
    <w:tblPr/>
    <w:tblStylePr w:type="firstRow">
      <w:rPr>
        <w:rFonts w:ascii="Times New Roman,Italic" w:hAnsi="Times New Roman,Italic"/>
        <w:b/>
        <w:sz w:val="22"/>
      </w:rPr>
      <w:tblPr/>
      <w:tcPr>
        <w:tcBorders>
          <w:top w:val="double" w:sz="6" w:space="0" w:color="auto"/>
          <w:left w:val="nil"/>
          <w:bottom w:val="double" w:sz="6" w:space="0" w:color="auto"/>
          <w:right w:val="nil"/>
          <w:insideH w:val="nil"/>
          <w:insideV w:val="nil"/>
        </w:tcBorders>
      </w:tcPr>
    </w:tblStylePr>
    <w:tblStylePr w:type="lastRow">
      <w:tblPr/>
      <w:tcPr>
        <w:tcBorders>
          <w:bottom w:val="single" w:sz="12" w:space="0" w:color="76923C"/>
        </w:tcBorders>
      </w:tcPr>
    </w:tblStylePr>
  </w:style>
  <w:style w:type="character" w:customStyle="1" w:styleId="UnresolvedMention">
    <w:name w:val="Unresolved Mention"/>
    <w:basedOn w:val="DefaultParagraphFont"/>
    <w:uiPriority w:val="99"/>
    <w:semiHidden/>
    <w:unhideWhenUsed/>
    <w:rsid w:val="00584A23"/>
    <w:rPr>
      <w:color w:val="605E5C"/>
      <w:shd w:val="clear" w:color="auto" w:fill="E1DFDD"/>
    </w:rPr>
  </w:style>
  <w:style w:type="paragraph" w:styleId="FootnoteText">
    <w:name w:val="footnote text"/>
    <w:basedOn w:val="Normal"/>
    <w:link w:val="FootnoteTextChar"/>
    <w:uiPriority w:val="99"/>
    <w:semiHidden/>
    <w:unhideWhenUsed/>
    <w:rsid w:val="008348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486D"/>
    <w:rPr>
      <w:rFonts w:ascii="Calibri" w:eastAsiaTheme="minorEastAsia" w:hAnsi="Calibri"/>
      <w:sz w:val="20"/>
      <w:szCs w:val="20"/>
      <w:lang w:eastAsia="en-GB"/>
    </w:rPr>
  </w:style>
  <w:style w:type="character" w:styleId="FootnoteReference">
    <w:name w:val="footnote reference"/>
    <w:basedOn w:val="DefaultParagraphFont"/>
    <w:uiPriority w:val="99"/>
    <w:semiHidden/>
    <w:unhideWhenUsed/>
    <w:rsid w:val="0083486D"/>
    <w:rPr>
      <w:vertAlign w:val="superscript"/>
    </w:rPr>
  </w:style>
  <w:style w:type="character" w:styleId="EndnoteReference">
    <w:name w:val="endnote reference"/>
    <w:basedOn w:val="DefaultParagraphFont"/>
    <w:uiPriority w:val="99"/>
    <w:semiHidden/>
    <w:unhideWhenUsed/>
    <w:rsid w:val="001E29EB"/>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en">
    <w:name w:val="pl-en"/>
    <w:basedOn w:val="DefaultParagraphFont"/>
    <w:rsid w:val="00F7118B"/>
  </w:style>
  <w:style w:type="paragraph" w:styleId="HTMLPreformatted">
    <w:name w:val="HTML Preformatted"/>
    <w:basedOn w:val="Normal"/>
    <w:link w:val="HTMLPreformattedChar"/>
    <w:uiPriority w:val="99"/>
    <w:semiHidden/>
    <w:unhideWhenUsed/>
    <w:rsid w:val="00402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2FC2"/>
    <w:rPr>
      <w:rFonts w:ascii="Courier New" w:eastAsia="Times New Roman" w:hAnsi="Courier New" w:cs="Courier New"/>
      <w:sz w:val="20"/>
      <w:szCs w:val="20"/>
      <w:lang w:eastAsia="en-GB"/>
    </w:rPr>
  </w:style>
  <w:style w:type="character" w:customStyle="1" w:styleId="pl-s">
    <w:name w:val="pl-s"/>
    <w:basedOn w:val="DefaultParagraphFont"/>
    <w:rsid w:val="00C96710"/>
  </w:style>
  <w:style w:type="paragraph" w:customStyle="1" w:styleId="xmsonormal">
    <w:name w:val="x_msonormal"/>
    <w:basedOn w:val="Normal"/>
    <w:rsid w:val="00415436"/>
    <w:pPr>
      <w:spacing w:after="0" w:line="240" w:lineRule="auto"/>
    </w:pPr>
    <w:rPr>
      <w:rFonts w:eastAsiaTheme="minorHAnsi" w:cs="Calibri"/>
      <w:szCs w:val="22"/>
    </w:rPr>
  </w:style>
  <w:style w:type="paragraph" w:customStyle="1" w:styleId="xmsolistparagraph">
    <w:name w:val="x_msolistparagraph"/>
    <w:basedOn w:val="Normal"/>
    <w:rsid w:val="00415436"/>
    <w:pPr>
      <w:spacing w:after="0" w:line="240" w:lineRule="auto"/>
      <w:ind w:left="720"/>
    </w:pPr>
    <w:rPr>
      <w:rFonts w:eastAsiaTheme="minorHAnsi" w:cs="Calibri"/>
      <w:szCs w:val="22"/>
    </w:rPr>
  </w:style>
  <w:style w:type="character" w:styleId="HTMLCode">
    <w:name w:val="HTML Code"/>
    <w:basedOn w:val="DefaultParagraphFont"/>
    <w:uiPriority w:val="99"/>
    <w:semiHidden/>
    <w:unhideWhenUsed/>
    <w:rsid w:val="008B39F2"/>
    <w:rPr>
      <w:rFonts w:ascii="Courier New" w:eastAsia="Times New Roman" w:hAnsi="Courier New" w:cs="Courier New"/>
      <w:sz w:val="20"/>
      <w:szCs w:val="20"/>
    </w:rPr>
  </w:style>
  <w:style w:type="character" w:customStyle="1" w:styleId="acopre">
    <w:name w:val="acopre"/>
    <w:basedOn w:val="DefaultParagraphFont"/>
    <w:rsid w:val="00780C9F"/>
  </w:style>
  <w:style w:type="character" w:customStyle="1" w:styleId="gnkrckgcgsb">
    <w:name w:val="gnkrckgcgsb"/>
    <w:basedOn w:val="DefaultParagraphFont"/>
    <w:rsid w:val="000326EB"/>
  </w:style>
  <w:style w:type="character" w:customStyle="1" w:styleId="normaltextrun">
    <w:name w:val="normaltextrun"/>
    <w:basedOn w:val="DefaultParagraphFont"/>
    <w:rsid w:val="00FF06CF"/>
  </w:style>
  <w:style w:type="character" w:customStyle="1" w:styleId="eop">
    <w:name w:val="eop"/>
    <w:basedOn w:val="DefaultParagraphFont"/>
    <w:rsid w:val="00FF06CF"/>
  </w:style>
  <w:style w:type="paragraph" w:customStyle="1" w:styleId="paragraph">
    <w:name w:val="paragraph"/>
    <w:basedOn w:val="Normal"/>
    <w:rsid w:val="00DF12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473A4"/>
    <w:pPr>
      <w:spacing w:after="0" w:line="240" w:lineRule="auto"/>
    </w:pPr>
    <w:rPr>
      <w:rFonts w:eastAsiaTheme="minorHAnsi" w:cs="Calibri"/>
      <w:szCs w:val="22"/>
    </w:rPr>
  </w:style>
  <w:style w:type="character" w:customStyle="1" w:styleId="grid-clickable">
    <w:name w:val="grid-clickable"/>
    <w:basedOn w:val="DefaultParagraphFont"/>
    <w:rsid w:val="00AA5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52004">
      <w:bodyDiv w:val="1"/>
      <w:marLeft w:val="0"/>
      <w:marRight w:val="0"/>
      <w:marTop w:val="0"/>
      <w:marBottom w:val="0"/>
      <w:divBdr>
        <w:top w:val="none" w:sz="0" w:space="0" w:color="auto"/>
        <w:left w:val="none" w:sz="0" w:space="0" w:color="auto"/>
        <w:bottom w:val="none" w:sz="0" w:space="0" w:color="auto"/>
        <w:right w:val="none" w:sz="0" w:space="0" w:color="auto"/>
      </w:divBdr>
    </w:div>
    <w:div w:id="91240096">
      <w:bodyDiv w:val="1"/>
      <w:marLeft w:val="0"/>
      <w:marRight w:val="0"/>
      <w:marTop w:val="0"/>
      <w:marBottom w:val="0"/>
      <w:divBdr>
        <w:top w:val="none" w:sz="0" w:space="0" w:color="auto"/>
        <w:left w:val="none" w:sz="0" w:space="0" w:color="auto"/>
        <w:bottom w:val="none" w:sz="0" w:space="0" w:color="auto"/>
        <w:right w:val="none" w:sz="0" w:space="0" w:color="auto"/>
      </w:divBdr>
    </w:div>
    <w:div w:id="92091118">
      <w:bodyDiv w:val="1"/>
      <w:marLeft w:val="0"/>
      <w:marRight w:val="0"/>
      <w:marTop w:val="0"/>
      <w:marBottom w:val="0"/>
      <w:divBdr>
        <w:top w:val="none" w:sz="0" w:space="0" w:color="auto"/>
        <w:left w:val="none" w:sz="0" w:space="0" w:color="auto"/>
        <w:bottom w:val="none" w:sz="0" w:space="0" w:color="auto"/>
        <w:right w:val="none" w:sz="0" w:space="0" w:color="auto"/>
      </w:divBdr>
    </w:div>
    <w:div w:id="167600736">
      <w:bodyDiv w:val="1"/>
      <w:marLeft w:val="0"/>
      <w:marRight w:val="0"/>
      <w:marTop w:val="0"/>
      <w:marBottom w:val="0"/>
      <w:divBdr>
        <w:top w:val="none" w:sz="0" w:space="0" w:color="auto"/>
        <w:left w:val="none" w:sz="0" w:space="0" w:color="auto"/>
        <w:bottom w:val="none" w:sz="0" w:space="0" w:color="auto"/>
        <w:right w:val="none" w:sz="0" w:space="0" w:color="auto"/>
      </w:divBdr>
    </w:div>
    <w:div w:id="175727445">
      <w:bodyDiv w:val="1"/>
      <w:marLeft w:val="0"/>
      <w:marRight w:val="0"/>
      <w:marTop w:val="0"/>
      <w:marBottom w:val="0"/>
      <w:divBdr>
        <w:top w:val="none" w:sz="0" w:space="0" w:color="auto"/>
        <w:left w:val="none" w:sz="0" w:space="0" w:color="auto"/>
        <w:bottom w:val="none" w:sz="0" w:space="0" w:color="auto"/>
        <w:right w:val="none" w:sz="0" w:space="0" w:color="auto"/>
      </w:divBdr>
    </w:div>
    <w:div w:id="200560967">
      <w:bodyDiv w:val="1"/>
      <w:marLeft w:val="0"/>
      <w:marRight w:val="0"/>
      <w:marTop w:val="0"/>
      <w:marBottom w:val="0"/>
      <w:divBdr>
        <w:top w:val="none" w:sz="0" w:space="0" w:color="auto"/>
        <w:left w:val="none" w:sz="0" w:space="0" w:color="auto"/>
        <w:bottom w:val="none" w:sz="0" w:space="0" w:color="auto"/>
        <w:right w:val="none" w:sz="0" w:space="0" w:color="auto"/>
      </w:divBdr>
    </w:div>
    <w:div w:id="303391622">
      <w:bodyDiv w:val="1"/>
      <w:marLeft w:val="0"/>
      <w:marRight w:val="0"/>
      <w:marTop w:val="0"/>
      <w:marBottom w:val="0"/>
      <w:divBdr>
        <w:top w:val="none" w:sz="0" w:space="0" w:color="auto"/>
        <w:left w:val="none" w:sz="0" w:space="0" w:color="auto"/>
        <w:bottom w:val="none" w:sz="0" w:space="0" w:color="auto"/>
        <w:right w:val="none" w:sz="0" w:space="0" w:color="auto"/>
      </w:divBdr>
    </w:div>
    <w:div w:id="368844368">
      <w:bodyDiv w:val="1"/>
      <w:marLeft w:val="0"/>
      <w:marRight w:val="0"/>
      <w:marTop w:val="0"/>
      <w:marBottom w:val="0"/>
      <w:divBdr>
        <w:top w:val="none" w:sz="0" w:space="0" w:color="auto"/>
        <w:left w:val="none" w:sz="0" w:space="0" w:color="auto"/>
        <w:bottom w:val="none" w:sz="0" w:space="0" w:color="auto"/>
        <w:right w:val="none" w:sz="0" w:space="0" w:color="auto"/>
      </w:divBdr>
      <w:divsChild>
        <w:div w:id="676426764">
          <w:marLeft w:val="547"/>
          <w:marRight w:val="0"/>
          <w:marTop w:val="0"/>
          <w:marBottom w:val="0"/>
          <w:divBdr>
            <w:top w:val="none" w:sz="0" w:space="0" w:color="auto"/>
            <w:left w:val="none" w:sz="0" w:space="0" w:color="auto"/>
            <w:bottom w:val="none" w:sz="0" w:space="0" w:color="auto"/>
            <w:right w:val="none" w:sz="0" w:space="0" w:color="auto"/>
          </w:divBdr>
        </w:div>
        <w:div w:id="1447656688">
          <w:marLeft w:val="547"/>
          <w:marRight w:val="0"/>
          <w:marTop w:val="0"/>
          <w:marBottom w:val="0"/>
          <w:divBdr>
            <w:top w:val="none" w:sz="0" w:space="0" w:color="auto"/>
            <w:left w:val="none" w:sz="0" w:space="0" w:color="auto"/>
            <w:bottom w:val="none" w:sz="0" w:space="0" w:color="auto"/>
            <w:right w:val="none" w:sz="0" w:space="0" w:color="auto"/>
          </w:divBdr>
        </w:div>
      </w:divsChild>
    </w:div>
    <w:div w:id="370768130">
      <w:bodyDiv w:val="1"/>
      <w:marLeft w:val="0"/>
      <w:marRight w:val="0"/>
      <w:marTop w:val="0"/>
      <w:marBottom w:val="0"/>
      <w:divBdr>
        <w:top w:val="none" w:sz="0" w:space="0" w:color="auto"/>
        <w:left w:val="none" w:sz="0" w:space="0" w:color="auto"/>
        <w:bottom w:val="none" w:sz="0" w:space="0" w:color="auto"/>
        <w:right w:val="none" w:sz="0" w:space="0" w:color="auto"/>
      </w:divBdr>
    </w:div>
    <w:div w:id="372316713">
      <w:bodyDiv w:val="1"/>
      <w:marLeft w:val="0"/>
      <w:marRight w:val="0"/>
      <w:marTop w:val="0"/>
      <w:marBottom w:val="0"/>
      <w:divBdr>
        <w:top w:val="none" w:sz="0" w:space="0" w:color="auto"/>
        <w:left w:val="none" w:sz="0" w:space="0" w:color="auto"/>
        <w:bottom w:val="none" w:sz="0" w:space="0" w:color="auto"/>
        <w:right w:val="none" w:sz="0" w:space="0" w:color="auto"/>
      </w:divBdr>
    </w:div>
    <w:div w:id="452410724">
      <w:bodyDiv w:val="1"/>
      <w:marLeft w:val="0"/>
      <w:marRight w:val="0"/>
      <w:marTop w:val="0"/>
      <w:marBottom w:val="0"/>
      <w:divBdr>
        <w:top w:val="none" w:sz="0" w:space="0" w:color="auto"/>
        <w:left w:val="none" w:sz="0" w:space="0" w:color="auto"/>
        <w:bottom w:val="none" w:sz="0" w:space="0" w:color="auto"/>
        <w:right w:val="none" w:sz="0" w:space="0" w:color="auto"/>
      </w:divBdr>
      <w:divsChild>
        <w:div w:id="126315601">
          <w:marLeft w:val="547"/>
          <w:marRight w:val="0"/>
          <w:marTop w:val="0"/>
          <w:marBottom w:val="0"/>
          <w:divBdr>
            <w:top w:val="none" w:sz="0" w:space="0" w:color="auto"/>
            <w:left w:val="none" w:sz="0" w:space="0" w:color="auto"/>
            <w:bottom w:val="none" w:sz="0" w:space="0" w:color="auto"/>
            <w:right w:val="none" w:sz="0" w:space="0" w:color="auto"/>
          </w:divBdr>
        </w:div>
        <w:div w:id="200872618">
          <w:marLeft w:val="547"/>
          <w:marRight w:val="0"/>
          <w:marTop w:val="0"/>
          <w:marBottom w:val="0"/>
          <w:divBdr>
            <w:top w:val="none" w:sz="0" w:space="0" w:color="auto"/>
            <w:left w:val="none" w:sz="0" w:space="0" w:color="auto"/>
            <w:bottom w:val="none" w:sz="0" w:space="0" w:color="auto"/>
            <w:right w:val="none" w:sz="0" w:space="0" w:color="auto"/>
          </w:divBdr>
        </w:div>
        <w:div w:id="1259481515">
          <w:marLeft w:val="547"/>
          <w:marRight w:val="0"/>
          <w:marTop w:val="0"/>
          <w:marBottom w:val="0"/>
          <w:divBdr>
            <w:top w:val="none" w:sz="0" w:space="0" w:color="auto"/>
            <w:left w:val="none" w:sz="0" w:space="0" w:color="auto"/>
            <w:bottom w:val="none" w:sz="0" w:space="0" w:color="auto"/>
            <w:right w:val="none" w:sz="0" w:space="0" w:color="auto"/>
          </w:divBdr>
        </w:div>
      </w:divsChild>
    </w:div>
    <w:div w:id="482091069">
      <w:bodyDiv w:val="1"/>
      <w:marLeft w:val="0"/>
      <w:marRight w:val="0"/>
      <w:marTop w:val="0"/>
      <w:marBottom w:val="0"/>
      <w:divBdr>
        <w:top w:val="none" w:sz="0" w:space="0" w:color="auto"/>
        <w:left w:val="none" w:sz="0" w:space="0" w:color="auto"/>
        <w:bottom w:val="none" w:sz="0" w:space="0" w:color="auto"/>
        <w:right w:val="none" w:sz="0" w:space="0" w:color="auto"/>
      </w:divBdr>
    </w:div>
    <w:div w:id="523984138">
      <w:bodyDiv w:val="1"/>
      <w:marLeft w:val="0"/>
      <w:marRight w:val="0"/>
      <w:marTop w:val="0"/>
      <w:marBottom w:val="0"/>
      <w:divBdr>
        <w:top w:val="none" w:sz="0" w:space="0" w:color="auto"/>
        <w:left w:val="none" w:sz="0" w:space="0" w:color="auto"/>
        <w:bottom w:val="none" w:sz="0" w:space="0" w:color="auto"/>
        <w:right w:val="none" w:sz="0" w:space="0" w:color="auto"/>
      </w:divBdr>
    </w:div>
    <w:div w:id="566500105">
      <w:bodyDiv w:val="1"/>
      <w:marLeft w:val="0"/>
      <w:marRight w:val="0"/>
      <w:marTop w:val="0"/>
      <w:marBottom w:val="0"/>
      <w:divBdr>
        <w:top w:val="none" w:sz="0" w:space="0" w:color="auto"/>
        <w:left w:val="none" w:sz="0" w:space="0" w:color="auto"/>
        <w:bottom w:val="none" w:sz="0" w:space="0" w:color="auto"/>
        <w:right w:val="none" w:sz="0" w:space="0" w:color="auto"/>
      </w:divBdr>
    </w:div>
    <w:div w:id="598954976">
      <w:bodyDiv w:val="1"/>
      <w:marLeft w:val="0"/>
      <w:marRight w:val="0"/>
      <w:marTop w:val="0"/>
      <w:marBottom w:val="0"/>
      <w:divBdr>
        <w:top w:val="none" w:sz="0" w:space="0" w:color="auto"/>
        <w:left w:val="none" w:sz="0" w:space="0" w:color="auto"/>
        <w:bottom w:val="none" w:sz="0" w:space="0" w:color="auto"/>
        <w:right w:val="none" w:sz="0" w:space="0" w:color="auto"/>
      </w:divBdr>
    </w:div>
    <w:div w:id="781845116">
      <w:bodyDiv w:val="1"/>
      <w:marLeft w:val="0"/>
      <w:marRight w:val="0"/>
      <w:marTop w:val="0"/>
      <w:marBottom w:val="0"/>
      <w:divBdr>
        <w:top w:val="none" w:sz="0" w:space="0" w:color="auto"/>
        <w:left w:val="none" w:sz="0" w:space="0" w:color="auto"/>
        <w:bottom w:val="none" w:sz="0" w:space="0" w:color="auto"/>
        <w:right w:val="none" w:sz="0" w:space="0" w:color="auto"/>
      </w:divBdr>
    </w:div>
    <w:div w:id="818616587">
      <w:bodyDiv w:val="1"/>
      <w:marLeft w:val="0"/>
      <w:marRight w:val="0"/>
      <w:marTop w:val="0"/>
      <w:marBottom w:val="0"/>
      <w:divBdr>
        <w:top w:val="none" w:sz="0" w:space="0" w:color="auto"/>
        <w:left w:val="none" w:sz="0" w:space="0" w:color="auto"/>
        <w:bottom w:val="none" w:sz="0" w:space="0" w:color="auto"/>
        <w:right w:val="none" w:sz="0" w:space="0" w:color="auto"/>
      </w:divBdr>
    </w:div>
    <w:div w:id="875122920">
      <w:bodyDiv w:val="1"/>
      <w:marLeft w:val="0"/>
      <w:marRight w:val="0"/>
      <w:marTop w:val="0"/>
      <w:marBottom w:val="0"/>
      <w:divBdr>
        <w:top w:val="none" w:sz="0" w:space="0" w:color="auto"/>
        <w:left w:val="none" w:sz="0" w:space="0" w:color="auto"/>
        <w:bottom w:val="none" w:sz="0" w:space="0" w:color="auto"/>
        <w:right w:val="none" w:sz="0" w:space="0" w:color="auto"/>
      </w:divBdr>
    </w:div>
    <w:div w:id="909996423">
      <w:bodyDiv w:val="1"/>
      <w:marLeft w:val="0"/>
      <w:marRight w:val="0"/>
      <w:marTop w:val="0"/>
      <w:marBottom w:val="0"/>
      <w:divBdr>
        <w:top w:val="none" w:sz="0" w:space="0" w:color="auto"/>
        <w:left w:val="none" w:sz="0" w:space="0" w:color="auto"/>
        <w:bottom w:val="none" w:sz="0" w:space="0" w:color="auto"/>
        <w:right w:val="none" w:sz="0" w:space="0" w:color="auto"/>
      </w:divBdr>
      <w:divsChild>
        <w:div w:id="951665607">
          <w:marLeft w:val="360"/>
          <w:marRight w:val="0"/>
          <w:marTop w:val="200"/>
          <w:marBottom w:val="0"/>
          <w:divBdr>
            <w:top w:val="none" w:sz="0" w:space="0" w:color="auto"/>
            <w:left w:val="none" w:sz="0" w:space="0" w:color="auto"/>
            <w:bottom w:val="none" w:sz="0" w:space="0" w:color="auto"/>
            <w:right w:val="none" w:sz="0" w:space="0" w:color="auto"/>
          </w:divBdr>
        </w:div>
      </w:divsChild>
    </w:div>
    <w:div w:id="1036276989">
      <w:bodyDiv w:val="1"/>
      <w:marLeft w:val="0"/>
      <w:marRight w:val="0"/>
      <w:marTop w:val="0"/>
      <w:marBottom w:val="0"/>
      <w:divBdr>
        <w:top w:val="none" w:sz="0" w:space="0" w:color="auto"/>
        <w:left w:val="none" w:sz="0" w:space="0" w:color="auto"/>
        <w:bottom w:val="none" w:sz="0" w:space="0" w:color="auto"/>
        <w:right w:val="none" w:sz="0" w:space="0" w:color="auto"/>
      </w:divBdr>
    </w:div>
    <w:div w:id="1208031660">
      <w:bodyDiv w:val="1"/>
      <w:marLeft w:val="0"/>
      <w:marRight w:val="0"/>
      <w:marTop w:val="0"/>
      <w:marBottom w:val="0"/>
      <w:divBdr>
        <w:top w:val="none" w:sz="0" w:space="0" w:color="auto"/>
        <w:left w:val="none" w:sz="0" w:space="0" w:color="auto"/>
        <w:bottom w:val="none" w:sz="0" w:space="0" w:color="auto"/>
        <w:right w:val="none" w:sz="0" w:space="0" w:color="auto"/>
      </w:divBdr>
    </w:div>
    <w:div w:id="1394887827">
      <w:bodyDiv w:val="1"/>
      <w:marLeft w:val="0"/>
      <w:marRight w:val="0"/>
      <w:marTop w:val="0"/>
      <w:marBottom w:val="0"/>
      <w:divBdr>
        <w:top w:val="none" w:sz="0" w:space="0" w:color="auto"/>
        <w:left w:val="none" w:sz="0" w:space="0" w:color="auto"/>
        <w:bottom w:val="none" w:sz="0" w:space="0" w:color="auto"/>
        <w:right w:val="none" w:sz="0" w:space="0" w:color="auto"/>
      </w:divBdr>
    </w:div>
    <w:div w:id="1403600350">
      <w:bodyDiv w:val="1"/>
      <w:marLeft w:val="0"/>
      <w:marRight w:val="0"/>
      <w:marTop w:val="0"/>
      <w:marBottom w:val="0"/>
      <w:divBdr>
        <w:top w:val="none" w:sz="0" w:space="0" w:color="auto"/>
        <w:left w:val="none" w:sz="0" w:space="0" w:color="auto"/>
        <w:bottom w:val="none" w:sz="0" w:space="0" w:color="auto"/>
        <w:right w:val="none" w:sz="0" w:space="0" w:color="auto"/>
      </w:divBdr>
      <w:divsChild>
        <w:div w:id="177038045">
          <w:marLeft w:val="547"/>
          <w:marRight w:val="0"/>
          <w:marTop w:val="0"/>
          <w:marBottom w:val="0"/>
          <w:divBdr>
            <w:top w:val="none" w:sz="0" w:space="0" w:color="auto"/>
            <w:left w:val="none" w:sz="0" w:space="0" w:color="auto"/>
            <w:bottom w:val="none" w:sz="0" w:space="0" w:color="auto"/>
            <w:right w:val="none" w:sz="0" w:space="0" w:color="auto"/>
          </w:divBdr>
        </w:div>
        <w:div w:id="1831217207">
          <w:marLeft w:val="547"/>
          <w:marRight w:val="0"/>
          <w:marTop w:val="0"/>
          <w:marBottom w:val="0"/>
          <w:divBdr>
            <w:top w:val="none" w:sz="0" w:space="0" w:color="auto"/>
            <w:left w:val="none" w:sz="0" w:space="0" w:color="auto"/>
            <w:bottom w:val="none" w:sz="0" w:space="0" w:color="auto"/>
            <w:right w:val="none" w:sz="0" w:space="0" w:color="auto"/>
          </w:divBdr>
        </w:div>
        <w:div w:id="1979917011">
          <w:marLeft w:val="547"/>
          <w:marRight w:val="0"/>
          <w:marTop w:val="0"/>
          <w:marBottom w:val="0"/>
          <w:divBdr>
            <w:top w:val="none" w:sz="0" w:space="0" w:color="auto"/>
            <w:left w:val="none" w:sz="0" w:space="0" w:color="auto"/>
            <w:bottom w:val="none" w:sz="0" w:space="0" w:color="auto"/>
            <w:right w:val="none" w:sz="0" w:space="0" w:color="auto"/>
          </w:divBdr>
        </w:div>
      </w:divsChild>
    </w:div>
    <w:div w:id="1460413705">
      <w:bodyDiv w:val="1"/>
      <w:marLeft w:val="0"/>
      <w:marRight w:val="0"/>
      <w:marTop w:val="0"/>
      <w:marBottom w:val="0"/>
      <w:divBdr>
        <w:top w:val="none" w:sz="0" w:space="0" w:color="auto"/>
        <w:left w:val="none" w:sz="0" w:space="0" w:color="auto"/>
        <w:bottom w:val="none" w:sz="0" w:space="0" w:color="auto"/>
        <w:right w:val="none" w:sz="0" w:space="0" w:color="auto"/>
      </w:divBdr>
      <w:divsChild>
        <w:div w:id="713969615">
          <w:marLeft w:val="360"/>
          <w:marRight w:val="0"/>
          <w:marTop w:val="200"/>
          <w:marBottom w:val="0"/>
          <w:divBdr>
            <w:top w:val="none" w:sz="0" w:space="0" w:color="auto"/>
            <w:left w:val="none" w:sz="0" w:space="0" w:color="auto"/>
            <w:bottom w:val="none" w:sz="0" w:space="0" w:color="auto"/>
            <w:right w:val="none" w:sz="0" w:space="0" w:color="auto"/>
          </w:divBdr>
        </w:div>
        <w:div w:id="1505124727">
          <w:marLeft w:val="360"/>
          <w:marRight w:val="0"/>
          <w:marTop w:val="200"/>
          <w:marBottom w:val="0"/>
          <w:divBdr>
            <w:top w:val="none" w:sz="0" w:space="0" w:color="auto"/>
            <w:left w:val="none" w:sz="0" w:space="0" w:color="auto"/>
            <w:bottom w:val="none" w:sz="0" w:space="0" w:color="auto"/>
            <w:right w:val="none" w:sz="0" w:space="0" w:color="auto"/>
          </w:divBdr>
        </w:div>
        <w:div w:id="1596982582">
          <w:marLeft w:val="360"/>
          <w:marRight w:val="0"/>
          <w:marTop w:val="200"/>
          <w:marBottom w:val="0"/>
          <w:divBdr>
            <w:top w:val="none" w:sz="0" w:space="0" w:color="auto"/>
            <w:left w:val="none" w:sz="0" w:space="0" w:color="auto"/>
            <w:bottom w:val="none" w:sz="0" w:space="0" w:color="auto"/>
            <w:right w:val="none" w:sz="0" w:space="0" w:color="auto"/>
          </w:divBdr>
        </w:div>
        <w:div w:id="1969623307">
          <w:marLeft w:val="360"/>
          <w:marRight w:val="0"/>
          <w:marTop w:val="200"/>
          <w:marBottom w:val="0"/>
          <w:divBdr>
            <w:top w:val="none" w:sz="0" w:space="0" w:color="auto"/>
            <w:left w:val="none" w:sz="0" w:space="0" w:color="auto"/>
            <w:bottom w:val="none" w:sz="0" w:space="0" w:color="auto"/>
            <w:right w:val="none" w:sz="0" w:space="0" w:color="auto"/>
          </w:divBdr>
        </w:div>
      </w:divsChild>
    </w:div>
    <w:div w:id="1508791857">
      <w:bodyDiv w:val="1"/>
      <w:marLeft w:val="0"/>
      <w:marRight w:val="0"/>
      <w:marTop w:val="0"/>
      <w:marBottom w:val="0"/>
      <w:divBdr>
        <w:top w:val="none" w:sz="0" w:space="0" w:color="auto"/>
        <w:left w:val="none" w:sz="0" w:space="0" w:color="auto"/>
        <w:bottom w:val="none" w:sz="0" w:space="0" w:color="auto"/>
        <w:right w:val="none" w:sz="0" w:space="0" w:color="auto"/>
      </w:divBdr>
    </w:div>
    <w:div w:id="1559365976">
      <w:bodyDiv w:val="1"/>
      <w:marLeft w:val="0"/>
      <w:marRight w:val="0"/>
      <w:marTop w:val="0"/>
      <w:marBottom w:val="0"/>
      <w:divBdr>
        <w:top w:val="none" w:sz="0" w:space="0" w:color="auto"/>
        <w:left w:val="none" w:sz="0" w:space="0" w:color="auto"/>
        <w:bottom w:val="none" w:sz="0" w:space="0" w:color="auto"/>
        <w:right w:val="none" w:sz="0" w:space="0" w:color="auto"/>
      </w:divBdr>
    </w:div>
    <w:div w:id="1587689848">
      <w:bodyDiv w:val="1"/>
      <w:marLeft w:val="0"/>
      <w:marRight w:val="0"/>
      <w:marTop w:val="0"/>
      <w:marBottom w:val="0"/>
      <w:divBdr>
        <w:top w:val="none" w:sz="0" w:space="0" w:color="auto"/>
        <w:left w:val="none" w:sz="0" w:space="0" w:color="auto"/>
        <w:bottom w:val="none" w:sz="0" w:space="0" w:color="auto"/>
        <w:right w:val="none" w:sz="0" w:space="0" w:color="auto"/>
      </w:divBdr>
    </w:div>
    <w:div w:id="1598901525">
      <w:bodyDiv w:val="1"/>
      <w:marLeft w:val="0"/>
      <w:marRight w:val="0"/>
      <w:marTop w:val="0"/>
      <w:marBottom w:val="0"/>
      <w:divBdr>
        <w:top w:val="none" w:sz="0" w:space="0" w:color="auto"/>
        <w:left w:val="none" w:sz="0" w:space="0" w:color="auto"/>
        <w:bottom w:val="none" w:sz="0" w:space="0" w:color="auto"/>
        <w:right w:val="none" w:sz="0" w:space="0" w:color="auto"/>
      </w:divBdr>
      <w:divsChild>
        <w:div w:id="1865942679">
          <w:marLeft w:val="360"/>
          <w:marRight w:val="0"/>
          <w:marTop w:val="200"/>
          <w:marBottom w:val="0"/>
          <w:divBdr>
            <w:top w:val="none" w:sz="0" w:space="0" w:color="auto"/>
            <w:left w:val="none" w:sz="0" w:space="0" w:color="auto"/>
            <w:bottom w:val="none" w:sz="0" w:space="0" w:color="auto"/>
            <w:right w:val="none" w:sz="0" w:space="0" w:color="auto"/>
          </w:divBdr>
        </w:div>
      </w:divsChild>
    </w:div>
    <w:div w:id="1613974426">
      <w:bodyDiv w:val="1"/>
      <w:marLeft w:val="0"/>
      <w:marRight w:val="0"/>
      <w:marTop w:val="0"/>
      <w:marBottom w:val="0"/>
      <w:divBdr>
        <w:top w:val="none" w:sz="0" w:space="0" w:color="auto"/>
        <w:left w:val="none" w:sz="0" w:space="0" w:color="auto"/>
        <w:bottom w:val="none" w:sz="0" w:space="0" w:color="auto"/>
        <w:right w:val="none" w:sz="0" w:space="0" w:color="auto"/>
      </w:divBdr>
    </w:div>
    <w:div w:id="1645769954">
      <w:bodyDiv w:val="1"/>
      <w:marLeft w:val="0"/>
      <w:marRight w:val="0"/>
      <w:marTop w:val="0"/>
      <w:marBottom w:val="0"/>
      <w:divBdr>
        <w:top w:val="none" w:sz="0" w:space="0" w:color="auto"/>
        <w:left w:val="none" w:sz="0" w:space="0" w:color="auto"/>
        <w:bottom w:val="none" w:sz="0" w:space="0" w:color="auto"/>
        <w:right w:val="none" w:sz="0" w:space="0" w:color="auto"/>
      </w:divBdr>
    </w:div>
    <w:div w:id="1669939035">
      <w:bodyDiv w:val="1"/>
      <w:marLeft w:val="0"/>
      <w:marRight w:val="0"/>
      <w:marTop w:val="0"/>
      <w:marBottom w:val="0"/>
      <w:divBdr>
        <w:top w:val="none" w:sz="0" w:space="0" w:color="auto"/>
        <w:left w:val="none" w:sz="0" w:space="0" w:color="auto"/>
        <w:bottom w:val="none" w:sz="0" w:space="0" w:color="auto"/>
        <w:right w:val="none" w:sz="0" w:space="0" w:color="auto"/>
      </w:divBdr>
      <w:divsChild>
        <w:div w:id="161311657">
          <w:marLeft w:val="360"/>
          <w:marRight w:val="0"/>
          <w:marTop w:val="200"/>
          <w:marBottom w:val="0"/>
          <w:divBdr>
            <w:top w:val="none" w:sz="0" w:space="0" w:color="auto"/>
            <w:left w:val="none" w:sz="0" w:space="0" w:color="auto"/>
            <w:bottom w:val="none" w:sz="0" w:space="0" w:color="auto"/>
            <w:right w:val="none" w:sz="0" w:space="0" w:color="auto"/>
          </w:divBdr>
        </w:div>
      </w:divsChild>
    </w:div>
    <w:div w:id="1695035501">
      <w:bodyDiv w:val="1"/>
      <w:marLeft w:val="0"/>
      <w:marRight w:val="0"/>
      <w:marTop w:val="0"/>
      <w:marBottom w:val="0"/>
      <w:divBdr>
        <w:top w:val="none" w:sz="0" w:space="0" w:color="auto"/>
        <w:left w:val="none" w:sz="0" w:space="0" w:color="auto"/>
        <w:bottom w:val="none" w:sz="0" w:space="0" w:color="auto"/>
        <w:right w:val="none" w:sz="0" w:space="0" w:color="auto"/>
      </w:divBdr>
      <w:divsChild>
        <w:div w:id="1908300786">
          <w:marLeft w:val="360"/>
          <w:marRight w:val="0"/>
          <w:marTop w:val="200"/>
          <w:marBottom w:val="0"/>
          <w:divBdr>
            <w:top w:val="none" w:sz="0" w:space="0" w:color="auto"/>
            <w:left w:val="none" w:sz="0" w:space="0" w:color="auto"/>
            <w:bottom w:val="none" w:sz="0" w:space="0" w:color="auto"/>
            <w:right w:val="none" w:sz="0" w:space="0" w:color="auto"/>
          </w:divBdr>
        </w:div>
      </w:divsChild>
    </w:div>
    <w:div w:id="1741637880">
      <w:bodyDiv w:val="1"/>
      <w:marLeft w:val="0"/>
      <w:marRight w:val="0"/>
      <w:marTop w:val="0"/>
      <w:marBottom w:val="0"/>
      <w:divBdr>
        <w:top w:val="none" w:sz="0" w:space="0" w:color="auto"/>
        <w:left w:val="none" w:sz="0" w:space="0" w:color="auto"/>
        <w:bottom w:val="none" w:sz="0" w:space="0" w:color="auto"/>
        <w:right w:val="none" w:sz="0" w:space="0" w:color="auto"/>
      </w:divBdr>
    </w:div>
    <w:div w:id="1748334082">
      <w:bodyDiv w:val="1"/>
      <w:marLeft w:val="0"/>
      <w:marRight w:val="0"/>
      <w:marTop w:val="0"/>
      <w:marBottom w:val="0"/>
      <w:divBdr>
        <w:top w:val="none" w:sz="0" w:space="0" w:color="auto"/>
        <w:left w:val="none" w:sz="0" w:space="0" w:color="auto"/>
        <w:bottom w:val="none" w:sz="0" w:space="0" w:color="auto"/>
        <w:right w:val="none" w:sz="0" w:space="0" w:color="auto"/>
      </w:divBdr>
    </w:div>
    <w:div w:id="1755129912">
      <w:bodyDiv w:val="1"/>
      <w:marLeft w:val="0"/>
      <w:marRight w:val="0"/>
      <w:marTop w:val="0"/>
      <w:marBottom w:val="0"/>
      <w:divBdr>
        <w:top w:val="none" w:sz="0" w:space="0" w:color="auto"/>
        <w:left w:val="none" w:sz="0" w:space="0" w:color="auto"/>
        <w:bottom w:val="none" w:sz="0" w:space="0" w:color="auto"/>
        <w:right w:val="none" w:sz="0" w:space="0" w:color="auto"/>
      </w:divBdr>
      <w:divsChild>
        <w:div w:id="564409929">
          <w:marLeft w:val="1080"/>
          <w:marRight w:val="0"/>
          <w:marTop w:val="100"/>
          <w:marBottom w:val="0"/>
          <w:divBdr>
            <w:top w:val="none" w:sz="0" w:space="0" w:color="auto"/>
            <w:left w:val="none" w:sz="0" w:space="0" w:color="auto"/>
            <w:bottom w:val="none" w:sz="0" w:space="0" w:color="auto"/>
            <w:right w:val="none" w:sz="0" w:space="0" w:color="auto"/>
          </w:divBdr>
        </w:div>
        <w:div w:id="586381849">
          <w:marLeft w:val="360"/>
          <w:marRight w:val="0"/>
          <w:marTop w:val="200"/>
          <w:marBottom w:val="0"/>
          <w:divBdr>
            <w:top w:val="none" w:sz="0" w:space="0" w:color="auto"/>
            <w:left w:val="none" w:sz="0" w:space="0" w:color="auto"/>
            <w:bottom w:val="none" w:sz="0" w:space="0" w:color="auto"/>
            <w:right w:val="none" w:sz="0" w:space="0" w:color="auto"/>
          </w:divBdr>
        </w:div>
        <w:div w:id="991954626">
          <w:marLeft w:val="1080"/>
          <w:marRight w:val="0"/>
          <w:marTop w:val="100"/>
          <w:marBottom w:val="0"/>
          <w:divBdr>
            <w:top w:val="none" w:sz="0" w:space="0" w:color="auto"/>
            <w:left w:val="none" w:sz="0" w:space="0" w:color="auto"/>
            <w:bottom w:val="none" w:sz="0" w:space="0" w:color="auto"/>
            <w:right w:val="none" w:sz="0" w:space="0" w:color="auto"/>
          </w:divBdr>
        </w:div>
        <w:div w:id="1075396605">
          <w:marLeft w:val="1080"/>
          <w:marRight w:val="0"/>
          <w:marTop w:val="100"/>
          <w:marBottom w:val="0"/>
          <w:divBdr>
            <w:top w:val="none" w:sz="0" w:space="0" w:color="auto"/>
            <w:left w:val="none" w:sz="0" w:space="0" w:color="auto"/>
            <w:bottom w:val="none" w:sz="0" w:space="0" w:color="auto"/>
            <w:right w:val="none" w:sz="0" w:space="0" w:color="auto"/>
          </w:divBdr>
        </w:div>
        <w:div w:id="1108817990">
          <w:marLeft w:val="1080"/>
          <w:marRight w:val="0"/>
          <w:marTop w:val="100"/>
          <w:marBottom w:val="0"/>
          <w:divBdr>
            <w:top w:val="none" w:sz="0" w:space="0" w:color="auto"/>
            <w:left w:val="none" w:sz="0" w:space="0" w:color="auto"/>
            <w:bottom w:val="none" w:sz="0" w:space="0" w:color="auto"/>
            <w:right w:val="none" w:sz="0" w:space="0" w:color="auto"/>
          </w:divBdr>
        </w:div>
        <w:div w:id="1409766798">
          <w:marLeft w:val="1080"/>
          <w:marRight w:val="0"/>
          <w:marTop w:val="100"/>
          <w:marBottom w:val="0"/>
          <w:divBdr>
            <w:top w:val="none" w:sz="0" w:space="0" w:color="auto"/>
            <w:left w:val="none" w:sz="0" w:space="0" w:color="auto"/>
            <w:bottom w:val="none" w:sz="0" w:space="0" w:color="auto"/>
            <w:right w:val="none" w:sz="0" w:space="0" w:color="auto"/>
          </w:divBdr>
        </w:div>
        <w:div w:id="1498962085">
          <w:marLeft w:val="360"/>
          <w:marRight w:val="0"/>
          <w:marTop w:val="200"/>
          <w:marBottom w:val="0"/>
          <w:divBdr>
            <w:top w:val="none" w:sz="0" w:space="0" w:color="auto"/>
            <w:left w:val="none" w:sz="0" w:space="0" w:color="auto"/>
            <w:bottom w:val="none" w:sz="0" w:space="0" w:color="auto"/>
            <w:right w:val="none" w:sz="0" w:space="0" w:color="auto"/>
          </w:divBdr>
        </w:div>
        <w:div w:id="1650742778">
          <w:marLeft w:val="1080"/>
          <w:marRight w:val="0"/>
          <w:marTop w:val="100"/>
          <w:marBottom w:val="0"/>
          <w:divBdr>
            <w:top w:val="none" w:sz="0" w:space="0" w:color="auto"/>
            <w:left w:val="none" w:sz="0" w:space="0" w:color="auto"/>
            <w:bottom w:val="none" w:sz="0" w:space="0" w:color="auto"/>
            <w:right w:val="none" w:sz="0" w:space="0" w:color="auto"/>
          </w:divBdr>
        </w:div>
        <w:div w:id="1871989572">
          <w:marLeft w:val="360"/>
          <w:marRight w:val="0"/>
          <w:marTop w:val="200"/>
          <w:marBottom w:val="0"/>
          <w:divBdr>
            <w:top w:val="none" w:sz="0" w:space="0" w:color="auto"/>
            <w:left w:val="none" w:sz="0" w:space="0" w:color="auto"/>
            <w:bottom w:val="none" w:sz="0" w:space="0" w:color="auto"/>
            <w:right w:val="none" w:sz="0" w:space="0" w:color="auto"/>
          </w:divBdr>
        </w:div>
        <w:div w:id="1887520869">
          <w:marLeft w:val="1080"/>
          <w:marRight w:val="0"/>
          <w:marTop w:val="100"/>
          <w:marBottom w:val="0"/>
          <w:divBdr>
            <w:top w:val="none" w:sz="0" w:space="0" w:color="auto"/>
            <w:left w:val="none" w:sz="0" w:space="0" w:color="auto"/>
            <w:bottom w:val="none" w:sz="0" w:space="0" w:color="auto"/>
            <w:right w:val="none" w:sz="0" w:space="0" w:color="auto"/>
          </w:divBdr>
        </w:div>
        <w:div w:id="2039158656">
          <w:marLeft w:val="360"/>
          <w:marRight w:val="0"/>
          <w:marTop w:val="200"/>
          <w:marBottom w:val="0"/>
          <w:divBdr>
            <w:top w:val="none" w:sz="0" w:space="0" w:color="auto"/>
            <w:left w:val="none" w:sz="0" w:space="0" w:color="auto"/>
            <w:bottom w:val="none" w:sz="0" w:space="0" w:color="auto"/>
            <w:right w:val="none" w:sz="0" w:space="0" w:color="auto"/>
          </w:divBdr>
        </w:div>
      </w:divsChild>
    </w:div>
    <w:div w:id="1765612743">
      <w:bodyDiv w:val="1"/>
      <w:marLeft w:val="0"/>
      <w:marRight w:val="0"/>
      <w:marTop w:val="0"/>
      <w:marBottom w:val="0"/>
      <w:divBdr>
        <w:top w:val="none" w:sz="0" w:space="0" w:color="auto"/>
        <w:left w:val="none" w:sz="0" w:space="0" w:color="auto"/>
        <w:bottom w:val="none" w:sz="0" w:space="0" w:color="auto"/>
        <w:right w:val="none" w:sz="0" w:space="0" w:color="auto"/>
      </w:divBdr>
    </w:div>
    <w:div w:id="1859388114">
      <w:bodyDiv w:val="1"/>
      <w:marLeft w:val="0"/>
      <w:marRight w:val="0"/>
      <w:marTop w:val="0"/>
      <w:marBottom w:val="0"/>
      <w:divBdr>
        <w:top w:val="none" w:sz="0" w:space="0" w:color="auto"/>
        <w:left w:val="none" w:sz="0" w:space="0" w:color="auto"/>
        <w:bottom w:val="none" w:sz="0" w:space="0" w:color="auto"/>
        <w:right w:val="none" w:sz="0" w:space="0" w:color="auto"/>
      </w:divBdr>
    </w:div>
    <w:div w:id="1876497910">
      <w:bodyDiv w:val="1"/>
      <w:marLeft w:val="0"/>
      <w:marRight w:val="0"/>
      <w:marTop w:val="0"/>
      <w:marBottom w:val="0"/>
      <w:divBdr>
        <w:top w:val="none" w:sz="0" w:space="0" w:color="auto"/>
        <w:left w:val="none" w:sz="0" w:space="0" w:color="auto"/>
        <w:bottom w:val="none" w:sz="0" w:space="0" w:color="auto"/>
        <w:right w:val="none" w:sz="0" w:space="0" w:color="auto"/>
      </w:divBdr>
    </w:div>
    <w:div w:id="1880582769">
      <w:bodyDiv w:val="1"/>
      <w:marLeft w:val="0"/>
      <w:marRight w:val="0"/>
      <w:marTop w:val="0"/>
      <w:marBottom w:val="0"/>
      <w:divBdr>
        <w:top w:val="none" w:sz="0" w:space="0" w:color="auto"/>
        <w:left w:val="none" w:sz="0" w:space="0" w:color="auto"/>
        <w:bottom w:val="none" w:sz="0" w:space="0" w:color="auto"/>
        <w:right w:val="none" w:sz="0" w:space="0" w:color="auto"/>
      </w:divBdr>
    </w:div>
    <w:div w:id="1916864168">
      <w:bodyDiv w:val="1"/>
      <w:marLeft w:val="0"/>
      <w:marRight w:val="0"/>
      <w:marTop w:val="0"/>
      <w:marBottom w:val="0"/>
      <w:divBdr>
        <w:top w:val="none" w:sz="0" w:space="0" w:color="auto"/>
        <w:left w:val="none" w:sz="0" w:space="0" w:color="auto"/>
        <w:bottom w:val="none" w:sz="0" w:space="0" w:color="auto"/>
        <w:right w:val="none" w:sz="0" w:space="0" w:color="auto"/>
      </w:divBdr>
      <w:divsChild>
        <w:div w:id="647638145">
          <w:marLeft w:val="547"/>
          <w:marRight w:val="0"/>
          <w:marTop w:val="0"/>
          <w:marBottom w:val="0"/>
          <w:divBdr>
            <w:top w:val="none" w:sz="0" w:space="0" w:color="auto"/>
            <w:left w:val="none" w:sz="0" w:space="0" w:color="auto"/>
            <w:bottom w:val="none" w:sz="0" w:space="0" w:color="auto"/>
            <w:right w:val="none" w:sz="0" w:space="0" w:color="auto"/>
          </w:divBdr>
        </w:div>
        <w:div w:id="1654063658">
          <w:marLeft w:val="547"/>
          <w:marRight w:val="0"/>
          <w:marTop w:val="0"/>
          <w:marBottom w:val="0"/>
          <w:divBdr>
            <w:top w:val="none" w:sz="0" w:space="0" w:color="auto"/>
            <w:left w:val="none" w:sz="0" w:space="0" w:color="auto"/>
            <w:bottom w:val="none" w:sz="0" w:space="0" w:color="auto"/>
            <w:right w:val="none" w:sz="0" w:space="0" w:color="auto"/>
          </w:divBdr>
        </w:div>
        <w:div w:id="2086604464">
          <w:marLeft w:val="547"/>
          <w:marRight w:val="0"/>
          <w:marTop w:val="0"/>
          <w:marBottom w:val="0"/>
          <w:divBdr>
            <w:top w:val="none" w:sz="0" w:space="0" w:color="auto"/>
            <w:left w:val="none" w:sz="0" w:space="0" w:color="auto"/>
            <w:bottom w:val="none" w:sz="0" w:space="0" w:color="auto"/>
            <w:right w:val="none" w:sz="0" w:space="0" w:color="auto"/>
          </w:divBdr>
        </w:div>
      </w:divsChild>
    </w:div>
    <w:div w:id="1940483918">
      <w:bodyDiv w:val="1"/>
      <w:marLeft w:val="0"/>
      <w:marRight w:val="0"/>
      <w:marTop w:val="0"/>
      <w:marBottom w:val="0"/>
      <w:divBdr>
        <w:top w:val="none" w:sz="0" w:space="0" w:color="auto"/>
        <w:left w:val="none" w:sz="0" w:space="0" w:color="auto"/>
        <w:bottom w:val="none" w:sz="0" w:space="0" w:color="auto"/>
        <w:right w:val="none" w:sz="0" w:space="0" w:color="auto"/>
      </w:divBdr>
    </w:div>
    <w:div w:id="2013799874">
      <w:bodyDiv w:val="1"/>
      <w:marLeft w:val="0"/>
      <w:marRight w:val="0"/>
      <w:marTop w:val="0"/>
      <w:marBottom w:val="0"/>
      <w:divBdr>
        <w:top w:val="none" w:sz="0" w:space="0" w:color="auto"/>
        <w:left w:val="none" w:sz="0" w:space="0" w:color="auto"/>
        <w:bottom w:val="none" w:sz="0" w:space="0" w:color="auto"/>
        <w:right w:val="none" w:sz="0" w:space="0" w:color="auto"/>
      </w:divBdr>
      <w:divsChild>
        <w:div w:id="418020280">
          <w:marLeft w:val="360"/>
          <w:marRight w:val="0"/>
          <w:marTop w:val="200"/>
          <w:marBottom w:val="0"/>
          <w:divBdr>
            <w:top w:val="none" w:sz="0" w:space="0" w:color="auto"/>
            <w:left w:val="none" w:sz="0" w:space="0" w:color="auto"/>
            <w:bottom w:val="none" w:sz="0" w:space="0" w:color="auto"/>
            <w:right w:val="none" w:sz="0" w:space="0" w:color="auto"/>
          </w:divBdr>
        </w:div>
      </w:divsChild>
    </w:div>
    <w:div w:id="2032415344">
      <w:bodyDiv w:val="1"/>
      <w:marLeft w:val="0"/>
      <w:marRight w:val="0"/>
      <w:marTop w:val="0"/>
      <w:marBottom w:val="0"/>
      <w:divBdr>
        <w:top w:val="none" w:sz="0" w:space="0" w:color="auto"/>
        <w:left w:val="none" w:sz="0" w:space="0" w:color="auto"/>
        <w:bottom w:val="none" w:sz="0" w:space="0" w:color="auto"/>
        <w:right w:val="none" w:sz="0" w:space="0" w:color="auto"/>
      </w:divBdr>
    </w:div>
    <w:div w:id="2071734441">
      <w:bodyDiv w:val="1"/>
      <w:marLeft w:val="0"/>
      <w:marRight w:val="0"/>
      <w:marTop w:val="0"/>
      <w:marBottom w:val="0"/>
      <w:divBdr>
        <w:top w:val="none" w:sz="0" w:space="0" w:color="auto"/>
        <w:left w:val="none" w:sz="0" w:space="0" w:color="auto"/>
        <w:bottom w:val="none" w:sz="0" w:space="0" w:color="auto"/>
        <w:right w:val="none" w:sz="0" w:space="0" w:color="auto"/>
      </w:divBdr>
      <w:divsChild>
        <w:div w:id="669331311">
          <w:marLeft w:val="360"/>
          <w:marRight w:val="0"/>
          <w:marTop w:val="200"/>
          <w:marBottom w:val="0"/>
          <w:divBdr>
            <w:top w:val="none" w:sz="0" w:space="0" w:color="auto"/>
            <w:left w:val="none" w:sz="0" w:space="0" w:color="auto"/>
            <w:bottom w:val="none" w:sz="0" w:space="0" w:color="auto"/>
            <w:right w:val="none" w:sz="0" w:space="0" w:color="auto"/>
          </w:divBdr>
        </w:div>
        <w:div w:id="1294017915">
          <w:marLeft w:val="1080"/>
          <w:marRight w:val="0"/>
          <w:marTop w:val="100"/>
          <w:marBottom w:val="0"/>
          <w:divBdr>
            <w:top w:val="none" w:sz="0" w:space="0" w:color="auto"/>
            <w:left w:val="none" w:sz="0" w:space="0" w:color="auto"/>
            <w:bottom w:val="none" w:sz="0" w:space="0" w:color="auto"/>
            <w:right w:val="none" w:sz="0" w:space="0" w:color="auto"/>
          </w:divBdr>
        </w:div>
        <w:div w:id="1415590405">
          <w:marLeft w:val="1080"/>
          <w:marRight w:val="0"/>
          <w:marTop w:val="100"/>
          <w:marBottom w:val="0"/>
          <w:divBdr>
            <w:top w:val="none" w:sz="0" w:space="0" w:color="auto"/>
            <w:left w:val="none" w:sz="0" w:space="0" w:color="auto"/>
            <w:bottom w:val="none" w:sz="0" w:space="0" w:color="auto"/>
            <w:right w:val="none" w:sz="0" w:space="0" w:color="auto"/>
          </w:divBdr>
        </w:div>
        <w:div w:id="1722360018">
          <w:marLeft w:val="1080"/>
          <w:marRight w:val="0"/>
          <w:marTop w:val="100"/>
          <w:marBottom w:val="0"/>
          <w:divBdr>
            <w:top w:val="none" w:sz="0" w:space="0" w:color="auto"/>
            <w:left w:val="none" w:sz="0" w:space="0" w:color="auto"/>
            <w:bottom w:val="none" w:sz="0" w:space="0" w:color="auto"/>
            <w:right w:val="none" w:sz="0" w:space="0" w:color="auto"/>
          </w:divBdr>
        </w:div>
      </w:divsChild>
    </w:div>
    <w:div w:id="208544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9767D5BA6063479A4C886B0F37A834" ma:contentTypeVersion="11" ma:contentTypeDescription="Create a new document." ma:contentTypeScope="" ma:versionID="457dbff18c34a6c18402505f60635e0f">
  <xsd:schema xmlns:xsd="http://www.w3.org/2001/XMLSchema" xmlns:xs="http://www.w3.org/2001/XMLSchema" xmlns:p="http://schemas.microsoft.com/office/2006/metadata/properties" xmlns:ns3="c8482f88-69f1-4d9b-a87b-44246c8613e3" xmlns:ns4="777ca2a7-d433-453a-9f68-8d248f0b672b" targetNamespace="http://schemas.microsoft.com/office/2006/metadata/properties" ma:root="true" ma:fieldsID="a151fa2906e64da705a23a5f46604c65" ns3:_="" ns4:_="">
    <xsd:import namespace="c8482f88-69f1-4d9b-a87b-44246c8613e3"/>
    <xsd:import namespace="777ca2a7-d433-453a-9f68-8d248f0b67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82f88-69f1-4d9b-a87b-44246c8613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ca2a7-d433-453a-9f68-8d248f0b67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986C2-CFD6-4435-A8AB-A5143421E8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88B3FE-C766-46F5-B782-9B481306C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82f88-69f1-4d9b-a87b-44246c8613e3"/>
    <ds:schemaRef ds:uri="777ca2a7-d433-453a-9f68-8d248f0b6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94665-4298-4F87-8958-9BD7F9638EEE}">
  <ds:schemaRefs>
    <ds:schemaRef ds:uri="http://schemas.microsoft.com/sharepoint/v3/contenttype/forms"/>
  </ds:schemaRefs>
</ds:datastoreItem>
</file>

<file path=customXml/itemProps4.xml><?xml version="1.0" encoding="utf-8"?>
<ds:datastoreItem xmlns:ds="http://schemas.openxmlformats.org/officeDocument/2006/customXml" ds:itemID="{C2575DD3-CC40-4A6C-89A1-DBEF6B9F6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5071</Words>
  <Characters>28908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Reynolds</dc:creator>
  <cp:keywords/>
  <dc:description/>
  <cp:lastModifiedBy>Sheela Devi R.</cp:lastModifiedBy>
  <cp:revision>53</cp:revision>
  <cp:lastPrinted>2021-03-19T19:35:00Z</cp:lastPrinted>
  <dcterms:created xsi:type="dcterms:W3CDTF">2021-06-18T13:43:00Z</dcterms:created>
  <dcterms:modified xsi:type="dcterms:W3CDTF">2021-07-02T03:10:00Z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0x0101009E9767D5BA6063479A4C886B0F37A834</vt:lpwstr>
  </property>
  <property fmtid="{D5CDD505-2E9C-101B-9397-08002B2CF9AE}" pid="3" name="Mendeley Recent Style Id 0_1">
    <vt:lpwstr>http://www.zotero.org/styles/acta-neuropathologica</vt:lpwstr>
  </property>
  <property fmtid="{D5CDD505-2E9C-101B-9397-08002B2CF9AE}" pid="4" name="Mendeley Recent Style Name 0_1">
    <vt:lpwstr>Acta Neuropathologica</vt:lpwstr>
  </property>
  <property fmtid="{D5CDD505-2E9C-101B-9397-08002B2CF9AE}" pid="5" name="Mendeley Recent Style Id 1_1">
    <vt:lpwstr>http://www.zotero.org/styles/acta-neuropathologica-communications</vt:lpwstr>
  </property>
  <property fmtid="{D5CDD505-2E9C-101B-9397-08002B2CF9AE}" pid="6" name="Mendeley Recent Style Name 1_1">
    <vt:lpwstr>Acta Neuropathologica Communications</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http://www.zotero.org/styles/annals-of-neurology</vt:lpwstr>
  </property>
  <property fmtid="{D5CDD505-2E9C-101B-9397-08002B2CF9AE}" pid="12" name="Mendeley Recent Style Name 4_1">
    <vt:lpwstr>Annals of Neurology</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http://www.zotero.org/styles/molecular-and-cellular-neuroscience</vt:lpwstr>
  </property>
  <property fmtid="{D5CDD505-2E9C-101B-9397-08002B2CF9AE}" pid="18" name="Mendeley Recent Style Name 7_1">
    <vt:lpwstr>Molecular and Cellular Neuroscience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http://www.zotero.org/styles/neurobiology-of-disease</vt:lpwstr>
  </property>
  <property fmtid="{D5CDD505-2E9C-101B-9397-08002B2CF9AE}" pid="22" name="Mendeley Recent Style Name 9_1">
    <vt:lpwstr>Neurobiology of Disease</vt:lpwstr>
  </property>
  <property fmtid="{D5CDD505-2E9C-101B-9397-08002B2CF9AE}" pid="23" name="Mendeley Document_1">
    <vt:lpwstr>True</vt:lpwstr>
  </property>
  <property fmtid="{D5CDD505-2E9C-101B-9397-08002B2CF9AE}" pid="24" name="Mendeley Unique User Id_1">
    <vt:lpwstr>0aa8301f-b420-31ce-9af8-fd95dadd1052</vt:lpwstr>
  </property>
  <property fmtid="{D5CDD505-2E9C-101B-9397-08002B2CF9AE}" pid="25" name="Mendeley Citation Style_1">
    <vt:lpwstr>http://www.zotero.org/styles/acta-neuropathologica-communications</vt:lpwstr>
  </property>
</Properties>
</file>