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D4B35" w14:textId="77777777" w:rsidR="00952014" w:rsidRPr="005E38C2" w:rsidRDefault="00952014" w:rsidP="00952014">
      <w:pPr>
        <w:jc w:val="both"/>
        <w:rPr>
          <w:rFonts w:ascii="Times New Roman" w:eastAsia="Times New Roman" w:hAnsi="Times New Roman" w:cs="Times New Roman"/>
          <w:b/>
          <w:sz w:val="28"/>
          <w:szCs w:val="28"/>
          <w:lang w:val="en-US"/>
        </w:rPr>
      </w:pPr>
      <w:r w:rsidRPr="005E38C2">
        <w:rPr>
          <w:rFonts w:ascii="Times New Roman" w:eastAsia="Times New Roman" w:hAnsi="Times New Roman" w:cs="Times New Roman"/>
          <w:b/>
          <w:sz w:val="28"/>
          <w:szCs w:val="28"/>
          <w:lang w:val="en-US"/>
        </w:rPr>
        <w:t>Supplementary materials and methods</w:t>
      </w:r>
    </w:p>
    <w:p w14:paraId="3F8B128F" w14:textId="77777777" w:rsidR="00952014" w:rsidRPr="005E38C2" w:rsidRDefault="00952014" w:rsidP="00952014">
      <w:pPr>
        <w:spacing w:line="360" w:lineRule="auto"/>
        <w:jc w:val="both"/>
        <w:rPr>
          <w:rFonts w:ascii="Times New Roman" w:eastAsia="Times New Roman" w:hAnsi="Times New Roman" w:cs="Times New Roman"/>
          <w:lang w:val="en-US"/>
        </w:rPr>
      </w:pPr>
    </w:p>
    <w:p w14:paraId="5553DDC7" w14:textId="77777777" w:rsidR="00952014" w:rsidRPr="005E38C2" w:rsidRDefault="00952014" w:rsidP="00952014">
      <w:pPr>
        <w:widowControl w:val="0"/>
        <w:pBdr>
          <w:between w:val="single" w:sz="4" w:space="1" w:color="000000"/>
        </w:pBdr>
        <w:tabs>
          <w:tab w:val="left" w:pos="7168"/>
        </w:tabs>
        <w:spacing w:line="360" w:lineRule="auto"/>
        <w:jc w:val="both"/>
        <w:rPr>
          <w:rFonts w:ascii="Times New Roman" w:eastAsia="Times New Roman" w:hAnsi="Times New Roman" w:cs="Times New Roman"/>
          <w:color w:val="000000"/>
          <w:lang w:val="en-US"/>
        </w:rPr>
      </w:pPr>
      <w:r w:rsidRPr="005E38C2">
        <w:rPr>
          <w:rFonts w:ascii="Times New Roman" w:eastAsia="Times New Roman" w:hAnsi="Times New Roman" w:cs="Times New Roman"/>
          <w:b/>
          <w:lang w:val="en-US"/>
        </w:rPr>
        <w:t>Quantitative Polymerase Chain Reaction (qPCR</w:t>
      </w:r>
      <w:r w:rsidRPr="005E38C2">
        <w:rPr>
          <w:rFonts w:ascii="Times New Roman" w:eastAsia="Times New Roman" w:hAnsi="Times New Roman" w:cs="Times New Roman"/>
          <w:i/>
          <w:lang w:val="en-US"/>
        </w:rPr>
        <w:t>)</w:t>
      </w:r>
    </w:p>
    <w:p w14:paraId="0D6FEF5E" w14:textId="77777777" w:rsidR="00952014" w:rsidRPr="005E38C2" w:rsidRDefault="00952014" w:rsidP="00952014">
      <w:pPr>
        <w:spacing w:line="360" w:lineRule="auto"/>
        <w:ind w:firstLine="720"/>
        <w:jc w:val="both"/>
        <w:rPr>
          <w:rFonts w:ascii="Times New Roman" w:eastAsia="Times New Roman" w:hAnsi="Times New Roman" w:cs="Times New Roman"/>
          <w:color w:val="000000"/>
          <w:lang w:val="en-US"/>
        </w:rPr>
      </w:pPr>
      <w:r w:rsidRPr="005E38C2">
        <w:rPr>
          <w:rFonts w:ascii="Times New Roman" w:eastAsia="Times New Roman" w:hAnsi="Times New Roman" w:cs="Times New Roman"/>
          <w:color w:val="000000"/>
          <w:lang w:val="en-US"/>
        </w:rPr>
        <w:t>Total RNA was extracted from mice striata or from</w:t>
      </w:r>
      <w:r w:rsidRPr="005E38C2">
        <w:rPr>
          <w:rFonts w:ascii="Times New Roman" w:eastAsia="Times New Roman" w:hAnsi="Times New Roman" w:cs="Times New Roman"/>
          <w:lang w:val="en-US"/>
        </w:rPr>
        <w:t xml:space="preserve"> </w:t>
      </w:r>
      <w:r w:rsidRPr="005E38C2">
        <w:rPr>
          <w:rFonts w:ascii="Times New Roman" w:eastAsia="Times New Roman" w:hAnsi="Times New Roman" w:cs="Times New Roman"/>
          <w:color w:val="000000"/>
          <w:lang w:val="en-US"/>
        </w:rPr>
        <w:t xml:space="preserve">primary striatal astrocytes with the Total RNA Purification kit (NORGEN Biotek) and quantified by absorbance in a NanoDrop 2000c UV-Vis spectrophotometer (ThermoFisher Scientific). cDNA was synthesized with the All-in-One Cdna Synthesis SuperMix (Bimake) following manufacturer’s instructions. Gene expression was quantified by qPCR in real-time PCR reactions with Sybr Green technology in a CFX96 Touch Real-Time PCR Detection System (Bio-Rad). 30 ng cDNA were used in iTaq Universal SYBR Green Supermix (Bio-Rad) at the following conditions: stage 1: 95 °C, 5 min; stage 2: 39 x (95 °C, 15 s; 60 °C, 30 s). </w:t>
      </w:r>
    </w:p>
    <w:p w14:paraId="1A3E94FC" w14:textId="77777777" w:rsidR="00952014" w:rsidRPr="005E38C2" w:rsidRDefault="00952014" w:rsidP="00952014">
      <w:pPr>
        <w:spacing w:line="360" w:lineRule="auto"/>
        <w:ind w:firstLine="720"/>
        <w:jc w:val="both"/>
        <w:rPr>
          <w:rFonts w:ascii="Times New Roman" w:eastAsia="Times New Roman" w:hAnsi="Times New Roman" w:cs="Times New Roman"/>
          <w:color w:val="000000"/>
          <w:lang w:val="en-US"/>
        </w:rPr>
      </w:pPr>
      <w:r w:rsidRPr="005E38C2">
        <w:rPr>
          <w:rFonts w:ascii="Times New Roman" w:eastAsia="Times New Roman" w:hAnsi="Times New Roman" w:cs="Times New Roman"/>
          <w:color w:val="000000"/>
          <w:lang w:val="en-US"/>
        </w:rPr>
        <w:t>The primers were as follows: mSLC1A2 fw: GGTGGAAAGCCGGGACGTGGATTA; mSLC1A2 rev: GCTTGGGCATATTGTTGGCACCCT; SLC1A3 fw:</w:t>
      </w:r>
      <w:r w:rsidRPr="005E38C2">
        <w:rPr>
          <w:rFonts w:ascii="Times New Roman" w:eastAsia="Times New Roman" w:hAnsi="Times New Roman" w:cs="Times New Roman"/>
          <w:lang w:val="en-US"/>
        </w:rPr>
        <w:t xml:space="preserve"> </w:t>
      </w:r>
      <w:r w:rsidRPr="005E38C2">
        <w:rPr>
          <w:rFonts w:ascii="Times New Roman" w:eastAsia="Times New Roman" w:hAnsi="Times New Roman" w:cs="Times New Roman"/>
          <w:color w:val="000000"/>
          <w:lang w:val="en-US"/>
        </w:rPr>
        <w:t xml:space="preserve">ATCCGGGAGGAGATGGTGCCCGT; SLC1A3 rev: AGGATGCCCAGAGGCGCATACCACA; ACTIN fw: TACCACCATGTACCCAGGCATT; ACTIN rev: ACTCATCGTACTCCTGCTTGCTGA; mGAPDH fw: GAGAGTGTTTCCTCGTCCCG; mGAPDH rev: ACTGTGCCGTTGAATTTGCC; TRANSFERRIN RECEPTOR fw TATAAGCTTTGGGTGGGAGGCA; TRANSFERRIN RECEPTOR rev AGCAAGGCTAAACCGGGTGTATGA;  </w:t>
      </w:r>
    </w:p>
    <w:p w14:paraId="6DE644FC" w14:textId="77777777" w:rsidR="00952014" w:rsidRPr="005E38C2" w:rsidRDefault="00952014" w:rsidP="00952014">
      <w:pPr>
        <w:spacing w:line="360" w:lineRule="auto"/>
        <w:jc w:val="both"/>
        <w:rPr>
          <w:rFonts w:ascii="Times New Roman" w:eastAsia="Times New Roman" w:hAnsi="Times New Roman" w:cs="Times New Roman"/>
          <w:color w:val="000000"/>
          <w:lang w:val="en-US"/>
        </w:rPr>
      </w:pPr>
      <w:r w:rsidRPr="005E38C2">
        <w:rPr>
          <w:rFonts w:ascii="Times New Roman" w:eastAsia="Times New Roman" w:hAnsi="Times New Roman" w:cs="Times New Roman"/>
          <w:color w:val="000000"/>
          <w:lang w:val="en-US"/>
        </w:rPr>
        <w:t xml:space="preserve">Primers for Slc1a2, Slc1a3, </w:t>
      </w:r>
      <w:r>
        <w:rPr>
          <w:rFonts w:ascii="Times New Roman" w:eastAsia="Times New Roman" w:hAnsi="Times New Roman" w:cs="Times New Roman"/>
          <w:color w:val="000000"/>
        </w:rPr>
        <w:t>β</w:t>
      </w:r>
      <w:r w:rsidRPr="005E38C2">
        <w:rPr>
          <w:rFonts w:ascii="Times New Roman" w:eastAsia="Times New Roman" w:hAnsi="Times New Roman" w:cs="Times New Roman"/>
          <w:color w:val="000000"/>
          <w:lang w:val="en-US"/>
        </w:rPr>
        <w:t>-Actin and Transferrin were purchased from Sigma Aldrich while primers for GAPDH were purchased from Metabion International AG. The quantification of the gene</w:t>
      </w:r>
      <w:r w:rsidRPr="005E38C2">
        <w:rPr>
          <w:rFonts w:ascii="Times New Roman" w:eastAsia="Times New Roman" w:hAnsi="Times New Roman" w:cs="Times New Roman"/>
          <w:lang w:val="en-US"/>
        </w:rPr>
        <w:t xml:space="preserve"> </w:t>
      </w:r>
      <w:r w:rsidRPr="005E38C2">
        <w:rPr>
          <w:rFonts w:ascii="Times New Roman" w:eastAsia="Times New Roman" w:hAnsi="Times New Roman" w:cs="Times New Roman"/>
          <w:color w:val="000000"/>
          <w:lang w:val="en-US"/>
        </w:rPr>
        <w:t xml:space="preserve">relative expression was carried out by the Delta-Delta Ct method </w:t>
      </w:r>
      <w:r>
        <w:rPr>
          <w:rFonts w:ascii="Times New Roman" w:eastAsia="Times New Roman" w:hAnsi="Times New Roman" w:cs="Times New Roman"/>
          <w:color w:val="000000"/>
        </w:rPr>
        <w:fldChar w:fldCharType="begin" w:fldLock="1"/>
      </w:r>
      <w:r>
        <w:rPr>
          <w:rFonts w:ascii="Times New Roman" w:eastAsia="Times New Roman" w:hAnsi="Times New Roman" w:cs="Times New Roman"/>
          <w:color w:val="000000"/>
          <w:lang w:val="en-US"/>
        </w:rPr>
        <w:instrText>ADDIN CSL_CITATION {"citationItems":[{"id":"ITEM-1","itemData":{"DOI":"10.1006/METH.2001.1262","ISSN":"1046-2023","PMID":"11846609","abstract":"The two most commonly used methods to analyze data from real-time, quantitative PCR experiments are absolute quantification and relative quantification. Absolute quantification determines the input copy number, usually by relating the PCR signal to a standard curve. Relative quantification relates the PCR signal of the target transcript in a treatment group to that of another sample such as an untreated control. The 2-ΔΔCT method is a convenient way to analyze the relative changes in gene expression from real-time quantitative PCR experiments. The purpose of this report is to present the derivation, assumptions, and applications of the 2-ΔΔCT method. In addition, we present the derivation and applications of two variations of the 2-ΔΔCT method that may be useful in the analysis of real-time, quantitative PCR data. © 2001 Elsevier Science (USA).","author":[{"dropping-particle":"","family":"Livak","given":"Kenneth J.","non-dropping-particle":"","parse-names":false,"suffix":""},{"dropping-particle":"","family":"Schmittgen","given":"Thomas D.","non-dropping-particle":"","parse-names":false,"suffix":""}],"container-title":"Methods (San Diego, Calif.)","id":"ITEM-1","issue":"4","issued":{"date-parts":[["2001"]]},"page":"402-408","publisher":"Methods","title":"Analysis of relative gene expression data using real-time quantitative PCR and the 2(-Delta Delta C(T)) Method","type":"article-journal","volume":"25"},"uris":["http://www.mendeley.com/documents/?uuid=d692ac13-318d-3721-ba24-abb61429df88"]}],"mendeley":{"formattedCitation":"[4]","plainTextFormattedCitation":"[4]","previouslyFormattedCitation":"(Livak &amp; Schmittgen, 2001)"},"properties":{"noteIndex":0},"schema":"https://github.com/citation-style-language/schema/raw/master/csl-citation.json"}</w:instrText>
      </w:r>
      <w:r>
        <w:rPr>
          <w:rFonts w:ascii="Times New Roman" w:eastAsia="Times New Roman" w:hAnsi="Times New Roman" w:cs="Times New Roman"/>
          <w:color w:val="000000"/>
        </w:rPr>
        <w:fldChar w:fldCharType="separate"/>
      </w:r>
      <w:r w:rsidRPr="005E38C2">
        <w:rPr>
          <w:rFonts w:ascii="Times New Roman" w:eastAsia="Times New Roman" w:hAnsi="Times New Roman" w:cs="Times New Roman"/>
          <w:noProof/>
          <w:color w:val="000000"/>
          <w:lang w:val="en-US"/>
        </w:rPr>
        <w:t>[4]</w:t>
      </w:r>
      <w:r>
        <w:rPr>
          <w:rFonts w:ascii="Times New Roman" w:eastAsia="Times New Roman" w:hAnsi="Times New Roman" w:cs="Times New Roman"/>
          <w:color w:val="000000"/>
        </w:rPr>
        <w:fldChar w:fldCharType="end"/>
      </w:r>
      <w:r w:rsidRPr="005E38C2">
        <w:rPr>
          <w:rFonts w:ascii="Times New Roman" w:eastAsia="Times New Roman" w:hAnsi="Times New Roman" w:cs="Times New Roman"/>
          <w:color w:val="000000"/>
          <w:lang w:val="en-US"/>
        </w:rPr>
        <w:t xml:space="preserve"> by normalizing to the reference genes GAPDH, </w:t>
      </w:r>
      <w:r>
        <w:rPr>
          <w:rFonts w:ascii="Times New Roman" w:eastAsia="Times New Roman" w:hAnsi="Times New Roman" w:cs="Times New Roman"/>
          <w:color w:val="000000"/>
        </w:rPr>
        <w:t>β</w:t>
      </w:r>
      <w:r w:rsidRPr="005E38C2">
        <w:rPr>
          <w:rFonts w:ascii="Times New Roman" w:eastAsia="Times New Roman" w:hAnsi="Times New Roman" w:cs="Times New Roman"/>
          <w:color w:val="000000"/>
          <w:lang w:val="en-US"/>
        </w:rPr>
        <w:t xml:space="preserve">-Actin and Transferrin receptor. A dissociation curve was built in the 60-95 °C range to confirm the specificity of the amplification product. </w:t>
      </w:r>
    </w:p>
    <w:p w14:paraId="35F175A7" w14:textId="77777777" w:rsidR="00952014" w:rsidRPr="005E38C2" w:rsidRDefault="00952014" w:rsidP="00952014">
      <w:pPr>
        <w:widowControl w:val="0"/>
        <w:spacing w:line="360" w:lineRule="auto"/>
        <w:jc w:val="both"/>
        <w:rPr>
          <w:rFonts w:ascii="Times New Roman" w:eastAsia="Times New Roman" w:hAnsi="Times New Roman" w:cs="Times New Roman"/>
          <w:b/>
          <w:color w:val="000000"/>
          <w:lang w:val="en-US"/>
        </w:rPr>
      </w:pPr>
    </w:p>
    <w:p w14:paraId="0B3B561F" w14:textId="77777777" w:rsidR="00952014" w:rsidRPr="005E38C2" w:rsidRDefault="00952014" w:rsidP="00952014">
      <w:pPr>
        <w:widowControl w:val="0"/>
        <w:spacing w:line="360" w:lineRule="auto"/>
        <w:jc w:val="both"/>
        <w:rPr>
          <w:rFonts w:ascii="Times New Roman" w:eastAsia="Times New Roman" w:hAnsi="Times New Roman" w:cs="Times New Roman"/>
          <w:b/>
          <w:color w:val="000000"/>
          <w:lang w:val="en-US"/>
        </w:rPr>
      </w:pPr>
      <w:r w:rsidRPr="005E38C2">
        <w:rPr>
          <w:rFonts w:ascii="Times New Roman" w:eastAsia="Times New Roman" w:hAnsi="Times New Roman" w:cs="Times New Roman"/>
          <w:b/>
          <w:color w:val="000000"/>
          <w:lang w:val="en-US"/>
        </w:rPr>
        <w:t>Western blot on injected oocytes</w:t>
      </w:r>
    </w:p>
    <w:p w14:paraId="7E639D8D" w14:textId="77777777" w:rsidR="00952014" w:rsidRPr="005E38C2" w:rsidRDefault="00952014" w:rsidP="00952014">
      <w:pPr>
        <w:widowControl w:val="0"/>
        <w:spacing w:line="360" w:lineRule="auto"/>
        <w:jc w:val="both"/>
        <w:rPr>
          <w:rFonts w:ascii="Times New Roman" w:eastAsia="Times New Roman" w:hAnsi="Times New Roman" w:cs="Times New Roman"/>
          <w:bCs/>
          <w:color w:val="000000"/>
          <w:lang w:val="en-US"/>
        </w:rPr>
      </w:pPr>
      <w:r w:rsidRPr="005E38C2">
        <w:rPr>
          <w:rFonts w:ascii="Times New Roman" w:eastAsia="Times New Roman" w:hAnsi="Times New Roman" w:cs="Times New Roman"/>
          <w:bCs/>
          <w:color w:val="000000"/>
          <w:lang w:val="en-US"/>
        </w:rPr>
        <w:t xml:space="preserve">Western blot analysis on injected oocytes was performed as in </w:t>
      </w:r>
      <w:r w:rsidRPr="00E30A75">
        <w:rPr>
          <w:rFonts w:ascii="Times New Roman" w:eastAsia="Times New Roman" w:hAnsi="Times New Roman" w:cs="Times New Roman"/>
          <w:bCs/>
          <w:color w:val="000000"/>
        </w:rPr>
        <w:fldChar w:fldCharType="begin" w:fldLock="1"/>
      </w:r>
      <w:r>
        <w:rPr>
          <w:rFonts w:ascii="Times New Roman" w:eastAsia="Times New Roman" w:hAnsi="Times New Roman" w:cs="Times New Roman"/>
          <w:bCs/>
          <w:color w:val="000000"/>
          <w:lang w:val="en-US"/>
        </w:rPr>
        <w:instrText>ADDIN CSL_CITATION {"citationItems":[{"id":"ITEM-1","itemData":{"DOI":"10.1101/pdb.prot072793","ISSN":"1559-6095 (Electronic)","PMID":"23457341","abstract":"Often experimentalists require a quantitative assessment of the levels of  heterologously expressed proteins to best interpret changed Ca(2+) signaling patterns. Here, we detail a rapid and convenient western blotting method for individual Xenopus oocytes. The method exploits recently introduced rapid blotting systems, commercially available from Invitrogen (iBlot) or Bio-Rad (Trans-Blot Turbo). The key advantage is speed: from live cell to transferred membrane in &lt;1 h. Therefore, oocytes can be conveniently processed for western blotting to assess relative expression levels, even after a long day of Ca(2+) imaging experiments.","author":[{"dropping-particle":"","family":"Lin-Moshier","given":"Yaping","non-dropping-particle":"","parse-names":false,"suffix":""},{"dropping-particle":"","family":"Marchant","given":"Jonathan S","non-dropping-particle":"","parse-names":false,"suffix":""}],"container-title":"Cold Spring Harbor protocols","id":"ITEM-1","issue":"3","issued":{"date-parts":[["2013","3"]]},"language":"eng","title":"A rapid Western blotting protocol for the Xenopus oocyte.","type":"article-journal","volume":"2013"},"uris":["http://www.mendeley.com/documents/?uuid=b75e81c3-48d3-4afc-b619-8d7a93d94cae"]}],"mendeley":{"formattedCitation":"[3]","plainTextFormattedCitation":"[3]","previouslyFormattedCitation":"(Lin-Moshier &amp; Marchant, 2013)"},"properties":{"noteIndex":0},"schema":"https://github.com/citation-style-language/schema/raw/master/csl-citation.json"}</w:instrText>
      </w:r>
      <w:r w:rsidRPr="00E30A75">
        <w:rPr>
          <w:rFonts w:ascii="Times New Roman" w:eastAsia="Times New Roman" w:hAnsi="Times New Roman" w:cs="Times New Roman"/>
          <w:bCs/>
          <w:color w:val="000000"/>
        </w:rPr>
        <w:fldChar w:fldCharType="separate"/>
      </w:r>
      <w:r w:rsidRPr="005E38C2">
        <w:rPr>
          <w:rFonts w:ascii="Times New Roman" w:eastAsia="Times New Roman" w:hAnsi="Times New Roman" w:cs="Times New Roman"/>
          <w:bCs/>
          <w:noProof/>
          <w:color w:val="000000"/>
          <w:lang w:val="en-US"/>
        </w:rPr>
        <w:t>[3]</w:t>
      </w:r>
      <w:r w:rsidRPr="00E30A75">
        <w:rPr>
          <w:rFonts w:ascii="Times New Roman" w:eastAsia="Times New Roman" w:hAnsi="Times New Roman" w:cs="Times New Roman"/>
          <w:bCs/>
          <w:color w:val="000000"/>
        </w:rPr>
        <w:fldChar w:fldCharType="end"/>
      </w:r>
      <w:r w:rsidRPr="005E38C2">
        <w:rPr>
          <w:rFonts w:ascii="Times New Roman" w:eastAsia="Times New Roman" w:hAnsi="Times New Roman" w:cs="Times New Roman"/>
          <w:bCs/>
          <w:color w:val="000000"/>
          <w:lang w:val="en-US"/>
        </w:rPr>
        <w:t xml:space="preserve">. Briefly, oocytes were homogenized in 20 mM HEPES solution (pH 7.3), supplemented with phosphatase and protease inhibitors. To remove the abundant yolk platelets, samples were centrifuged at 800g for 5 minutes RT. Then, </w:t>
      </w:r>
      <w:r w:rsidRPr="005E38C2">
        <w:rPr>
          <w:rFonts w:ascii="Times New Roman" w:eastAsia="Times New Roman" w:hAnsi="Times New Roman" w:cs="Times New Roman"/>
          <w:color w:val="000000"/>
          <w:lang w:val="en-US"/>
        </w:rPr>
        <w:t>protein concentration was measured using the Pierce® BCA Protein Assay Kit. Oocytes samples were resolved by electrophoresis on pre-cast 4–20 % tris-glycine polyacrylamide gels and transferred to polyvinylidene difluoride membranes using a semi-dry Biorad transfer machine with the 1X Transfer Buffer at 25 V for 20 min. Membranes were incubated in TBS-T plus 5 % skimmed milk for 1 h RT, and then incubated overnight with primary antibodies diluted in TBS-T plus 5 % skimmed milk. The following primary antibodies were used: a mouse anti-</w:t>
      </w:r>
      <w:r w:rsidRPr="00E30A75">
        <w:rPr>
          <w:rFonts w:ascii="Times New Roman" w:eastAsia="Times New Roman" w:hAnsi="Times New Roman" w:cs="Times New Roman"/>
          <w:color w:val="000000"/>
        </w:rPr>
        <w:t>β</w:t>
      </w:r>
      <w:r w:rsidRPr="005E38C2">
        <w:rPr>
          <w:rFonts w:ascii="Times New Roman" w:eastAsia="Times New Roman" w:hAnsi="Times New Roman" w:cs="Times New Roman"/>
          <w:color w:val="000000"/>
          <w:lang w:val="en-US"/>
        </w:rPr>
        <w:t xml:space="preserve">-actin (A1978, Sigma-Aldrich, 1:10000) and a rabbit anti-LRRK2 (MJFF2 c41-2; Abcam, 1:300). Membranes were </w:t>
      </w:r>
      <w:r w:rsidRPr="005E38C2">
        <w:rPr>
          <w:rFonts w:ascii="Times New Roman" w:eastAsia="Times New Roman" w:hAnsi="Times New Roman" w:cs="Times New Roman"/>
          <w:color w:val="000000"/>
          <w:lang w:val="en-US"/>
        </w:rPr>
        <w:lastRenderedPageBreak/>
        <w:t>subsequently rinsed and incubated for 1h at RT with the appropriate HRP-conjugated secondary antibodies. The visualization of the signal was conducted using Immobilon® Forte Western HRP Substrate and the VWR® Imager Chemi Premium.</w:t>
      </w:r>
    </w:p>
    <w:p w14:paraId="4EA03690" w14:textId="77777777" w:rsidR="00952014" w:rsidRPr="005E38C2" w:rsidRDefault="00952014" w:rsidP="00952014">
      <w:pPr>
        <w:widowControl w:val="0"/>
        <w:spacing w:line="360" w:lineRule="auto"/>
        <w:jc w:val="both"/>
        <w:rPr>
          <w:rFonts w:ascii="Times New Roman" w:eastAsia="Times New Roman" w:hAnsi="Times New Roman" w:cs="Times New Roman"/>
          <w:b/>
          <w:color w:val="000000"/>
          <w:lang w:val="en-US"/>
        </w:rPr>
      </w:pPr>
    </w:p>
    <w:p w14:paraId="735A1464" w14:textId="77777777" w:rsidR="00952014" w:rsidRPr="005E38C2" w:rsidRDefault="00952014" w:rsidP="00952014">
      <w:pPr>
        <w:widowControl w:val="0"/>
        <w:spacing w:line="360" w:lineRule="auto"/>
        <w:jc w:val="both"/>
        <w:rPr>
          <w:rFonts w:ascii="Times New Roman" w:eastAsia="Times New Roman" w:hAnsi="Times New Roman" w:cs="Times New Roman"/>
          <w:b/>
          <w:color w:val="000000"/>
          <w:lang w:val="en-US"/>
        </w:rPr>
      </w:pPr>
      <w:r w:rsidRPr="005E38C2">
        <w:rPr>
          <w:rFonts w:ascii="Times New Roman" w:eastAsia="Times New Roman" w:hAnsi="Times New Roman" w:cs="Times New Roman"/>
          <w:b/>
          <w:color w:val="000000"/>
          <w:lang w:val="en-US"/>
        </w:rPr>
        <w:t>Liquid-chromatography mass spectrometry (LC-MS) analysis</w:t>
      </w:r>
    </w:p>
    <w:p w14:paraId="61CD379D" w14:textId="5E670EB6" w:rsidR="00952014" w:rsidRDefault="00952014" w:rsidP="00952014">
      <w:pPr>
        <w:spacing w:line="360" w:lineRule="auto"/>
        <w:jc w:val="both"/>
        <w:rPr>
          <w:rFonts w:ascii="Times New Roman" w:eastAsia="Times New Roman" w:hAnsi="Times New Roman" w:cs="Times New Roman"/>
          <w:color w:val="000000"/>
          <w:lang w:val="en-US"/>
        </w:rPr>
      </w:pPr>
      <w:r w:rsidRPr="005E38C2">
        <w:rPr>
          <w:rFonts w:ascii="Times New Roman" w:eastAsia="Times New Roman" w:hAnsi="Times New Roman" w:cs="Times New Roman"/>
          <w:color w:val="000000"/>
          <w:lang w:val="en-US"/>
        </w:rPr>
        <w:tab/>
        <w:t>Endogenous Glt-1 was immunoprecipitated from homogenized WT and LRRK2 G2019S mouse striata</w:t>
      </w:r>
      <w:r w:rsidRPr="005E38C2">
        <w:rPr>
          <w:rFonts w:ascii="Times New Roman" w:eastAsia="Times New Roman" w:hAnsi="Times New Roman" w:cs="Times New Roman"/>
          <w:lang w:val="en-US"/>
        </w:rPr>
        <w:t xml:space="preserve"> </w:t>
      </w:r>
      <w:r w:rsidRPr="005E38C2">
        <w:rPr>
          <w:rFonts w:ascii="Times New Roman" w:eastAsia="Times New Roman" w:hAnsi="Times New Roman" w:cs="Times New Roman"/>
          <w:color w:val="000000"/>
          <w:lang w:val="en-US"/>
        </w:rPr>
        <w:t>using 5 µg of a rabbit anti-Glt-1 antibody (Abcam; ab205248) in RIPA buffer (1.5 mg of total protein each). Magnetic beads (Protein A/G Magnetic Beads, BioTool) (50 µL) were used to pre-clear and precipitate the transporter. Beads were then washed three times using 1 ml of RIPA buffer and proteins loaded on pre-cast</w:t>
      </w:r>
      <w:r w:rsidRPr="005E38C2">
        <w:rPr>
          <w:rFonts w:ascii="Times New Roman" w:eastAsia="Times New Roman" w:hAnsi="Times New Roman" w:cs="Times New Roman"/>
          <w:lang w:val="en-US"/>
        </w:rPr>
        <w:t xml:space="preserve"> </w:t>
      </w:r>
      <w:r w:rsidRPr="005E38C2">
        <w:rPr>
          <w:rFonts w:ascii="Times New Roman" w:eastAsia="Times New Roman" w:hAnsi="Times New Roman" w:cs="Times New Roman"/>
          <w:color w:val="000000"/>
          <w:lang w:val="en-US"/>
        </w:rPr>
        <w:t>4–20 % tris-glycine polyacrylamide gels (Biorad). Gel bands were excised, cut into small pieces and destained with a solution of 60 % NH</w:t>
      </w:r>
      <w:r w:rsidRPr="005E38C2">
        <w:rPr>
          <w:rFonts w:ascii="Times New Roman" w:eastAsia="Times New Roman" w:hAnsi="Times New Roman" w:cs="Times New Roman"/>
          <w:color w:val="000000"/>
          <w:vertAlign w:val="subscript"/>
          <w:lang w:val="en-US"/>
        </w:rPr>
        <w:t>4</w:t>
      </w:r>
      <w:r w:rsidRPr="005E38C2">
        <w:rPr>
          <w:rFonts w:ascii="Times New Roman" w:eastAsia="Times New Roman" w:hAnsi="Times New Roman" w:cs="Times New Roman"/>
          <w:color w:val="000000"/>
          <w:lang w:val="en-US"/>
        </w:rPr>
        <w:t>HCO</w:t>
      </w:r>
      <w:r w:rsidRPr="005E38C2">
        <w:rPr>
          <w:rFonts w:ascii="Times New Roman" w:eastAsia="Times New Roman" w:hAnsi="Times New Roman" w:cs="Times New Roman"/>
          <w:color w:val="000000"/>
          <w:vertAlign w:val="subscript"/>
          <w:lang w:val="en-US"/>
        </w:rPr>
        <w:t>3</w:t>
      </w:r>
      <w:r w:rsidRPr="005E38C2">
        <w:rPr>
          <w:rFonts w:ascii="Times New Roman" w:eastAsia="Times New Roman" w:hAnsi="Times New Roman" w:cs="Times New Roman"/>
          <w:color w:val="000000"/>
          <w:lang w:val="en-US"/>
        </w:rPr>
        <w:t xml:space="preserve"> 200 mM/40 % acetonitrile (ACN) at 37 °C. Disulfide bridges were reduced with 2 mM Tris (2-carboxyethyl)phosphine hydrochloride (TCEP) in 50 mM NH</w:t>
      </w:r>
      <w:r w:rsidRPr="005E38C2">
        <w:rPr>
          <w:rFonts w:ascii="Times New Roman" w:eastAsia="Times New Roman" w:hAnsi="Times New Roman" w:cs="Times New Roman"/>
          <w:color w:val="000000"/>
          <w:vertAlign w:val="subscript"/>
          <w:lang w:val="en-US"/>
        </w:rPr>
        <w:t>4</w:t>
      </w:r>
      <w:r w:rsidRPr="005E38C2">
        <w:rPr>
          <w:rFonts w:ascii="Times New Roman" w:eastAsia="Times New Roman" w:hAnsi="Times New Roman" w:cs="Times New Roman"/>
          <w:color w:val="000000"/>
          <w:lang w:val="en-US"/>
        </w:rPr>
        <w:t>HCO</w:t>
      </w:r>
      <w:r w:rsidRPr="005E38C2">
        <w:rPr>
          <w:rFonts w:ascii="Times New Roman" w:eastAsia="Times New Roman" w:hAnsi="Times New Roman" w:cs="Times New Roman"/>
          <w:color w:val="000000"/>
          <w:vertAlign w:val="subscript"/>
          <w:lang w:val="en-US"/>
        </w:rPr>
        <w:t>3</w:t>
      </w:r>
      <w:r w:rsidRPr="005E38C2">
        <w:rPr>
          <w:rFonts w:ascii="Times New Roman" w:eastAsia="Times New Roman" w:hAnsi="Times New Roman" w:cs="Times New Roman"/>
          <w:color w:val="000000"/>
          <w:lang w:val="en-US"/>
        </w:rPr>
        <w:t xml:space="preserve"> at 56 °C for 1 h, and cysteine residues were alkylated with 4 mM methyl methanethiosulfonate (MMTS) with 50 mM NH</w:t>
      </w:r>
      <w:r w:rsidRPr="005E38C2">
        <w:rPr>
          <w:rFonts w:ascii="Times New Roman" w:eastAsia="Times New Roman" w:hAnsi="Times New Roman" w:cs="Times New Roman"/>
          <w:color w:val="000000"/>
          <w:vertAlign w:val="subscript"/>
          <w:lang w:val="en-US"/>
        </w:rPr>
        <w:t>4</w:t>
      </w:r>
      <w:r w:rsidRPr="005E38C2">
        <w:rPr>
          <w:rFonts w:ascii="Times New Roman" w:eastAsia="Times New Roman" w:hAnsi="Times New Roman" w:cs="Times New Roman"/>
          <w:color w:val="000000"/>
          <w:lang w:val="en-US"/>
        </w:rPr>
        <w:t>HCO</w:t>
      </w:r>
      <w:r w:rsidRPr="005E38C2">
        <w:rPr>
          <w:rFonts w:ascii="Times New Roman" w:eastAsia="Times New Roman" w:hAnsi="Times New Roman" w:cs="Times New Roman"/>
          <w:color w:val="000000"/>
          <w:vertAlign w:val="subscript"/>
          <w:lang w:val="en-US"/>
        </w:rPr>
        <w:t>3</w:t>
      </w:r>
      <w:r w:rsidRPr="005E38C2">
        <w:rPr>
          <w:rFonts w:ascii="Times New Roman" w:eastAsia="Times New Roman" w:hAnsi="Times New Roman" w:cs="Times New Roman"/>
          <w:color w:val="000000"/>
          <w:lang w:val="en-US"/>
        </w:rPr>
        <w:t xml:space="preserve"> in the dark at room temperature for 45 min. Gel samples were washed twice with 50 mM NH</w:t>
      </w:r>
      <w:r w:rsidRPr="005E38C2">
        <w:rPr>
          <w:rFonts w:ascii="Times New Roman" w:eastAsia="Times New Roman" w:hAnsi="Times New Roman" w:cs="Times New Roman"/>
          <w:color w:val="000000"/>
          <w:vertAlign w:val="subscript"/>
          <w:lang w:val="en-US"/>
        </w:rPr>
        <w:t>4</w:t>
      </w:r>
      <w:r w:rsidRPr="005E38C2">
        <w:rPr>
          <w:rFonts w:ascii="Times New Roman" w:eastAsia="Times New Roman" w:hAnsi="Times New Roman" w:cs="Times New Roman"/>
          <w:color w:val="000000"/>
          <w:lang w:val="en-US"/>
        </w:rPr>
        <w:t>HCO</w:t>
      </w:r>
      <w:r w:rsidRPr="005E38C2">
        <w:rPr>
          <w:rFonts w:ascii="Times New Roman" w:eastAsia="Times New Roman" w:hAnsi="Times New Roman" w:cs="Times New Roman"/>
          <w:color w:val="000000"/>
          <w:vertAlign w:val="subscript"/>
          <w:lang w:val="en-US"/>
        </w:rPr>
        <w:t>3</w:t>
      </w:r>
      <w:r w:rsidRPr="005E38C2">
        <w:rPr>
          <w:rFonts w:ascii="Times New Roman" w:eastAsia="Times New Roman" w:hAnsi="Times New Roman" w:cs="Times New Roman"/>
          <w:color w:val="000000"/>
          <w:lang w:val="en-US"/>
        </w:rPr>
        <w:t xml:space="preserve"> and ACN alternatively and vacuum-dried. Samples were incubated with 12.5 ng/µL trypsin (Sequencing Grade Modified Trypsin, Promega) in 50 mM (NH</w:t>
      </w:r>
      <w:r w:rsidRPr="005E38C2">
        <w:rPr>
          <w:rFonts w:ascii="Times New Roman" w:eastAsia="Times New Roman" w:hAnsi="Times New Roman" w:cs="Times New Roman"/>
          <w:color w:val="000000"/>
          <w:vertAlign w:val="subscript"/>
          <w:lang w:val="en-US"/>
        </w:rPr>
        <w:t>4</w:t>
      </w:r>
      <w:r w:rsidRPr="005E38C2">
        <w:rPr>
          <w:rFonts w:ascii="Times New Roman" w:eastAsia="Times New Roman" w:hAnsi="Times New Roman" w:cs="Times New Roman"/>
          <w:color w:val="000000"/>
          <w:lang w:val="en-US"/>
        </w:rPr>
        <w:t>)</w:t>
      </w:r>
      <w:r w:rsidRPr="005E38C2">
        <w:rPr>
          <w:rFonts w:ascii="Times New Roman" w:eastAsia="Times New Roman" w:hAnsi="Times New Roman" w:cs="Times New Roman"/>
          <w:color w:val="000000"/>
          <w:vertAlign w:val="subscript"/>
          <w:lang w:val="en-US"/>
        </w:rPr>
        <w:t>2</w:t>
      </w:r>
      <w:r w:rsidRPr="005E38C2">
        <w:rPr>
          <w:rFonts w:ascii="Times New Roman" w:eastAsia="Times New Roman" w:hAnsi="Times New Roman" w:cs="Times New Roman"/>
          <w:color w:val="000000"/>
          <w:lang w:val="en-US"/>
        </w:rPr>
        <w:t>HCO</w:t>
      </w:r>
      <w:r w:rsidRPr="005E38C2">
        <w:rPr>
          <w:rFonts w:ascii="Times New Roman" w:eastAsia="Times New Roman" w:hAnsi="Times New Roman" w:cs="Times New Roman"/>
          <w:color w:val="000000"/>
          <w:vertAlign w:val="subscript"/>
          <w:lang w:val="en-US"/>
        </w:rPr>
        <w:t>3</w:t>
      </w:r>
      <w:sdt>
        <w:sdtPr>
          <w:rPr>
            <w:rFonts w:ascii="Times New Roman" w:hAnsi="Times New Roman" w:cs="Times New Roman"/>
          </w:rPr>
          <w:tag w:val="goog_rdk_2"/>
          <w:id w:val="550118296"/>
        </w:sdtPr>
        <w:sdtEndPr/>
        <w:sdtContent>
          <w:r w:rsidRPr="005E38C2">
            <w:rPr>
              <w:rFonts w:ascii="Times New Roman" w:eastAsia="Gungsuh" w:hAnsi="Times New Roman" w:cs="Times New Roman"/>
              <w:color w:val="000000"/>
              <w:lang w:val="en-US"/>
            </w:rPr>
            <w:t xml:space="preserve"> and protein digestion was carried out overnight at 37 °C. Peptides were extracted with three changes of 50 % ACN/ 0.1 % formic acid (FA). Samples were vacuum-dried and stored at −20 °C. Samples were analyzed using a LTQ Orbitrap XL mass spectrometer (Thermo Fisher Scientific) coupled to a HPLC Ultimate 3000 (Dionex - Thermo Fisher Scientific) through a nanospray source (NSI), as described previously </w:t>
          </w:r>
        </w:sdtContent>
      </w:sdt>
      <w:r w:rsidRPr="005E38C2">
        <w:rPr>
          <w:rFonts w:ascii="Times New Roman" w:eastAsia="Times New Roman" w:hAnsi="Times New Roman" w:cs="Times New Roman"/>
          <w:color w:val="000000"/>
          <w:vertAlign w:val="superscript"/>
          <w:lang w:val="en-US"/>
        </w:rPr>
        <w:t xml:space="preserve"> </w:t>
      </w:r>
      <w:r>
        <w:rPr>
          <w:rFonts w:ascii="Times New Roman" w:eastAsia="Times New Roman" w:hAnsi="Times New Roman" w:cs="Times New Roman"/>
          <w:color w:val="000000"/>
          <w:vertAlign w:val="superscript"/>
        </w:rPr>
        <w:fldChar w:fldCharType="begin" w:fldLock="1"/>
      </w:r>
      <w:r>
        <w:rPr>
          <w:rFonts w:ascii="Times New Roman" w:eastAsia="Times New Roman" w:hAnsi="Times New Roman" w:cs="Times New Roman"/>
          <w:color w:val="000000"/>
          <w:vertAlign w:val="superscript"/>
          <w:lang w:val="en-US"/>
        </w:rPr>
        <w:instrText>ADDIN CSL_CITATION {"citationItems":[{"id":"ITEM-1","itemData":{"DOI":"10.1016/j.foodchem.2021.129299","ISSN":"1873-7072 (Electronic)","PMID":"33690076","abstract":"The consumption of soy milk is increasing worldwide for its nutritional value and  health benefits, however, its protein composition after commercialization is not well known. Technological and thermal treatments to which soy milk is subjected could affect the protein composition of the commercial products. This study compared the protein profile of 15 different commercial soy milks using a label-free quantitative proteomics approach. Proteins related to nutrient reservoir activity, endopeptidase inhibitor activity, lipid binding, and seed maturation contribute the most in terms of percentage mass. Their associated Gene Ontology terms are also enriched. Samples clustered into three groups based on their protein composition, with glycinins and beta-conglycinins being the most influential for determining the clustering. Amino acid composition estimated from the proteomics data also reflects the clustering of samples. Twenty allergenic proteins varying in abundance were identified, with Gly m 5 and Gly m 6 being the predominantly abundant allergens.","author":[{"dropping-particle":"","family":"Battisti","given":"Ilaria","non-dropping-particle":"","parse-names":false,"suffix":""},{"dropping-particle":"","family":"Ebinezer","given":"Leonard Barnabas","non-dropping-particle":"","parse-names":false,"suffix":""},{"dropping-particle":"","family":"Lomolino","given":"Giovanna","non-dropping-particle":"","parse-names":false,"suffix":""},{"dropping-particle":"","family":"Masi","given":"Antonio","non-dropping-particle":"","parse-names":false,"suffix":""},{"dropping-particle":"","family":"Arrigoni","given":"Giorgio","non-dropping-particle":"","parse-names":false,"suffix":""}],"container-title":"Food chemistry","id":"ITEM-1","issued":{"date-parts":[["2021","8"]]},"language":"eng","page":"129299","publisher-place":"England","title":"Protein profile of commercial soybean milks analyzed by label-free quantitative  proteomics.","type":"article-journal","volume":"352"},"uris":["http://www.mendeley.com/documents/?uuid=43cf5a9f-3d40-41bb-b6cc-f9f99d1fe97b"]}],"mendeley":{"formattedCitation":"[1]","plainTextFormattedCitation":"[1]","previouslyFormattedCitation":"(Battisti &lt;i&gt;et al.&lt;/i&gt;, 2021)"},"properties":{"noteIndex":0},"schema":"https://github.com/citation-style-language/schema/raw/master/csl-citation.json"}</w:instrText>
      </w:r>
      <w:r>
        <w:rPr>
          <w:rFonts w:ascii="Times New Roman" w:eastAsia="Times New Roman" w:hAnsi="Times New Roman" w:cs="Times New Roman"/>
          <w:color w:val="000000"/>
          <w:vertAlign w:val="superscript"/>
        </w:rPr>
        <w:fldChar w:fldCharType="separate"/>
      </w:r>
      <w:r w:rsidRPr="005E38C2">
        <w:rPr>
          <w:rFonts w:ascii="Times New Roman" w:eastAsia="Times New Roman" w:hAnsi="Times New Roman" w:cs="Times New Roman"/>
          <w:noProof/>
          <w:color w:val="000000"/>
          <w:lang w:val="en-US"/>
        </w:rPr>
        <w:t>[1]</w:t>
      </w:r>
      <w:r>
        <w:rPr>
          <w:rFonts w:ascii="Times New Roman" w:eastAsia="Times New Roman" w:hAnsi="Times New Roman" w:cs="Times New Roman"/>
          <w:color w:val="000000"/>
          <w:vertAlign w:val="superscript"/>
        </w:rPr>
        <w:fldChar w:fldCharType="end"/>
      </w:r>
      <w:r w:rsidRPr="005E38C2">
        <w:rPr>
          <w:rFonts w:ascii="Times New Roman" w:eastAsia="Times New Roman" w:hAnsi="Times New Roman" w:cs="Times New Roman"/>
          <w:color w:val="000000"/>
          <w:lang w:val="en-US"/>
        </w:rPr>
        <w:t xml:space="preserve">. Samples were resuspended in 30 µL of 3 % ACN/0.1 % FA and each sample was acquired twice. Raw data files were analyzed with MaxQuant </w:t>
      </w:r>
      <w:r>
        <w:rPr>
          <w:rFonts w:ascii="Times New Roman" w:eastAsia="Times New Roman" w:hAnsi="Times New Roman" w:cs="Times New Roman"/>
          <w:color w:val="000000"/>
        </w:rPr>
        <w:fldChar w:fldCharType="begin" w:fldLock="1"/>
      </w:r>
      <w:r>
        <w:rPr>
          <w:rFonts w:ascii="Times New Roman" w:eastAsia="Times New Roman" w:hAnsi="Times New Roman" w:cs="Times New Roman"/>
          <w:color w:val="000000"/>
          <w:lang w:val="en-US"/>
        </w:rPr>
        <w:instrText>ADDIN CSL_CITATION {"citationItems":[{"id":"ITEM-1","itemData":{"DOI":"10.1038/nbt.1511","ISSN":"1546-1696 (Electronic)","PMID":"19029910","abstract":"Efficient analysis of very large amounts of raw data for peptide identification and  protein quantification is a principal challenge in mass spectrometry (MS)-based proteomics. Here we describe MaxQuant, an integrated suite of algorithms specifically developed for high-resolution, quantitative MS data. Using correlation analysis and graph theory, MaxQuant detects peaks, isotope clusters and stable amino acid isotope-labeled (SILAC) peptide pairs as three-dimensional objects in m/z, elution time and signal intensity space. By integrating multiple mass measurements and correcting for linear and nonlinear mass offsets, we achieve mass accuracy in the p.p.b. range, a sixfold increase over standard techniques. We increase the proportion of identified fragmentation spectra to 73% for SILAC peptide pairs via unambiguous assignment of isotope and missed-cleavage state and individual mass precision. MaxQuant automatically quantifies several hundred thousand peptides per SILAC-proteome experiment and allows statistically robust identification and quantification of &gt;4,000 proteins in mammalian cell lysates.","author":[{"dropping-particle":"","family":"Cox","given":"Jürgen","non-dropping-particle":"","parse-names":false,"suffix":""},{"dropping-particle":"","family":"Mann","given":"Matthias","non-dropping-particle":"","parse-names":false,"suffix":""}],"container-title":"Nature biotechnology","id":"ITEM-1","issue":"12","issued":{"date-parts":[["2008","12"]]},"language":"eng","page":"1367-1372","publisher-place":"United States","title":"MaxQuant enables high peptide identification rates, individualized p.p.b.-range mass  accuracies and proteome-wide protein quantification.","type":"article-journal","volume":"26"},"uris":["http://www.mendeley.com/documents/?uuid=a40a6829-be45-44c8-bcda-c757cc1cb480"]}],"mendeley":{"formattedCitation":"[2]","plainTextFormattedCitation":"[2]","previouslyFormattedCitation":"(Cox &amp; Mann, 2008)"},"properties":{"noteIndex":0},"schema":"https://github.com/citation-style-language/schema/raw/master/csl-citation.json"}</w:instrText>
      </w:r>
      <w:r>
        <w:rPr>
          <w:rFonts w:ascii="Times New Roman" w:eastAsia="Times New Roman" w:hAnsi="Times New Roman" w:cs="Times New Roman"/>
          <w:color w:val="000000"/>
        </w:rPr>
        <w:fldChar w:fldCharType="separate"/>
      </w:r>
      <w:r w:rsidRPr="005E38C2">
        <w:rPr>
          <w:rFonts w:ascii="Times New Roman" w:eastAsia="Times New Roman" w:hAnsi="Times New Roman" w:cs="Times New Roman"/>
          <w:noProof/>
          <w:color w:val="000000"/>
          <w:lang w:val="en-US"/>
        </w:rPr>
        <w:t>[2]</w:t>
      </w:r>
      <w:r>
        <w:rPr>
          <w:rFonts w:ascii="Times New Roman" w:eastAsia="Times New Roman" w:hAnsi="Times New Roman" w:cs="Times New Roman"/>
          <w:color w:val="000000"/>
        </w:rPr>
        <w:fldChar w:fldCharType="end"/>
      </w:r>
      <w:r w:rsidRPr="005E38C2">
        <w:rPr>
          <w:rFonts w:ascii="Times New Roman" w:eastAsia="Times New Roman" w:hAnsi="Times New Roman" w:cs="Times New Roman"/>
          <w:color w:val="000000"/>
          <w:lang w:val="en-US"/>
        </w:rPr>
        <w:t xml:space="preserve"> software (v. 1.5.1.2) interfaced with Andromeda search engine. Protein search was performed against the mouse section of the UniProt database (</w:t>
      </w:r>
      <w:r w:rsidRPr="005E38C2">
        <w:rPr>
          <w:rFonts w:ascii="Times New Roman" w:eastAsia="Times New Roman" w:hAnsi="Times New Roman" w:cs="Times New Roman"/>
          <w:i/>
          <w:iCs/>
          <w:color w:val="000000"/>
          <w:lang w:val="en-US"/>
        </w:rPr>
        <w:t>Mus musculus</w:t>
      </w:r>
      <w:r w:rsidRPr="005E38C2">
        <w:rPr>
          <w:rFonts w:ascii="Times New Roman" w:eastAsia="Times New Roman" w:hAnsi="Times New Roman" w:cs="Times New Roman"/>
          <w:color w:val="000000"/>
          <w:lang w:val="en-US"/>
        </w:rPr>
        <w:t xml:space="preserve">, version 2020-09-30, 55494 entries). Enzyme specificity was set to trypsin with up to one missed cleavage allowed, while methylthio-cysteine and oxidized methionine were set as fixed and variable modifications, respectively. A minimum of two peptides was required for protein identification, and a false discovery rate (FDR) </w:t>
      </w:r>
      <w:r w:rsidRPr="005E38C2">
        <w:rPr>
          <w:rFonts w:ascii="Times New Roman" w:eastAsia="Times New Roman" w:hAnsi="Times New Roman" w:cs="Times New Roman"/>
          <w:color w:val="000000"/>
          <w:u w:val="single"/>
          <w:lang w:val="en-US"/>
        </w:rPr>
        <w:t>&lt;</w:t>
      </w:r>
      <w:r w:rsidRPr="005E38C2">
        <w:rPr>
          <w:rFonts w:ascii="Times New Roman" w:eastAsia="Times New Roman" w:hAnsi="Times New Roman" w:cs="Times New Roman"/>
          <w:color w:val="000000"/>
          <w:lang w:val="en-US"/>
        </w:rPr>
        <w:t xml:space="preserve"> 0.01, both at the peptide and protein level, was used to filter the results. To estimate the relative protein abundance across samples, the intensity values calculated by the software were used. The datasets were compared to highlight significant differences in the protein abundances: common and unique Glt-1 binders between the LRRK2 WT and G2019S genetic environments were identified performing a Z-test on the log-transformed values of the IP/CTRL ratios and considering only proteins with p &lt; 0.05 and Fold Changes (FC) </w:t>
      </w:r>
      <w:r w:rsidRPr="005E38C2">
        <w:rPr>
          <w:rFonts w:ascii="Times New Roman" w:eastAsia="Times New Roman" w:hAnsi="Times New Roman" w:cs="Times New Roman"/>
          <w:color w:val="000000"/>
          <w:u w:val="single"/>
          <w:lang w:val="en-US"/>
        </w:rPr>
        <w:t>&gt;</w:t>
      </w:r>
      <w:r w:rsidRPr="005E38C2">
        <w:rPr>
          <w:rFonts w:ascii="Times New Roman" w:eastAsia="Times New Roman" w:hAnsi="Times New Roman" w:cs="Times New Roman"/>
          <w:color w:val="000000"/>
          <w:lang w:val="en-US"/>
        </w:rPr>
        <w:t xml:space="preserve"> 3.5. Gene Ontology (GO) terms were employed to identify discrete functional enrichments in order to extract </w:t>
      </w:r>
      <w:r w:rsidRPr="005E38C2">
        <w:rPr>
          <w:rFonts w:ascii="Times New Roman" w:eastAsia="Times New Roman" w:hAnsi="Times New Roman" w:cs="Times New Roman"/>
          <w:color w:val="000000"/>
          <w:lang w:val="en-US"/>
        </w:rPr>
        <w:lastRenderedPageBreak/>
        <w:t>information about novel networks of interactors in relationship to the different subcellular localization of the transporter. G:profiler (https://biit.cs.ut.ee/gprofiler/gost) was used for enrichment analysis. Glt-1-related protein networks in LRRK2 G2019S pathogenic background were ranked based on the fold-change affinity over the control (</w:t>
      </w:r>
      <w:r w:rsidRPr="005E38C2">
        <w:rPr>
          <w:rFonts w:ascii="Times New Roman" w:eastAsia="Times New Roman" w:hAnsi="Times New Roman" w:cs="Times New Roman"/>
          <w:color w:val="000000"/>
          <w:u w:val="single"/>
          <w:lang w:val="en-US"/>
        </w:rPr>
        <w:t>&gt;</w:t>
      </w:r>
      <w:r w:rsidRPr="005E38C2">
        <w:rPr>
          <w:rFonts w:ascii="Times New Roman" w:eastAsia="Times New Roman" w:hAnsi="Times New Roman" w:cs="Times New Roman"/>
          <w:color w:val="000000"/>
          <w:lang w:val="en-US"/>
        </w:rPr>
        <w:t>3.5).</w:t>
      </w:r>
    </w:p>
    <w:p w14:paraId="32AC4804" w14:textId="7F01729F" w:rsidR="00952014" w:rsidRDefault="00952014" w:rsidP="00952014">
      <w:pPr>
        <w:spacing w:line="360" w:lineRule="auto"/>
        <w:jc w:val="both"/>
        <w:rPr>
          <w:rFonts w:ascii="Times New Roman" w:eastAsia="Times New Roman" w:hAnsi="Times New Roman" w:cs="Times New Roman"/>
          <w:color w:val="000000"/>
          <w:lang w:val="en-US"/>
        </w:rPr>
      </w:pPr>
    </w:p>
    <w:p w14:paraId="7597350B" w14:textId="7FDA2F3A" w:rsidR="00952014" w:rsidRPr="00952014" w:rsidRDefault="00952014" w:rsidP="00952014">
      <w:pPr>
        <w:spacing w:line="360" w:lineRule="auto"/>
        <w:jc w:val="both"/>
        <w:rPr>
          <w:rFonts w:ascii="Times New Roman" w:eastAsia="Times New Roman" w:hAnsi="Times New Roman" w:cs="Times New Roman"/>
          <w:b/>
          <w:bCs/>
          <w:color w:val="000000"/>
          <w:lang w:val="en-US"/>
        </w:rPr>
      </w:pPr>
      <w:r w:rsidRPr="00952014">
        <w:rPr>
          <w:rFonts w:ascii="Times New Roman" w:eastAsia="Times New Roman" w:hAnsi="Times New Roman" w:cs="Times New Roman"/>
          <w:b/>
          <w:bCs/>
          <w:color w:val="000000"/>
          <w:lang w:val="en-US"/>
        </w:rPr>
        <w:t>Bibliography</w:t>
      </w:r>
    </w:p>
    <w:p w14:paraId="18DB6278" w14:textId="77777777" w:rsidR="00952014" w:rsidRPr="005E38C2" w:rsidRDefault="00952014" w:rsidP="00952014">
      <w:pPr>
        <w:rPr>
          <w:lang w:val="en-US"/>
        </w:rPr>
      </w:pPr>
    </w:p>
    <w:p w14:paraId="335D66AB" w14:textId="77777777" w:rsidR="00952014" w:rsidRPr="0084789D" w:rsidRDefault="00952014" w:rsidP="00952014">
      <w:pPr>
        <w:widowControl w:val="0"/>
        <w:autoSpaceDE w:val="0"/>
        <w:autoSpaceDN w:val="0"/>
        <w:adjustRightInd w:val="0"/>
        <w:ind w:left="640" w:hanging="640"/>
        <w:jc w:val="both"/>
        <w:rPr>
          <w:rFonts w:ascii="Times New Roman" w:hAnsi="Times New Roman" w:cs="Times New Roman"/>
          <w:noProof/>
          <w:lang w:val="en-US"/>
        </w:rPr>
      </w:pPr>
      <w:r w:rsidRPr="0084789D">
        <w:rPr>
          <w:rFonts w:ascii="Times New Roman" w:hAnsi="Times New Roman" w:cs="Times New Roman"/>
        </w:rPr>
        <w:fldChar w:fldCharType="begin" w:fldLock="1"/>
      </w:r>
      <w:r w:rsidRPr="0084789D">
        <w:rPr>
          <w:rFonts w:ascii="Times New Roman" w:hAnsi="Times New Roman" w:cs="Times New Roman"/>
          <w:lang w:val="en-US"/>
        </w:rPr>
        <w:instrText xml:space="preserve">ADDIN Mendeley Bibliography CSL_BIBLIOGRAPHY </w:instrText>
      </w:r>
      <w:r w:rsidRPr="0084789D">
        <w:rPr>
          <w:rFonts w:ascii="Times New Roman" w:hAnsi="Times New Roman" w:cs="Times New Roman"/>
        </w:rPr>
        <w:fldChar w:fldCharType="separate"/>
      </w:r>
      <w:r w:rsidRPr="0084789D">
        <w:rPr>
          <w:rFonts w:ascii="Times New Roman" w:hAnsi="Times New Roman" w:cs="Times New Roman"/>
          <w:noProof/>
          <w:lang w:val="en-US"/>
        </w:rPr>
        <w:t xml:space="preserve">1. </w:t>
      </w:r>
      <w:r w:rsidRPr="0084789D">
        <w:rPr>
          <w:rFonts w:ascii="Times New Roman" w:hAnsi="Times New Roman" w:cs="Times New Roman"/>
          <w:noProof/>
          <w:lang w:val="en-US"/>
        </w:rPr>
        <w:tab/>
        <w:t>Battisti I, Ebinezer LB, Lomolino G, Masi A, Arrigoni G (2021) Protein profile of commercial soybean milks analyzed by label-free quantitative  proteomics. Food Chem 352:129299. doi: 10.1016/j.foodchem.2021.129299</w:t>
      </w:r>
    </w:p>
    <w:p w14:paraId="21387621" w14:textId="77777777" w:rsidR="00952014" w:rsidRPr="0084789D" w:rsidRDefault="00952014" w:rsidP="00952014">
      <w:pPr>
        <w:widowControl w:val="0"/>
        <w:autoSpaceDE w:val="0"/>
        <w:autoSpaceDN w:val="0"/>
        <w:adjustRightInd w:val="0"/>
        <w:ind w:left="640" w:hanging="640"/>
        <w:jc w:val="both"/>
        <w:rPr>
          <w:rFonts w:ascii="Times New Roman" w:hAnsi="Times New Roman" w:cs="Times New Roman"/>
          <w:noProof/>
          <w:lang w:val="en-US"/>
        </w:rPr>
      </w:pPr>
      <w:r w:rsidRPr="0084789D">
        <w:rPr>
          <w:rFonts w:ascii="Times New Roman" w:hAnsi="Times New Roman" w:cs="Times New Roman"/>
          <w:noProof/>
          <w:lang w:val="en-US"/>
        </w:rPr>
        <w:t xml:space="preserve">2. </w:t>
      </w:r>
      <w:r w:rsidRPr="0084789D">
        <w:rPr>
          <w:rFonts w:ascii="Times New Roman" w:hAnsi="Times New Roman" w:cs="Times New Roman"/>
          <w:noProof/>
          <w:lang w:val="en-US"/>
        </w:rPr>
        <w:tab/>
        <w:t>Cox J, Mann M (2008) MaxQuant enables high peptide identification rates, individualized p.p.b.-range mass  accuracies and proteome-wide protein quantification. Nat Biotechnol 26:1367–1372. doi: 10.1038/nbt.1511</w:t>
      </w:r>
    </w:p>
    <w:p w14:paraId="0E1898D2" w14:textId="77777777" w:rsidR="00952014" w:rsidRPr="0084789D" w:rsidRDefault="00952014" w:rsidP="00952014">
      <w:pPr>
        <w:widowControl w:val="0"/>
        <w:autoSpaceDE w:val="0"/>
        <w:autoSpaceDN w:val="0"/>
        <w:adjustRightInd w:val="0"/>
        <w:ind w:left="640" w:hanging="640"/>
        <w:jc w:val="both"/>
        <w:rPr>
          <w:rFonts w:ascii="Times New Roman" w:hAnsi="Times New Roman" w:cs="Times New Roman"/>
          <w:noProof/>
          <w:lang w:val="en-US"/>
        </w:rPr>
      </w:pPr>
      <w:r w:rsidRPr="0084789D">
        <w:rPr>
          <w:rFonts w:ascii="Times New Roman" w:hAnsi="Times New Roman" w:cs="Times New Roman"/>
          <w:noProof/>
          <w:lang w:val="en-US"/>
        </w:rPr>
        <w:t xml:space="preserve">3. </w:t>
      </w:r>
      <w:r w:rsidRPr="0084789D">
        <w:rPr>
          <w:rFonts w:ascii="Times New Roman" w:hAnsi="Times New Roman" w:cs="Times New Roman"/>
          <w:noProof/>
          <w:lang w:val="en-US"/>
        </w:rPr>
        <w:tab/>
        <w:t>Lin-Moshier Y, Marchant JS (2013) A rapid Western blotting protocol for the Xenopus oocyte. Cold Spring Harb Protoc 2013. doi: 10.1101/pdb.prot072793</w:t>
      </w:r>
    </w:p>
    <w:p w14:paraId="60AB790B" w14:textId="77777777" w:rsidR="00952014" w:rsidRPr="0084789D" w:rsidRDefault="00952014" w:rsidP="00952014">
      <w:pPr>
        <w:widowControl w:val="0"/>
        <w:autoSpaceDE w:val="0"/>
        <w:autoSpaceDN w:val="0"/>
        <w:adjustRightInd w:val="0"/>
        <w:ind w:left="640" w:hanging="640"/>
        <w:jc w:val="both"/>
        <w:rPr>
          <w:rFonts w:ascii="Times New Roman" w:hAnsi="Times New Roman" w:cs="Times New Roman"/>
          <w:noProof/>
        </w:rPr>
      </w:pPr>
      <w:r w:rsidRPr="0084789D">
        <w:rPr>
          <w:rFonts w:ascii="Times New Roman" w:hAnsi="Times New Roman" w:cs="Times New Roman"/>
          <w:noProof/>
          <w:lang w:val="en-US"/>
        </w:rPr>
        <w:t xml:space="preserve">4. </w:t>
      </w:r>
      <w:r w:rsidRPr="0084789D">
        <w:rPr>
          <w:rFonts w:ascii="Times New Roman" w:hAnsi="Times New Roman" w:cs="Times New Roman"/>
          <w:noProof/>
          <w:lang w:val="en-US"/>
        </w:rPr>
        <w:tab/>
        <w:t xml:space="preserve">Livak KJ, Schmittgen TD (2001) Analysis of relative gene expression data using real-time quantitative PCR and the 2(-Delta Delta C(T)) Method. </w:t>
      </w:r>
      <w:r w:rsidRPr="0084789D">
        <w:rPr>
          <w:rFonts w:ascii="Times New Roman" w:hAnsi="Times New Roman" w:cs="Times New Roman"/>
          <w:noProof/>
        </w:rPr>
        <w:t>Methods 25:402–408. doi: 10.1006/METH.2001.1262</w:t>
      </w:r>
    </w:p>
    <w:p w14:paraId="59C79433" w14:textId="2D4F8326" w:rsidR="00952014" w:rsidRDefault="00952014" w:rsidP="00952014">
      <w:pPr>
        <w:spacing w:line="360" w:lineRule="auto"/>
        <w:jc w:val="both"/>
        <w:rPr>
          <w:rFonts w:ascii="Times New Roman" w:eastAsia="Times New Roman" w:hAnsi="Times New Roman" w:cs="Times New Roman"/>
          <w:b/>
          <w:lang w:val="en-US"/>
        </w:rPr>
      </w:pPr>
      <w:r w:rsidRPr="0084789D">
        <w:rPr>
          <w:rFonts w:ascii="Times New Roman" w:hAnsi="Times New Roman" w:cs="Times New Roman"/>
        </w:rPr>
        <w:fldChar w:fldCharType="end"/>
      </w:r>
      <w:r>
        <w:rPr>
          <w:rFonts w:ascii="Times New Roman" w:eastAsia="Times New Roman" w:hAnsi="Times New Roman" w:cs="Times New Roman"/>
          <w:b/>
          <w:lang w:val="en-US"/>
        </w:rPr>
        <w:br w:type="page"/>
      </w:r>
    </w:p>
    <w:p w14:paraId="20A703F7" w14:textId="08A269F5" w:rsidR="00185586" w:rsidRPr="00185586" w:rsidRDefault="00185586" w:rsidP="00185586">
      <w:pPr>
        <w:spacing w:line="360" w:lineRule="auto"/>
        <w:jc w:val="both"/>
        <w:rPr>
          <w:rFonts w:ascii="Times New Roman" w:eastAsia="Times New Roman" w:hAnsi="Times New Roman" w:cs="Times New Roman"/>
          <w:b/>
          <w:lang w:val="en-US"/>
        </w:rPr>
      </w:pPr>
      <w:r w:rsidRPr="00185586">
        <w:rPr>
          <w:rFonts w:ascii="Times New Roman" w:eastAsia="Times New Roman" w:hAnsi="Times New Roman" w:cs="Times New Roman"/>
          <w:b/>
          <w:lang w:val="en-US"/>
        </w:rPr>
        <w:lastRenderedPageBreak/>
        <w:t>Supplementary Figure 1</w:t>
      </w:r>
    </w:p>
    <w:p w14:paraId="424FD254" w14:textId="77777777" w:rsidR="00185586" w:rsidRPr="00185586" w:rsidRDefault="00185586" w:rsidP="00185586">
      <w:pPr>
        <w:spacing w:line="360" w:lineRule="auto"/>
        <w:jc w:val="both"/>
        <w:rPr>
          <w:rFonts w:ascii="Times New Roman" w:eastAsia="Times New Roman" w:hAnsi="Times New Roman" w:cs="Times New Roman"/>
          <w:b/>
          <w:sz w:val="28"/>
          <w:szCs w:val="28"/>
          <w:lang w:val="en-US"/>
        </w:rPr>
      </w:pPr>
      <w:r>
        <w:rPr>
          <w:rFonts w:ascii="Times New Roman" w:eastAsia="Times New Roman" w:hAnsi="Times New Roman" w:cs="Times New Roman"/>
          <w:b/>
          <w:noProof/>
          <w:sz w:val="28"/>
          <w:szCs w:val="28"/>
          <w:lang w:val="en-US"/>
        </w:rPr>
        <w:drawing>
          <wp:inline distT="0" distB="0" distL="0" distR="0" wp14:anchorId="31C4DA92" wp14:editId="5118D700">
            <wp:extent cx="6120130" cy="8650605"/>
            <wp:effectExtent l="0" t="0" r="127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20130" cy="8650605"/>
                    </a:xfrm>
                    <a:prstGeom prst="rect">
                      <a:avLst/>
                    </a:prstGeom>
                  </pic:spPr>
                </pic:pic>
              </a:graphicData>
            </a:graphic>
          </wp:inline>
        </w:drawing>
      </w:r>
    </w:p>
    <w:p w14:paraId="0B44B1D1" w14:textId="77777777" w:rsidR="00185586" w:rsidRPr="00185586" w:rsidRDefault="00185586" w:rsidP="00185586">
      <w:pPr>
        <w:spacing w:line="360" w:lineRule="auto"/>
        <w:jc w:val="both"/>
        <w:rPr>
          <w:rFonts w:ascii="Times New Roman" w:eastAsia="Times New Roman" w:hAnsi="Times New Roman" w:cs="Times New Roman"/>
          <w:b/>
          <w:color w:val="000000"/>
          <w:lang w:val="en-US"/>
        </w:rPr>
      </w:pPr>
      <w:r w:rsidRPr="00185586">
        <w:rPr>
          <w:rFonts w:ascii="Times New Roman" w:eastAsia="Times New Roman" w:hAnsi="Times New Roman" w:cs="Times New Roman"/>
          <w:b/>
          <w:color w:val="000000"/>
          <w:lang w:val="en-US"/>
        </w:rPr>
        <w:lastRenderedPageBreak/>
        <w:t>Supplementary Figure 1</w:t>
      </w:r>
    </w:p>
    <w:p w14:paraId="65665579" w14:textId="72E08DB0" w:rsidR="00185586" w:rsidRDefault="00185586" w:rsidP="00185586">
      <w:pPr>
        <w:spacing w:line="360" w:lineRule="auto"/>
        <w:jc w:val="both"/>
        <w:rPr>
          <w:rFonts w:ascii="Times New Roman" w:eastAsia="Times New Roman" w:hAnsi="Times New Roman" w:cs="Times New Roman"/>
          <w:color w:val="000000"/>
          <w:lang w:val="en-US"/>
        </w:rPr>
      </w:pPr>
      <w:r w:rsidRPr="00185586">
        <w:rPr>
          <w:rFonts w:ascii="Times New Roman" w:eastAsia="Times New Roman" w:hAnsi="Times New Roman" w:cs="Times New Roman"/>
          <w:color w:val="000000"/>
          <w:lang w:val="en-US"/>
        </w:rPr>
        <w:t>a-c) Western blot quantification of the monomeric fractions (60 KDa) as well as of the multimeric fractions (180 KDa and 250 KDa) of EAAT2 in LRRK2 G2019S PD patients (n=4) compared to healthy controls (n=5); d) Western blot analysis of healthy controls, idiopathic PD patients (iPD) and LRRK2 G2019S caudate and putamen lysates using an anti-EAAT2 antibody; e-h) Relative quantification of the total EAAT2 as well as of the monomeric fractions (60 KDa) and multimeric fractions (180 KDa and 250 KDa) of EAAT2 in the healthy controls (n=5), iPD patients (n=5) and LRRK2 G2019S PD patients (n=4). The band intensity was performed using ImageJ and normalized to the housekeeping protein GAPDH; i-j) Quantification of GFAP IntDen and of GFAP</w:t>
      </w:r>
      <w:r w:rsidRPr="00185586">
        <w:rPr>
          <w:rFonts w:ascii="Times New Roman" w:eastAsia="Times New Roman" w:hAnsi="Times New Roman" w:cs="Times New Roman"/>
          <w:color w:val="000000"/>
          <w:vertAlign w:val="superscript"/>
          <w:lang w:val="en-US"/>
        </w:rPr>
        <w:t>+</w:t>
      </w:r>
      <w:r w:rsidRPr="00185586">
        <w:rPr>
          <w:rFonts w:ascii="Times New Roman" w:eastAsia="Times New Roman" w:hAnsi="Times New Roman" w:cs="Times New Roman"/>
          <w:color w:val="000000"/>
          <w:lang w:val="en-US"/>
        </w:rPr>
        <w:t xml:space="preserve"> positive cells in the caudate and putamen of healthy controls (n=2) and LRRK2 G2019S PD patients (n=2);</w:t>
      </w:r>
      <w:r w:rsidRPr="00185586">
        <w:rPr>
          <w:rFonts w:ascii="Times New Roman" w:eastAsia="Times New Roman" w:hAnsi="Times New Roman" w:cs="Times New Roman"/>
          <w:color w:val="000000"/>
          <w:u w:val="single"/>
          <w:lang w:val="en-US"/>
        </w:rPr>
        <w:t xml:space="preserve"> </w:t>
      </w:r>
      <w:r w:rsidRPr="00185586">
        <w:rPr>
          <w:rFonts w:ascii="Times New Roman" w:eastAsia="Times New Roman" w:hAnsi="Times New Roman" w:cs="Times New Roman"/>
          <w:color w:val="000000"/>
          <w:lang w:val="en-US"/>
        </w:rPr>
        <w:t xml:space="preserve">k) Western blot analysis of LRRK2 WT and LRRK2 G2019S striatal lysates blotted with the following antibodies: anti-pS1292 LRRK2, anti-total LRRK2 and the housekeeping </w:t>
      </w:r>
      <w:r w:rsidRPr="00D73C98">
        <w:rPr>
          <w:rFonts w:ascii="Times New Roman" w:eastAsia="Times New Roman" w:hAnsi="Times New Roman" w:cs="Times New Roman"/>
          <w:color w:val="000000"/>
        </w:rPr>
        <w:t>β</w:t>
      </w:r>
      <w:r w:rsidRPr="00185586">
        <w:rPr>
          <w:rFonts w:ascii="Times New Roman" w:eastAsia="Times New Roman" w:hAnsi="Times New Roman" w:cs="Times New Roman"/>
          <w:color w:val="000000"/>
          <w:lang w:val="en-US"/>
        </w:rPr>
        <w:t>-actin; l) Quantification of Ser1292 phosphorylation (pS1292 LRRK2/total LRRK2) was performed using ImageJ (n=7 striatal samples for both LRRK2 WT and LRRK2 G2019S 4-month old mice;  m-n) Quantification of the 60 KDa and 180 KDa Glt-1 bands in LRRK2 WT and LRRK2 G2019S mice; n=7 animals for each genotype; o) qPCR analysis of Glt-1 and Glast mRNA in the striatum of LRRK2 WT and LRRK2 G2019S mice; n=12 animals for each genotype;</w:t>
      </w:r>
      <w:r w:rsidRPr="00185586">
        <w:rPr>
          <w:rFonts w:ascii="Times New Roman" w:eastAsia="Times New Roman" w:hAnsi="Times New Roman" w:cs="Times New Roman"/>
          <w:b/>
          <w:color w:val="000000"/>
          <w:lang w:val="en-US"/>
        </w:rPr>
        <w:t xml:space="preserve"> </w:t>
      </w:r>
      <w:r w:rsidRPr="00185586">
        <w:rPr>
          <w:rFonts w:ascii="Times New Roman" w:eastAsia="Times New Roman" w:hAnsi="Times New Roman" w:cs="Times New Roman"/>
          <w:color w:val="000000"/>
          <w:lang w:val="en-US"/>
        </w:rPr>
        <w:t xml:space="preserve">p) qPCR analysis of Glt-1 mRNA in primary LRRK2 WT striatal astrocytes untreated of treated with dbcAMP for 10 days; experiment performed twice on n=2 independent cell cultures; q) Western blot analysis of oocytes co-injected with the mRNA of the excitatory amino acid transporter 2 and the mRNA of the human LRRK2 WT or G2019S, blotted with the antibodies against the total LRRK2 and the housekeeping </w:t>
      </w:r>
      <w:r w:rsidRPr="00D73C98">
        <w:rPr>
          <w:rFonts w:ascii="Times New Roman" w:eastAsia="Times New Roman" w:hAnsi="Times New Roman" w:cs="Times New Roman"/>
          <w:color w:val="000000"/>
        </w:rPr>
        <w:t>β</w:t>
      </w:r>
      <w:r w:rsidRPr="00185586">
        <w:rPr>
          <w:rFonts w:ascii="Times New Roman" w:eastAsia="Times New Roman" w:hAnsi="Times New Roman" w:cs="Times New Roman"/>
          <w:color w:val="000000"/>
          <w:lang w:val="en-US"/>
        </w:rPr>
        <w:t xml:space="preserve">-actin. Statistical analysis was performed in a-c, o using Unpaired T-test and in k-l using Mann-Whitney test. Statistical analysis was performed in e, g using </w:t>
      </w:r>
      <w:r w:rsidRPr="00185586">
        <w:rPr>
          <w:rFonts w:ascii="Times New Roman" w:eastAsia="Times New Roman" w:hAnsi="Times New Roman" w:cs="Times New Roman"/>
          <w:lang w:val="en-US"/>
        </w:rPr>
        <w:t>Kruskal-Wallis test (e: P=0.006; g: P=0.007) followed by Dunn's multiple comparisons test</w:t>
      </w:r>
      <w:r w:rsidRPr="00185586">
        <w:rPr>
          <w:rFonts w:ascii="Times New Roman" w:eastAsia="Times New Roman" w:hAnsi="Times New Roman" w:cs="Times New Roman"/>
          <w:color w:val="000000"/>
          <w:lang w:val="en-US"/>
        </w:rPr>
        <w:t xml:space="preserve"> and in f, h using One-way ANOVA test (f: F=3.07 and P=0.08; h: F=9.49 and P=0.004) followed by Tukey's multiple comparisons test. </w:t>
      </w:r>
    </w:p>
    <w:p w14:paraId="2BA88D87" w14:textId="77777777" w:rsidR="00185586" w:rsidRDefault="00185586">
      <w:pP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br w:type="page"/>
      </w:r>
    </w:p>
    <w:p w14:paraId="3EEF06B1" w14:textId="5A5E7FBC" w:rsidR="00185586" w:rsidRPr="00185586" w:rsidRDefault="00185586" w:rsidP="00185586">
      <w:pPr>
        <w:spacing w:line="360" w:lineRule="auto"/>
        <w:jc w:val="both"/>
        <w:rPr>
          <w:rFonts w:ascii="Times New Roman" w:eastAsia="Times New Roman" w:hAnsi="Times New Roman" w:cs="Times New Roman"/>
          <w:b/>
          <w:bCs/>
          <w:color w:val="000000"/>
          <w:lang w:val="en-US"/>
        </w:rPr>
      </w:pPr>
      <w:r w:rsidRPr="00185586">
        <w:rPr>
          <w:rFonts w:ascii="Times New Roman" w:eastAsia="Times New Roman" w:hAnsi="Times New Roman" w:cs="Times New Roman"/>
          <w:b/>
          <w:bCs/>
          <w:color w:val="000000"/>
          <w:lang w:val="en-US"/>
        </w:rPr>
        <w:lastRenderedPageBreak/>
        <w:t>Supplementary Figure 2</w:t>
      </w:r>
    </w:p>
    <w:p w14:paraId="21E9E5CA" w14:textId="5148B7C7" w:rsidR="00185586" w:rsidRPr="00185586" w:rsidRDefault="00185586" w:rsidP="00185586">
      <w:pPr>
        <w:spacing w:line="360" w:lineRule="auto"/>
        <w:jc w:val="both"/>
        <w:rPr>
          <w:rFonts w:ascii="Times New Roman" w:eastAsia="Times New Roman" w:hAnsi="Times New Roman" w:cs="Times New Roman"/>
          <w:b/>
          <w:bCs/>
          <w:color w:val="000000"/>
          <w:vertAlign w:val="subscript"/>
          <w:lang w:val="en-US"/>
        </w:rPr>
      </w:pPr>
      <w:r>
        <w:rPr>
          <w:rFonts w:ascii="Times New Roman" w:eastAsia="Times New Roman" w:hAnsi="Times New Roman" w:cs="Times New Roman"/>
          <w:b/>
          <w:bCs/>
          <w:noProof/>
          <w:color w:val="000000"/>
          <w:vertAlign w:val="subscript"/>
          <w:lang w:val="en-US"/>
        </w:rPr>
        <w:drawing>
          <wp:inline distT="0" distB="0" distL="0" distR="0" wp14:anchorId="6DBF2BED" wp14:editId="29EEA499">
            <wp:extent cx="6120130" cy="3140766"/>
            <wp:effectExtent l="0" t="0" r="127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rotWithShape="1">
                    <a:blip r:embed="rId6" cstate="print">
                      <a:extLst>
                        <a:ext uri="{28A0092B-C50C-407E-A947-70E740481C1C}">
                          <a14:useLocalDpi xmlns:a14="http://schemas.microsoft.com/office/drawing/2010/main" val="0"/>
                        </a:ext>
                      </a:extLst>
                    </a:blip>
                    <a:srcRect b="36605"/>
                    <a:stretch/>
                  </pic:blipFill>
                  <pic:spPr bwMode="auto">
                    <a:xfrm>
                      <a:off x="0" y="0"/>
                      <a:ext cx="6120130" cy="3140766"/>
                    </a:xfrm>
                    <a:prstGeom prst="rect">
                      <a:avLst/>
                    </a:prstGeom>
                    <a:ln>
                      <a:noFill/>
                    </a:ln>
                    <a:extLst>
                      <a:ext uri="{53640926-AAD7-44D8-BBD7-CCE9431645EC}">
                        <a14:shadowObscured xmlns:a14="http://schemas.microsoft.com/office/drawing/2010/main"/>
                      </a:ext>
                    </a:extLst>
                  </pic:spPr>
                </pic:pic>
              </a:graphicData>
            </a:graphic>
          </wp:inline>
        </w:drawing>
      </w:r>
    </w:p>
    <w:p w14:paraId="3E6F4C07" w14:textId="77777777" w:rsidR="0004445C" w:rsidRDefault="0004445C" w:rsidP="00185586">
      <w:pPr>
        <w:spacing w:line="360" w:lineRule="auto"/>
        <w:jc w:val="both"/>
        <w:rPr>
          <w:rFonts w:ascii="Times New Roman" w:eastAsia="Times New Roman" w:hAnsi="Times New Roman" w:cs="Times New Roman"/>
          <w:b/>
          <w:color w:val="000000"/>
          <w:lang w:val="en-US"/>
        </w:rPr>
      </w:pPr>
    </w:p>
    <w:p w14:paraId="6271CACA" w14:textId="77777777" w:rsidR="0004445C" w:rsidRDefault="0004445C" w:rsidP="00185586">
      <w:pPr>
        <w:spacing w:line="360" w:lineRule="auto"/>
        <w:jc w:val="both"/>
        <w:rPr>
          <w:rFonts w:ascii="Times New Roman" w:eastAsia="Times New Roman" w:hAnsi="Times New Roman" w:cs="Times New Roman"/>
          <w:b/>
          <w:color w:val="000000"/>
          <w:lang w:val="en-US"/>
        </w:rPr>
      </w:pPr>
    </w:p>
    <w:p w14:paraId="25214044" w14:textId="4EC47964" w:rsidR="00185586" w:rsidRPr="00185586" w:rsidRDefault="00185586" w:rsidP="00185586">
      <w:pPr>
        <w:spacing w:line="360" w:lineRule="auto"/>
        <w:jc w:val="both"/>
        <w:rPr>
          <w:rFonts w:ascii="Times New Roman" w:eastAsia="Times New Roman" w:hAnsi="Times New Roman" w:cs="Times New Roman"/>
          <w:b/>
          <w:color w:val="000000"/>
          <w:lang w:val="en-US"/>
        </w:rPr>
      </w:pPr>
      <w:r w:rsidRPr="00185586">
        <w:rPr>
          <w:rFonts w:ascii="Times New Roman" w:eastAsia="Times New Roman" w:hAnsi="Times New Roman" w:cs="Times New Roman"/>
          <w:b/>
          <w:color w:val="000000"/>
          <w:lang w:val="en-US"/>
        </w:rPr>
        <w:t>Supplementary Figure 2- Screening of Glt-1 protein-protein interactions</w:t>
      </w:r>
    </w:p>
    <w:p w14:paraId="07AB27EE" w14:textId="49EA42E6" w:rsidR="00185586" w:rsidRDefault="00185586" w:rsidP="00185586">
      <w:pPr>
        <w:spacing w:line="360" w:lineRule="auto"/>
        <w:jc w:val="both"/>
        <w:rPr>
          <w:rFonts w:ascii="Times New Roman" w:eastAsia="Times New Roman" w:hAnsi="Times New Roman" w:cs="Times New Roman"/>
          <w:color w:val="000000"/>
          <w:lang w:val="en-US"/>
        </w:rPr>
      </w:pPr>
      <w:r w:rsidRPr="00185586">
        <w:rPr>
          <w:rFonts w:ascii="Times New Roman" w:eastAsia="Times New Roman" w:hAnsi="Times New Roman" w:cs="Times New Roman"/>
          <w:color w:val="000000"/>
          <w:lang w:val="en-US"/>
        </w:rPr>
        <w:t>a) Striatal Glt-1 immunoprecipitated from LRRK2 WT and G2019S brains was resolved by immunoblotting. Anti-HSP70 was applied to normalize for protein content; b) Venn diagram summary of interacting proteins, colored for different background (grey for LRRK2 WT, light blue for LRRK2 G2019S, dark blue for LRRK2 WT and G2019S shared interacting proteins); c) Selected GO term enrichments from CC categories using gProfiler were plotted using -log(P</w:t>
      </w:r>
      <w:r w:rsidRPr="00185586">
        <w:rPr>
          <w:rFonts w:ascii="Times New Roman" w:eastAsia="Times New Roman" w:hAnsi="Times New Roman" w:cs="Times New Roman"/>
          <w:i/>
          <w:color w:val="000000"/>
          <w:lang w:val="en-US"/>
        </w:rPr>
        <w:t>adj</w:t>
      </w:r>
      <w:r w:rsidRPr="00185586">
        <w:rPr>
          <w:rFonts w:ascii="Times New Roman" w:eastAsia="Times New Roman" w:hAnsi="Times New Roman" w:cs="Times New Roman"/>
          <w:color w:val="000000"/>
          <w:lang w:val="en-US"/>
        </w:rPr>
        <w:t>) values.</w:t>
      </w:r>
    </w:p>
    <w:p w14:paraId="3B153F55" w14:textId="77777777" w:rsidR="00185586" w:rsidRDefault="00185586">
      <w:pP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br w:type="page"/>
      </w:r>
    </w:p>
    <w:p w14:paraId="22FC9987" w14:textId="109C5692" w:rsidR="00185586" w:rsidRDefault="00185586" w:rsidP="00185586">
      <w:pPr>
        <w:spacing w:line="360" w:lineRule="auto"/>
        <w:jc w:val="both"/>
        <w:rPr>
          <w:rFonts w:ascii="Times New Roman" w:eastAsia="Times New Roman" w:hAnsi="Times New Roman" w:cs="Times New Roman"/>
          <w:b/>
          <w:color w:val="000000"/>
          <w:lang w:val="en-US"/>
        </w:rPr>
      </w:pPr>
      <w:r w:rsidRPr="00185586">
        <w:rPr>
          <w:rFonts w:ascii="Times New Roman" w:eastAsia="Times New Roman" w:hAnsi="Times New Roman" w:cs="Times New Roman"/>
          <w:b/>
          <w:color w:val="000000"/>
          <w:lang w:val="en-US"/>
        </w:rPr>
        <w:lastRenderedPageBreak/>
        <w:t>Supplementary Figure 3</w:t>
      </w:r>
    </w:p>
    <w:p w14:paraId="58B1DEF4" w14:textId="6802F45D" w:rsidR="00185586" w:rsidRPr="00185586" w:rsidRDefault="00185586" w:rsidP="00185586">
      <w:pPr>
        <w:spacing w:line="360" w:lineRule="auto"/>
        <w:jc w:val="both"/>
        <w:rPr>
          <w:rFonts w:ascii="Times New Roman" w:eastAsia="Times New Roman" w:hAnsi="Times New Roman" w:cs="Times New Roman"/>
          <w:b/>
          <w:color w:val="000000"/>
          <w:lang w:val="en-US"/>
        </w:rPr>
      </w:pPr>
      <w:r>
        <w:rPr>
          <w:rFonts w:ascii="Times New Roman" w:eastAsia="Times New Roman" w:hAnsi="Times New Roman" w:cs="Times New Roman"/>
          <w:b/>
          <w:noProof/>
          <w:color w:val="000000"/>
          <w:lang w:val="en-US"/>
        </w:rPr>
        <w:drawing>
          <wp:inline distT="0" distB="0" distL="0" distR="0" wp14:anchorId="546579D6" wp14:editId="7CC01230">
            <wp:extent cx="3575685" cy="3548958"/>
            <wp:effectExtent l="0" t="0" r="5715" b="0"/>
            <wp:docPr id="3" name="Immagine 3" descr="Immagine che contiene testo, screensho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 screenshot&#10;&#10;Descrizione generata automaticamente"/>
                    <pic:cNvPicPr/>
                  </pic:nvPicPr>
                  <pic:blipFill rotWithShape="1">
                    <a:blip r:embed="rId7" cstate="print">
                      <a:extLst>
                        <a:ext uri="{28A0092B-C50C-407E-A947-70E740481C1C}">
                          <a14:useLocalDpi xmlns:a14="http://schemas.microsoft.com/office/drawing/2010/main" val="0"/>
                        </a:ext>
                      </a:extLst>
                    </a:blip>
                    <a:srcRect r="41568" b="58969"/>
                    <a:stretch/>
                  </pic:blipFill>
                  <pic:spPr bwMode="auto">
                    <a:xfrm>
                      <a:off x="0" y="0"/>
                      <a:ext cx="3576119" cy="3549389"/>
                    </a:xfrm>
                    <a:prstGeom prst="rect">
                      <a:avLst/>
                    </a:prstGeom>
                    <a:ln>
                      <a:noFill/>
                    </a:ln>
                    <a:extLst>
                      <a:ext uri="{53640926-AAD7-44D8-BBD7-CCE9431645EC}">
                        <a14:shadowObscured xmlns:a14="http://schemas.microsoft.com/office/drawing/2010/main"/>
                      </a:ext>
                    </a:extLst>
                  </pic:spPr>
                </pic:pic>
              </a:graphicData>
            </a:graphic>
          </wp:inline>
        </w:drawing>
      </w:r>
    </w:p>
    <w:p w14:paraId="68E0BF2E" w14:textId="77777777" w:rsidR="0004445C" w:rsidRDefault="0004445C" w:rsidP="00185586">
      <w:pPr>
        <w:spacing w:line="360" w:lineRule="auto"/>
        <w:jc w:val="both"/>
        <w:rPr>
          <w:rFonts w:ascii="Times New Roman" w:eastAsia="Times New Roman" w:hAnsi="Times New Roman" w:cs="Times New Roman"/>
          <w:b/>
          <w:color w:val="000000"/>
          <w:lang w:val="en-US"/>
        </w:rPr>
      </w:pPr>
    </w:p>
    <w:p w14:paraId="715CCFC9" w14:textId="427DA2F1" w:rsidR="00185586" w:rsidRPr="00185586" w:rsidRDefault="00185586" w:rsidP="00185586">
      <w:pPr>
        <w:spacing w:line="360" w:lineRule="auto"/>
        <w:jc w:val="both"/>
        <w:rPr>
          <w:rFonts w:ascii="Times New Roman" w:eastAsia="Times New Roman" w:hAnsi="Times New Roman" w:cs="Times New Roman"/>
          <w:b/>
          <w:color w:val="000000"/>
          <w:lang w:val="en-US"/>
        </w:rPr>
      </w:pPr>
      <w:r w:rsidRPr="00185586">
        <w:rPr>
          <w:rFonts w:ascii="Times New Roman" w:eastAsia="Times New Roman" w:hAnsi="Times New Roman" w:cs="Times New Roman"/>
          <w:b/>
          <w:color w:val="000000"/>
          <w:lang w:val="en-US"/>
        </w:rPr>
        <w:t>Supplementary Figure 3</w:t>
      </w:r>
    </w:p>
    <w:p w14:paraId="4F9A8AA3" w14:textId="010C5890" w:rsidR="00185586" w:rsidRDefault="00185586" w:rsidP="00185586">
      <w:pPr>
        <w:spacing w:line="360" w:lineRule="auto"/>
        <w:jc w:val="both"/>
        <w:rPr>
          <w:rFonts w:ascii="Times New Roman" w:eastAsia="Times New Roman" w:hAnsi="Times New Roman" w:cs="Times New Roman"/>
          <w:color w:val="000000"/>
          <w:lang w:val="en-US"/>
        </w:rPr>
      </w:pPr>
      <w:r w:rsidRPr="00185586">
        <w:rPr>
          <w:rFonts w:ascii="Times New Roman" w:eastAsia="Times New Roman" w:hAnsi="Times New Roman" w:cs="Times New Roman"/>
          <w:color w:val="000000"/>
          <w:lang w:val="en-US"/>
        </w:rPr>
        <w:t xml:space="preserve">a) Western blot analysis of transfected Flag-Glt-1 expression in primary striatal LRRK2 WT and G2019S astrocytes using an anti-Flag-HRP antibody; b) Relative quantification of band intensity was performed using ImageJ and normalized to </w:t>
      </w:r>
      <w:r w:rsidRPr="003C0888">
        <w:rPr>
          <w:rFonts w:ascii="Times New Roman" w:eastAsia="Times New Roman" w:hAnsi="Times New Roman" w:cs="Times New Roman"/>
          <w:color w:val="000000"/>
        </w:rPr>
        <w:t>β</w:t>
      </w:r>
      <w:r w:rsidRPr="00185586">
        <w:rPr>
          <w:rFonts w:ascii="Times New Roman" w:eastAsia="Times New Roman" w:hAnsi="Times New Roman" w:cs="Times New Roman"/>
          <w:color w:val="000000"/>
          <w:lang w:val="en-US"/>
        </w:rPr>
        <w:t xml:space="preserve">-actin; experiment performed in triple; c) Representative epifluorescence images of Glt-1 clusters in Flag-Glt-1 transfected primary striatal astrocytes from LRRK2 WT (untreated or treated with TPA) and from LRRK2 G2019S astrocytes.  Scale bars 5 </w:t>
      </w:r>
      <w:r w:rsidRPr="003C0888">
        <w:rPr>
          <w:rFonts w:ascii="Times New Roman" w:eastAsia="Times New Roman" w:hAnsi="Times New Roman" w:cs="Times New Roman"/>
          <w:color w:val="000000"/>
        </w:rPr>
        <w:t>μ</w:t>
      </w:r>
      <w:r w:rsidRPr="00185586">
        <w:rPr>
          <w:rFonts w:ascii="Times New Roman" w:eastAsia="Times New Roman" w:hAnsi="Times New Roman" w:cs="Times New Roman"/>
          <w:color w:val="000000"/>
          <w:lang w:val="en-US"/>
        </w:rPr>
        <w:t xml:space="preserve">m; insets 1 </w:t>
      </w:r>
      <w:r w:rsidRPr="003C0888">
        <w:rPr>
          <w:rFonts w:ascii="Times New Roman" w:eastAsia="Times New Roman" w:hAnsi="Times New Roman" w:cs="Times New Roman"/>
          <w:color w:val="000000"/>
        </w:rPr>
        <w:t>μ</w:t>
      </w:r>
      <w:r w:rsidRPr="00185586">
        <w:rPr>
          <w:rFonts w:ascii="Times New Roman" w:eastAsia="Times New Roman" w:hAnsi="Times New Roman" w:cs="Times New Roman"/>
          <w:color w:val="000000"/>
          <w:lang w:val="en-US"/>
        </w:rPr>
        <w:t>m. d) Frequency distribution of Glt-1 cluster diameter in untreated LRRK2 WT (grey bars); e) Frequency distribution of Glt-1 cluster diameter in LRRK2 G2019S (blue bars); f) Frequency distribution of Glt-1 cluster diameter in LRRK2 WT treated with TPA (d; red bars); n=5 cells analyzed for each group. Statistical analysis in b was performed using Mann-Whitney test.</w:t>
      </w:r>
    </w:p>
    <w:p w14:paraId="51AE4F4C" w14:textId="77777777" w:rsidR="00185586" w:rsidRDefault="00185586">
      <w:pP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br w:type="page"/>
      </w:r>
    </w:p>
    <w:p w14:paraId="0E9B4CEA" w14:textId="51626F4E" w:rsidR="00185586" w:rsidRDefault="00185586" w:rsidP="00185586">
      <w:pPr>
        <w:spacing w:line="360" w:lineRule="auto"/>
        <w:jc w:val="both"/>
        <w:rPr>
          <w:rFonts w:ascii="Times New Roman" w:eastAsia="Times New Roman" w:hAnsi="Times New Roman" w:cs="Times New Roman"/>
          <w:b/>
          <w:color w:val="000000"/>
          <w:lang w:val="en-US"/>
        </w:rPr>
      </w:pPr>
      <w:r w:rsidRPr="00185586">
        <w:rPr>
          <w:rFonts w:ascii="Times New Roman" w:eastAsia="Times New Roman" w:hAnsi="Times New Roman" w:cs="Times New Roman"/>
          <w:b/>
          <w:color w:val="000000"/>
          <w:lang w:val="en-US"/>
        </w:rPr>
        <w:lastRenderedPageBreak/>
        <w:t>Supplementary Figure 4</w:t>
      </w:r>
    </w:p>
    <w:p w14:paraId="4854F0BB" w14:textId="4FD3E3E9" w:rsidR="00185586" w:rsidRDefault="00185586" w:rsidP="00185586">
      <w:pPr>
        <w:spacing w:line="360" w:lineRule="auto"/>
        <w:jc w:val="both"/>
        <w:rPr>
          <w:rFonts w:ascii="Times New Roman" w:eastAsia="Times New Roman" w:hAnsi="Times New Roman" w:cs="Times New Roman"/>
          <w:b/>
          <w:color w:val="000000"/>
          <w:lang w:val="en-US"/>
        </w:rPr>
      </w:pPr>
      <w:r>
        <w:rPr>
          <w:rFonts w:ascii="Times New Roman" w:eastAsia="Times New Roman" w:hAnsi="Times New Roman" w:cs="Times New Roman"/>
          <w:b/>
          <w:noProof/>
          <w:color w:val="000000"/>
          <w:lang w:val="en-US"/>
        </w:rPr>
        <w:drawing>
          <wp:inline distT="0" distB="0" distL="0" distR="0" wp14:anchorId="0EDB3BA3" wp14:editId="6966AC6C">
            <wp:extent cx="6120130" cy="4667416"/>
            <wp:effectExtent l="0" t="0" r="1270" b="635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rotWithShape="1">
                    <a:blip r:embed="rId8" cstate="print">
                      <a:extLst>
                        <a:ext uri="{28A0092B-C50C-407E-A947-70E740481C1C}">
                          <a14:useLocalDpi xmlns:a14="http://schemas.microsoft.com/office/drawing/2010/main" val="0"/>
                        </a:ext>
                      </a:extLst>
                    </a:blip>
                    <a:srcRect b="46045"/>
                    <a:stretch/>
                  </pic:blipFill>
                  <pic:spPr bwMode="auto">
                    <a:xfrm>
                      <a:off x="0" y="0"/>
                      <a:ext cx="6120130" cy="4667416"/>
                    </a:xfrm>
                    <a:prstGeom prst="rect">
                      <a:avLst/>
                    </a:prstGeom>
                    <a:ln>
                      <a:noFill/>
                    </a:ln>
                    <a:extLst>
                      <a:ext uri="{53640926-AAD7-44D8-BBD7-CCE9431645EC}">
                        <a14:shadowObscured xmlns:a14="http://schemas.microsoft.com/office/drawing/2010/main"/>
                      </a:ext>
                    </a:extLst>
                  </pic:spPr>
                </pic:pic>
              </a:graphicData>
            </a:graphic>
          </wp:inline>
        </w:drawing>
      </w:r>
    </w:p>
    <w:p w14:paraId="29B544F6" w14:textId="77777777" w:rsidR="0004445C" w:rsidRDefault="0004445C" w:rsidP="00185586">
      <w:pPr>
        <w:spacing w:line="360" w:lineRule="auto"/>
        <w:jc w:val="both"/>
        <w:rPr>
          <w:rFonts w:ascii="Times New Roman" w:eastAsia="Times New Roman" w:hAnsi="Times New Roman" w:cs="Times New Roman"/>
          <w:b/>
          <w:color w:val="000000"/>
          <w:lang w:val="en-US"/>
        </w:rPr>
      </w:pPr>
    </w:p>
    <w:p w14:paraId="51857A8D" w14:textId="11133A6E" w:rsidR="00185586" w:rsidRPr="00185586" w:rsidRDefault="00185586" w:rsidP="00185586">
      <w:pPr>
        <w:spacing w:line="360" w:lineRule="auto"/>
        <w:jc w:val="both"/>
        <w:rPr>
          <w:rFonts w:ascii="Times New Roman" w:eastAsia="Times New Roman" w:hAnsi="Times New Roman" w:cs="Times New Roman"/>
          <w:color w:val="000000"/>
          <w:lang w:val="en-US"/>
        </w:rPr>
      </w:pPr>
      <w:r w:rsidRPr="00185586">
        <w:rPr>
          <w:rFonts w:ascii="Times New Roman" w:eastAsia="Times New Roman" w:hAnsi="Times New Roman" w:cs="Times New Roman"/>
          <w:b/>
          <w:color w:val="000000"/>
          <w:lang w:val="en-US"/>
        </w:rPr>
        <w:t>Supplementary Figure 4</w:t>
      </w:r>
    </w:p>
    <w:p w14:paraId="14BECE08" w14:textId="2F5A6546" w:rsidR="00185586" w:rsidRPr="0004445C" w:rsidRDefault="0004445C" w:rsidP="0004445C">
      <w:pPr>
        <w:spacing w:line="360" w:lineRule="auto"/>
        <w:jc w:val="both"/>
        <w:rPr>
          <w:rFonts w:ascii="Times New Roman" w:eastAsia="Times New Roman" w:hAnsi="Times New Roman" w:cs="Times New Roman"/>
          <w:color w:val="000000"/>
          <w:lang w:val="en-US"/>
        </w:rPr>
      </w:pPr>
      <w:bookmarkStart w:id="0" w:name="_heading=h.3znysh7" w:colFirst="0" w:colLast="0"/>
      <w:bookmarkEnd w:id="0"/>
      <w:r>
        <w:rPr>
          <w:rFonts w:ascii="Times New Roman" w:eastAsia="Times New Roman" w:hAnsi="Times New Roman" w:cs="Times New Roman"/>
          <w:color w:val="000000"/>
          <w:lang w:val="en-US"/>
        </w:rPr>
        <w:t xml:space="preserve">a) </w:t>
      </w:r>
      <w:r w:rsidR="00185586" w:rsidRPr="0004445C">
        <w:rPr>
          <w:rFonts w:ascii="Times New Roman" w:eastAsia="Times New Roman" w:hAnsi="Times New Roman" w:cs="Times New Roman"/>
          <w:color w:val="000000"/>
          <w:lang w:val="en-US"/>
        </w:rPr>
        <w:t xml:space="preserve">Orthogonal z-stack projections of LRRK2 G2019S astrocytes co-transfected with Flag-Glt-1 (red) and GFP-Lamp1, GFP-Rab11 or GFP-Rab4 (green). Scale bar 20 </w:t>
      </w:r>
      <w:r w:rsidR="00185586" w:rsidRPr="0004445C">
        <w:rPr>
          <w:rFonts w:ascii="Times New Roman" w:eastAsia="Times New Roman" w:hAnsi="Times New Roman" w:cs="Times New Roman"/>
          <w:color w:val="000000"/>
        </w:rPr>
        <w:t>μ</w:t>
      </w:r>
      <w:r w:rsidR="00185586" w:rsidRPr="0004445C">
        <w:rPr>
          <w:rFonts w:ascii="Times New Roman" w:eastAsia="Times New Roman" w:hAnsi="Times New Roman" w:cs="Times New Roman"/>
          <w:color w:val="000000"/>
          <w:lang w:val="en-US"/>
        </w:rPr>
        <w:t xml:space="preserve">m; b) Quantitative analysis of the Pearson’s Correlation Coefficient of Glt-1 colocalizing with the Rab4-positive vesicles in LRRK2 WT and G2019S astrocytes under basal conditions or upon MLi-2 application; at least n=6 cells analyzed for each group; c) Representative confocal microscopy images of LRRK2 WT and G2019S primary striatal astrocytes transfected with GFP-Rab4 and Flag-Glt-1. Scale bars: 2 </w:t>
      </w:r>
      <w:r w:rsidR="00185586" w:rsidRPr="0004445C">
        <w:rPr>
          <w:rFonts w:ascii="Times New Roman" w:eastAsia="Times New Roman" w:hAnsi="Times New Roman" w:cs="Times New Roman"/>
          <w:color w:val="000000"/>
        </w:rPr>
        <w:t>μ</w:t>
      </w:r>
      <w:r w:rsidR="00185586" w:rsidRPr="0004445C">
        <w:rPr>
          <w:rFonts w:ascii="Times New Roman" w:eastAsia="Times New Roman" w:hAnsi="Times New Roman" w:cs="Times New Roman"/>
          <w:color w:val="000000"/>
          <w:lang w:val="en-US"/>
        </w:rPr>
        <w:t xml:space="preserve">m; d,e) Quantification of Rab4-positive vesicle number and area; at least n=9 cells analyzed for each group and experiments performed at least in triple; f) Representative confocal (left panel), electron microscopy (middle panel) and merge (right panel) image of a LRRK2 WT primary astrocyte transfected with Rab4-GFP (green). The image reveals the co-localization of early endosomal structures identified by transmission microscopy with the GFP-Rab4-positive vesicles identified by confocal microscopy; scale bar: 1 </w:t>
      </w:r>
      <w:r w:rsidR="00185586" w:rsidRPr="0004445C">
        <w:rPr>
          <w:rFonts w:ascii="Times New Roman" w:eastAsia="Times New Roman" w:hAnsi="Times New Roman" w:cs="Times New Roman"/>
          <w:color w:val="000000"/>
        </w:rPr>
        <w:t>μ</w:t>
      </w:r>
      <w:r w:rsidR="00185586" w:rsidRPr="0004445C">
        <w:rPr>
          <w:rFonts w:ascii="Times New Roman" w:eastAsia="Times New Roman" w:hAnsi="Times New Roman" w:cs="Times New Roman"/>
          <w:color w:val="000000"/>
          <w:lang w:val="en-US"/>
        </w:rPr>
        <w:t xml:space="preserve">m. Statistical analysis in b was performed using Two-way </w:t>
      </w:r>
      <w:r w:rsidR="00185586" w:rsidRPr="0004445C">
        <w:rPr>
          <w:rFonts w:ascii="Times New Roman" w:eastAsia="Times New Roman" w:hAnsi="Times New Roman" w:cs="Times New Roman"/>
          <w:color w:val="000000"/>
          <w:lang w:val="en-US"/>
        </w:rPr>
        <w:lastRenderedPageBreak/>
        <w:t>ANOVA test (Treatment F=15.79 and P=0.004; Genotypes F=16.38 and P =0.004) followed by Tukey's multiple comparisons test. Statistical analysis in d, e was performed using Unpaired t-tests.</w:t>
      </w:r>
    </w:p>
    <w:p w14:paraId="27F20EAD" w14:textId="77777777" w:rsidR="0004445C" w:rsidRPr="0004445C" w:rsidRDefault="0004445C" w:rsidP="0004445C">
      <w:pPr>
        <w:spacing w:line="360" w:lineRule="auto"/>
        <w:jc w:val="both"/>
        <w:rPr>
          <w:rFonts w:ascii="Times New Roman" w:eastAsia="Times New Roman" w:hAnsi="Times New Roman" w:cs="Times New Roman"/>
          <w:color w:val="000000"/>
          <w:lang w:val="en-US"/>
        </w:rPr>
      </w:pPr>
    </w:p>
    <w:p w14:paraId="2E98EA7E" w14:textId="77777777" w:rsidR="00185586" w:rsidRPr="00185586" w:rsidRDefault="00185586" w:rsidP="00185586">
      <w:pPr>
        <w:spacing w:line="360" w:lineRule="auto"/>
        <w:jc w:val="both"/>
        <w:rPr>
          <w:rFonts w:ascii="Times New Roman" w:eastAsia="Times New Roman" w:hAnsi="Times New Roman" w:cs="Times New Roman"/>
          <w:b/>
          <w:bCs/>
          <w:color w:val="000000"/>
          <w:lang w:val="en-US"/>
        </w:rPr>
      </w:pPr>
      <w:r w:rsidRPr="00185586">
        <w:rPr>
          <w:rFonts w:ascii="Times New Roman" w:eastAsia="Times New Roman" w:hAnsi="Times New Roman" w:cs="Times New Roman"/>
          <w:b/>
          <w:bCs/>
          <w:color w:val="000000"/>
          <w:lang w:val="en-US"/>
        </w:rPr>
        <w:t>Supplementary Figure 5</w:t>
      </w:r>
    </w:p>
    <w:p w14:paraId="58E430C4" w14:textId="384E0F1A" w:rsidR="00185586" w:rsidRDefault="00185586">
      <w:pPr>
        <w:rPr>
          <w:rFonts w:ascii="Times New Roman" w:eastAsia="Times New Roman" w:hAnsi="Times New Roman" w:cs="Times New Roman"/>
          <w:color w:val="000000"/>
          <w:lang w:val="en-US"/>
        </w:rPr>
      </w:pPr>
      <w:r>
        <w:rPr>
          <w:rFonts w:ascii="Times New Roman" w:eastAsia="Times New Roman" w:hAnsi="Times New Roman" w:cs="Times New Roman"/>
          <w:noProof/>
          <w:color w:val="000000"/>
          <w:lang w:val="en-US"/>
        </w:rPr>
        <w:drawing>
          <wp:inline distT="0" distB="0" distL="0" distR="0" wp14:anchorId="25A62686" wp14:editId="648323E2">
            <wp:extent cx="6120130" cy="5955527"/>
            <wp:effectExtent l="0" t="0" r="1270" b="127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rotWithShape="1">
                    <a:blip r:embed="rId9" cstate="print">
                      <a:extLst>
                        <a:ext uri="{28A0092B-C50C-407E-A947-70E740481C1C}">
                          <a14:useLocalDpi xmlns:a14="http://schemas.microsoft.com/office/drawing/2010/main" val="0"/>
                        </a:ext>
                      </a:extLst>
                    </a:blip>
                    <a:srcRect b="31155"/>
                    <a:stretch/>
                  </pic:blipFill>
                  <pic:spPr bwMode="auto">
                    <a:xfrm>
                      <a:off x="0" y="0"/>
                      <a:ext cx="6120130" cy="5955527"/>
                    </a:xfrm>
                    <a:prstGeom prst="rect">
                      <a:avLst/>
                    </a:prstGeom>
                    <a:ln>
                      <a:noFill/>
                    </a:ln>
                    <a:extLst>
                      <a:ext uri="{53640926-AAD7-44D8-BBD7-CCE9431645EC}">
                        <a14:shadowObscured xmlns:a14="http://schemas.microsoft.com/office/drawing/2010/main"/>
                      </a:ext>
                    </a:extLst>
                  </pic:spPr>
                </pic:pic>
              </a:graphicData>
            </a:graphic>
          </wp:inline>
        </w:drawing>
      </w:r>
    </w:p>
    <w:p w14:paraId="76E27875" w14:textId="76F2BA5B" w:rsidR="00185586" w:rsidRPr="00185586" w:rsidRDefault="00185586" w:rsidP="00185586">
      <w:pPr>
        <w:spacing w:line="360" w:lineRule="auto"/>
        <w:jc w:val="both"/>
        <w:rPr>
          <w:rFonts w:ascii="Times New Roman" w:eastAsia="Times New Roman" w:hAnsi="Times New Roman" w:cs="Times New Roman"/>
          <w:color w:val="000000"/>
          <w:lang w:val="en-US"/>
        </w:rPr>
      </w:pPr>
      <w:r w:rsidRPr="00185586">
        <w:rPr>
          <w:rFonts w:ascii="Times New Roman" w:eastAsia="Times New Roman" w:hAnsi="Times New Roman" w:cs="Times New Roman"/>
          <w:color w:val="000000"/>
          <w:u w:val="single"/>
          <w:lang w:val="en-US"/>
        </w:rPr>
        <w:t xml:space="preserve"> </w:t>
      </w:r>
    </w:p>
    <w:p w14:paraId="69341D55" w14:textId="77777777" w:rsidR="00185586" w:rsidRPr="00185586" w:rsidRDefault="00185586" w:rsidP="00185586">
      <w:pPr>
        <w:spacing w:line="360" w:lineRule="auto"/>
        <w:jc w:val="both"/>
        <w:rPr>
          <w:rFonts w:ascii="Times New Roman" w:eastAsia="Times New Roman" w:hAnsi="Times New Roman" w:cs="Times New Roman"/>
          <w:b/>
          <w:bCs/>
          <w:color w:val="000000"/>
          <w:lang w:val="en-US"/>
        </w:rPr>
      </w:pPr>
    </w:p>
    <w:p w14:paraId="0F563766" w14:textId="77777777" w:rsidR="00185586" w:rsidRPr="00185586" w:rsidRDefault="00185586" w:rsidP="0004445C">
      <w:pPr>
        <w:spacing w:line="360" w:lineRule="auto"/>
        <w:jc w:val="both"/>
        <w:rPr>
          <w:rFonts w:ascii="Times New Roman" w:eastAsia="Times New Roman" w:hAnsi="Times New Roman" w:cs="Times New Roman"/>
          <w:b/>
          <w:bCs/>
          <w:color w:val="000000"/>
          <w:lang w:val="en-US"/>
        </w:rPr>
      </w:pPr>
      <w:r w:rsidRPr="00185586">
        <w:rPr>
          <w:rFonts w:ascii="Times New Roman" w:eastAsia="Times New Roman" w:hAnsi="Times New Roman" w:cs="Times New Roman"/>
          <w:b/>
          <w:bCs/>
          <w:color w:val="000000"/>
          <w:lang w:val="en-US"/>
        </w:rPr>
        <w:t>Supplementary Figure 5</w:t>
      </w:r>
    </w:p>
    <w:p w14:paraId="7997FEA5" w14:textId="2A52630B" w:rsidR="0004445C" w:rsidRDefault="00185586" w:rsidP="0004445C">
      <w:pPr>
        <w:spacing w:line="360" w:lineRule="auto"/>
        <w:jc w:val="both"/>
        <w:rPr>
          <w:rFonts w:ascii="Times New Roman" w:eastAsia="Times New Roman" w:hAnsi="Times New Roman" w:cs="Times New Roman"/>
          <w:color w:val="000000"/>
          <w:lang w:val="en-US"/>
        </w:rPr>
      </w:pPr>
      <w:r w:rsidRPr="00185586">
        <w:rPr>
          <w:rFonts w:ascii="Times New Roman" w:eastAsia="Times New Roman" w:hAnsi="Times New Roman" w:cs="Times New Roman"/>
          <w:color w:val="000000"/>
          <w:lang w:val="en-US"/>
        </w:rPr>
        <w:t>a,b) Frequency distribution of Rab4-positive vesicles area in LRRK2 WT and LRRK2 G2019S astrocytes. At least n=6 cells analyzed for each group and experiments performed at least in triple.</w:t>
      </w:r>
    </w:p>
    <w:p w14:paraId="58C5F3B7" w14:textId="328B0A33" w:rsidR="0004445C" w:rsidRPr="0004445C" w:rsidRDefault="0004445C" w:rsidP="0004445C">
      <w:pP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br w:type="page"/>
      </w:r>
      <w:r w:rsidRPr="00185586">
        <w:rPr>
          <w:rFonts w:ascii="Times New Roman" w:eastAsia="Times New Roman" w:hAnsi="Times New Roman" w:cs="Times New Roman"/>
          <w:b/>
          <w:bCs/>
          <w:color w:val="000000"/>
          <w:lang w:val="en-US"/>
        </w:rPr>
        <w:lastRenderedPageBreak/>
        <w:t>Supplementary Figure 6</w:t>
      </w:r>
    </w:p>
    <w:p w14:paraId="625D249C" w14:textId="1ABA3464" w:rsidR="00185586" w:rsidRPr="00185586" w:rsidRDefault="0004445C" w:rsidP="0004445C">
      <w:pPr>
        <w:spacing w:line="360" w:lineRule="auto"/>
        <w:jc w:val="both"/>
        <w:rPr>
          <w:rFonts w:ascii="Times New Roman" w:eastAsia="Times New Roman" w:hAnsi="Times New Roman" w:cs="Times New Roman"/>
          <w:color w:val="000000"/>
          <w:lang w:val="en-US"/>
        </w:rPr>
      </w:pPr>
      <w:r>
        <w:rPr>
          <w:rFonts w:ascii="Times New Roman" w:eastAsia="Times New Roman" w:hAnsi="Times New Roman" w:cs="Times New Roman"/>
          <w:noProof/>
          <w:color w:val="000000"/>
          <w:lang w:val="en-US"/>
        </w:rPr>
        <w:drawing>
          <wp:inline distT="0" distB="0" distL="0" distR="0" wp14:anchorId="7478A123" wp14:editId="25EEFCE3">
            <wp:extent cx="6119773" cy="2274073"/>
            <wp:effectExtent l="0" t="0" r="1905"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rotWithShape="1">
                    <a:blip r:embed="rId10" cstate="print">
                      <a:extLst>
                        <a:ext uri="{28A0092B-C50C-407E-A947-70E740481C1C}">
                          <a14:useLocalDpi xmlns:a14="http://schemas.microsoft.com/office/drawing/2010/main" val="0"/>
                        </a:ext>
                      </a:extLst>
                    </a:blip>
                    <a:srcRect t="1" b="73710"/>
                    <a:stretch/>
                  </pic:blipFill>
                  <pic:spPr bwMode="auto">
                    <a:xfrm>
                      <a:off x="0" y="0"/>
                      <a:ext cx="6120130" cy="2274206"/>
                    </a:xfrm>
                    <a:prstGeom prst="rect">
                      <a:avLst/>
                    </a:prstGeom>
                    <a:ln>
                      <a:noFill/>
                    </a:ln>
                    <a:extLst>
                      <a:ext uri="{53640926-AAD7-44D8-BBD7-CCE9431645EC}">
                        <a14:shadowObscured xmlns:a14="http://schemas.microsoft.com/office/drawing/2010/main"/>
                      </a:ext>
                    </a:extLst>
                  </pic:spPr>
                </pic:pic>
              </a:graphicData>
            </a:graphic>
          </wp:inline>
        </w:drawing>
      </w:r>
    </w:p>
    <w:p w14:paraId="571101CB" w14:textId="77777777" w:rsidR="00185586" w:rsidRPr="00185586" w:rsidRDefault="00185586" w:rsidP="0004445C">
      <w:pPr>
        <w:spacing w:line="360" w:lineRule="auto"/>
        <w:jc w:val="both"/>
        <w:rPr>
          <w:rFonts w:ascii="Times New Roman" w:eastAsia="Times New Roman" w:hAnsi="Times New Roman" w:cs="Times New Roman"/>
          <w:color w:val="000000"/>
          <w:lang w:val="en-US"/>
        </w:rPr>
      </w:pPr>
    </w:p>
    <w:p w14:paraId="427E9A58" w14:textId="77777777" w:rsidR="00185586" w:rsidRPr="00185586" w:rsidRDefault="00185586" w:rsidP="0004445C">
      <w:pPr>
        <w:spacing w:line="360" w:lineRule="auto"/>
        <w:jc w:val="both"/>
        <w:rPr>
          <w:rFonts w:ascii="Times New Roman" w:eastAsia="Times New Roman" w:hAnsi="Times New Roman" w:cs="Times New Roman"/>
          <w:b/>
          <w:bCs/>
          <w:color w:val="000000"/>
          <w:lang w:val="en-US"/>
        </w:rPr>
      </w:pPr>
      <w:r w:rsidRPr="00185586">
        <w:rPr>
          <w:rFonts w:ascii="Times New Roman" w:eastAsia="Times New Roman" w:hAnsi="Times New Roman" w:cs="Times New Roman"/>
          <w:b/>
          <w:bCs/>
          <w:color w:val="000000"/>
          <w:lang w:val="en-US"/>
        </w:rPr>
        <w:t>Supplementary Figure 6</w:t>
      </w:r>
    </w:p>
    <w:p w14:paraId="0C046BC4" w14:textId="0DF3F465" w:rsidR="00185586" w:rsidRPr="00185586" w:rsidRDefault="00185586" w:rsidP="0004445C">
      <w:pPr>
        <w:spacing w:line="360" w:lineRule="auto"/>
        <w:jc w:val="both"/>
        <w:rPr>
          <w:rFonts w:ascii="Times New Roman" w:hAnsi="Times New Roman" w:cs="Times New Roman"/>
          <w:b/>
          <w:bCs/>
          <w:i/>
          <w:iCs/>
          <w:lang w:val="en-US"/>
        </w:rPr>
      </w:pPr>
      <w:r w:rsidRPr="00185586">
        <w:rPr>
          <w:rFonts w:ascii="Times New Roman" w:eastAsia="Times New Roman" w:hAnsi="Times New Roman" w:cs="Times New Roman"/>
          <w:color w:val="000000"/>
          <w:lang w:val="en-US"/>
        </w:rPr>
        <w:t>a) Quantification of Glt-1 IntDen in the Rab4-positive vesicles in LRRK2 WT astrocytes under basal conditions (n=13 cells) or upon MG132 (n=13 cells) or Bafilomycin application (n=12 cells); b) Quantification of Glt-1 IntDen in the endogenous Lamp1-positive structures in LRRK2 WT astrocytes under basal conditions (n=13 cells) or upon MG132 (n=13 cells) or Bafilomycin (n=12 cells) application; experiments performed at least in triple; c) Quantitative analysis of Glt-1 IntDen in LRRK2 WT astrocytes, under basal condition or after application of MG132 or Bafilomycin A1 (n=13 cells for untreated LRRK2 WT, n=13 cells for LRRK2 WT+MG132 and n=12 LRRK2 WT+Bafilomycin; experiments performed at least in triple; Statistical analysis in a-c was performed using One-way ANOVA test (a: F=16.06 and P&lt;0.0001; b: F=7.79 and P=0.001; c:F=8.76 and  P=0.0008) followed by Tukey's multiple comparisons test.</w:t>
      </w:r>
    </w:p>
    <w:sectPr w:rsidR="00185586" w:rsidRPr="0018558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ungsuh">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294B1D"/>
    <w:multiLevelType w:val="hybridMultilevel"/>
    <w:tmpl w:val="C278274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19191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86"/>
    <w:rsid w:val="0004445C"/>
    <w:rsid w:val="00185586"/>
    <w:rsid w:val="00952014"/>
    <w:rsid w:val="00F44F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A8C7B"/>
  <w15:chartTrackingRefBased/>
  <w15:docId w15:val="{39535518-F182-1449-8939-789AE7179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44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fontTable" Target="fontTable.xml"/><Relationship Id="rId5" Type="http://schemas.openxmlformats.org/officeDocument/2006/relationships/image" Target="media/image1.tiff"/><Relationship Id="rId10"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3191</Words>
  <Characters>18194</Characters>
  <Application>Microsoft Office Word</Application>
  <DocSecurity>0</DocSecurity>
  <Lines>151</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Iovino Ludovica</dc:creator>
  <cp:keywords/>
  <dc:description/>
  <cp:lastModifiedBy>Civiero Laura</cp:lastModifiedBy>
  <cp:revision>2</cp:revision>
  <dcterms:created xsi:type="dcterms:W3CDTF">2022-05-17T09:21:00Z</dcterms:created>
  <dcterms:modified xsi:type="dcterms:W3CDTF">2022-05-17T09:21:00Z</dcterms:modified>
</cp:coreProperties>
</file>